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27.xml" ContentType="application/vnd.openxmlformats-officedocument.drawingml.chart+xml"/>
  <Override PartName="/word/theme/themeOverride7.xml" ContentType="application/vnd.openxmlformats-officedocument.themeOverride+xml"/>
  <Override PartName="/word/charts/chart28.xml" ContentType="application/vnd.openxmlformats-officedocument.drawingml.chart+xml"/>
  <Override PartName="/word/theme/themeOverride8.xml" ContentType="application/vnd.openxmlformats-officedocument.themeOverride+xml"/>
  <Override PartName="/word/charts/chart2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70.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b/>
          <w:bCs/>
          <w:caps/>
          <w:color w:val="FFFFFF" w:themeColor="background1"/>
          <w:spacing w:val="15"/>
          <w:sz w:val="22"/>
          <w:szCs w:val="22"/>
        </w:rPr>
        <w:id w:val="-1293292018"/>
        <w:docPartObj>
          <w:docPartGallery w:val="Cover Pages"/>
          <w:docPartUnique/>
        </w:docPartObj>
      </w:sdtPr>
      <w:sdtEndPr/>
      <w:sdtContent>
        <w:p w:rsidR="00E84277" w:rsidRDefault="00967788">
          <w:r>
            <w:rPr>
              <w:noProof/>
            </w:rPr>
            <mc:AlternateContent>
              <mc:Choice Requires="wps">
                <w:drawing>
                  <wp:anchor distT="0" distB="0" distL="114300" distR="114300" simplePos="0" relativeHeight="251765760" behindDoc="0" locked="0" layoutInCell="1" allowOverlap="1" wp14:anchorId="68BA0028" wp14:editId="42A4DCDE">
                    <wp:simplePos x="0" y="0"/>
                    <wp:positionH relativeFrom="column">
                      <wp:posOffset>47708</wp:posOffset>
                    </wp:positionH>
                    <wp:positionV relativeFrom="paragraph">
                      <wp:posOffset>-16151</wp:posOffset>
                    </wp:positionV>
                    <wp:extent cx="5947576" cy="63611"/>
                    <wp:effectExtent l="0" t="0" r="0" b="0"/>
                    <wp:wrapNone/>
                    <wp:docPr id="19" name="Rectangle 19"/>
                    <wp:cNvGraphicFramePr/>
                    <a:graphic xmlns:a="http://schemas.openxmlformats.org/drawingml/2006/main">
                      <a:graphicData uri="http://schemas.microsoft.com/office/word/2010/wordprocessingShape">
                        <wps:wsp>
                          <wps:cNvSpPr/>
                          <wps:spPr>
                            <a:xfrm>
                              <a:off x="0" y="0"/>
                              <a:ext cx="5947576" cy="6361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5E7C5E" id="Rectangle 19" o:spid="_x0000_s1026" style="position:absolute;margin-left:3.75pt;margin-top:-1.25pt;width:468.3pt;height: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hYfwIAAFIFAAAOAAAAZHJzL2Uyb0RvYy54bWysVFFv2yAQfp+0/4B4Xx1nSbpGcaqoVadJ&#10;VRu1nfpMMMSWgGNA4mS/fgc4btVWe5jmBwzc3Xd3H3e3uDxoRfbC+RZMRcuzESXCcKhbs63oz6eb&#10;L98o8YGZmikwoqJH4enl8vOnRWfnYgwNqFo4giDGzztb0SYEOy8KzxuhmT8DKwwKJTjNAh7dtqgd&#10;6xBdq2I8Gs2KDlxtHXDhPd5eZyFdJnwpBQ/3UnoRiKooxhbS6tK6iWuxXLD51jHbtLwPg/1DFJq1&#10;Bp0OUNcsMLJz7Tso3XIHHmQ446ALkLLlIuWA2ZSjN9k8NsyKlAuS4+1Ak/9/sPxuv3akrfHtLigx&#10;TOMbPSBrzGyVIHiHBHXWz1Hv0a5df/K4jdkepNPxj3mQQyL1OJAqDoFwvJxeTM6n5zNKOMpmX2dl&#10;GTGLF2PrfPguQJO4qahD74lKtr/1IaueVKIvZeJq4KZVKkvjTRGDzGGlXTgqkbUfhMT8MJBxQk2V&#10;Ja6UI3uGNcE4FyaUWdSwWuTr6Qi/Ps7BIkWtDAJGZIn+B+weIFbte+wcZa8fTUUqzMF49LfAsvFg&#10;kTyDCYOxbg24jwAUZtV7zvonkjI1kaUN1Ed8fQe5LbzlNy2+wS3zYc0c9gF2DPZ2uMdFKugqCv2O&#10;kgbc74/uoz6WJ0op6bCvKup/7ZgTlKgfBgv3opxMYiOmw2R6PsaDey3ZvJaYnb4CfKYSp4jlaRv1&#10;gzptpQP9jCNgFb2iiBmOvivKgzsdrkLudxwiXKxWSQ2bz7Jwax4tj+CR1VhjT4dn5mxfiAEr+A5O&#10;Pcjmb+ox60ZLA6tdANmmYn3htecbGzcVTj9k4mR4fU5aL6Nw+QcAAP//AwBQSwMEFAAGAAgAAAAh&#10;AF3VjVvcAAAABgEAAA8AAABkcnMvZG93bnJldi54bWxMjsFOwzAQRO9I/IO1SNxap1VbIMSpAIme&#10;oVQIbm68jSPitRU7TcrXs/QCp9HOjGZfsR5dK47YxcaTgtk0A4FUedNQrWD39jy5BRGTJqNbT6jg&#10;hBHW5eVFoXPjB3rF4zbVgkco5lqBTSnkUsbKotNx6gMSZwffOZ347GppOj3wuGvlPMtW0umG+IPV&#10;AZ8sVl/b3ikIm93L58E+hmF1el9uxrr/+G56pa6vxod7EAnH9FeGX3xGh5KZ9r4nE0Wr4GbJRQWT&#10;OSvHd4vFDMT+7MuykP/xyx8AAAD//wMAUEsBAi0AFAAGAAgAAAAhALaDOJL+AAAA4QEAABMAAAAA&#10;AAAAAAAAAAAAAAAAAFtDb250ZW50X1R5cGVzXS54bWxQSwECLQAUAAYACAAAACEAOP0h/9YAAACU&#10;AQAACwAAAAAAAAAAAAAAAAAvAQAAX3JlbHMvLnJlbHNQSwECLQAUAAYACAAAACEAcpmIWH8CAABS&#10;BQAADgAAAAAAAAAAAAAAAAAuAgAAZHJzL2Uyb0RvYy54bWxQSwECLQAUAAYACAAAACEAXdWNW9wA&#10;AAAGAQAADwAAAAAAAAAAAAAAAADZBAAAZHJzL2Rvd25yZXYueG1sUEsFBgAAAAAEAAQA8wAAAOIF&#10;AAAAAA==&#10;" fillcolor="#4f81bd [3204]" stroked="f" strokeweight="2pt"/>
                </w:pict>
              </mc:Fallback>
            </mc:AlternateContent>
          </w:r>
        </w:p>
        <w:p w:rsidR="009B63AA" w:rsidRDefault="009B63AA" w:rsidP="007F0FB0">
          <w:pPr>
            <w:widowControl w:val="0"/>
            <w:autoSpaceDE w:val="0"/>
            <w:autoSpaceDN w:val="0"/>
            <w:adjustRightInd w:val="0"/>
            <w:spacing w:before="0" w:after="0"/>
            <w:jc w:val="center"/>
            <w:rPr>
              <w:rFonts w:cs="Calibri Light"/>
              <w:b/>
              <w:bCs/>
              <w:color w:val="4F81BD" w:themeColor="accent1"/>
              <w:sz w:val="36"/>
              <w:szCs w:val="36"/>
            </w:rPr>
          </w:pPr>
        </w:p>
        <w:p w:rsidR="007F0FB0" w:rsidRDefault="007F0FB0" w:rsidP="007F0FB0">
          <w:pPr>
            <w:widowControl w:val="0"/>
            <w:autoSpaceDE w:val="0"/>
            <w:autoSpaceDN w:val="0"/>
            <w:adjustRightInd w:val="0"/>
            <w:spacing w:before="0" w:after="0"/>
            <w:jc w:val="center"/>
            <w:rPr>
              <w:rFonts w:cs="Calibri Light"/>
              <w:b/>
              <w:bCs/>
              <w:color w:val="4F81BD" w:themeColor="accent1"/>
              <w:sz w:val="36"/>
              <w:szCs w:val="36"/>
            </w:rPr>
          </w:pPr>
          <w:r w:rsidRPr="007F0FB0">
            <w:rPr>
              <w:rFonts w:cs="Calibri Light"/>
              <w:b/>
              <w:bCs/>
              <w:color w:val="4F81BD" w:themeColor="accent1"/>
              <w:sz w:val="36"/>
              <w:szCs w:val="36"/>
            </w:rPr>
            <w:t xml:space="preserve">Nevada Integrated HIV Prevention and Care Plan 2017-2021  </w:t>
          </w:r>
        </w:p>
        <w:p w:rsidR="007F0FB0" w:rsidRDefault="007F0FB0" w:rsidP="007F0FB0">
          <w:pPr>
            <w:widowControl w:val="0"/>
            <w:autoSpaceDE w:val="0"/>
            <w:autoSpaceDN w:val="0"/>
            <w:adjustRightInd w:val="0"/>
            <w:spacing w:before="0" w:after="0"/>
            <w:jc w:val="center"/>
            <w:rPr>
              <w:rFonts w:cs="Calibri Light"/>
              <w:b/>
              <w:bCs/>
              <w:color w:val="4F81BD" w:themeColor="accent1"/>
              <w:sz w:val="36"/>
              <w:szCs w:val="36"/>
            </w:rPr>
          </w:pPr>
        </w:p>
        <w:p w:rsidR="007F0FB0" w:rsidRPr="007F2D44" w:rsidRDefault="007F0FB0" w:rsidP="007F0FB0">
          <w:pPr>
            <w:widowControl w:val="0"/>
            <w:autoSpaceDE w:val="0"/>
            <w:autoSpaceDN w:val="0"/>
            <w:adjustRightInd w:val="0"/>
            <w:spacing w:before="0" w:after="0"/>
            <w:jc w:val="center"/>
            <w:rPr>
              <w:rFonts w:cs="Calibri Light"/>
              <w:b/>
              <w:bCs/>
              <w:color w:val="4F81BD" w:themeColor="accent1"/>
              <w:sz w:val="28"/>
              <w:szCs w:val="28"/>
            </w:rPr>
          </w:pPr>
          <w:r w:rsidRPr="007F2D44">
            <w:rPr>
              <w:rFonts w:cs="Calibri Light"/>
              <w:b/>
              <w:bCs/>
              <w:color w:val="4F81BD" w:themeColor="accent1"/>
              <w:sz w:val="28"/>
              <w:szCs w:val="28"/>
            </w:rPr>
            <w:t>September 30, 2016</w:t>
          </w:r>
        </w:p>
        <w:p w:rsidR="00A868BC" w:rsidRDefault="007F0FB0" w:rsidP="007F0FB0">
          <w:pPr>
            <w:widowControl w:val="0"/>
            <w:autoSpaceDE w:val="0"/>
            <w:autoSpaceDN w:val="0"/>
            <w:adjustRightInd w:val="0"/>
            <w:spacing w:before="0" w:after="0"/>
            <w:jc w:val="center"/>
          </w:pPr>
          <w:r>
            <w:t xml:space="preserve"> </w:t>
          </w:r>
        </w:p>
        <w:p w:rsidR="009B63AA" w:rsidRDefault="007F2D44" w:rsidP="007F2D44">
          <w:pPr>
            <w:widowControl w:val="0"/>
            <w:tabs>
              <w:tab w:val="left" w:pos="4680"/>
            </w:tabs>
            <w:autoSpaceDE w:val="0"/>
            <w:autoSpaceDN w:val="0"/>
            <w:adjustRightInd w:val="0"/>
            <w:spacing w:before="0" w:after="0"/>
            <w:jc w:val="center"/>
          </w:pPr>
          <w:r>
            <w:rPr>
              <w:noProof/>
            </w:rPr>
            <w:drawing>
              <wp:anchor distT="0" distB="0" distL="114300" distR="114300" simplePos="0" relativeHeight="251807744" behindDoc="0" locked="0" layoutInCell="1" allowOverlap="1" wp14:anchorId="1DC4802E" wp14:editId="167639D5">
                <wp:simplePos x="0" y="0"/>
                <wp:positionH relativeFrom="column">
                  <wp:posOffset>1809750</wp:posOffset>
                </wp:positionH>
                <wp:positionV relativeFrom="paragraph">
                  <wp:posOffset>2540</wp:posOffset>
                </wp:positionV>
                <wp:extent cx="2357120" cy="329565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nv hi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7120" cy="3295650"/>
                        </a:xfrm>
                        <a:prstGeom prst="rect">
                          <a:avLst/>
                        </a:prstGeom>
                      </pic:spPr>
                    </pic:pic>
                  </a:graphicData>
                </a:graphic>
                <wp14:sizeRelH relativeFrom="page">
                  <wp14:pctWidth>0</wp14:pctWidth>
                </wp14:sizeRelH>
                <wp14:sizeRelV relativeFrom="page">
                  <wp14:pctHeight>0</wp14:pctHeight>
                </wp14:sizeRelV>
              </wp:anchor>
            </w:drawing>
          </w:r>
        </w:p>
        <w:p w:rsidR="009B63AA" w:rsidRDefault="009B63AA"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FF54DD" w:rsidRDefault="00FF54DD" w:rsidP="00967788">
          <w:pPr>
            <w:widowControl w:val="0"/>
            <w:autoSpaceDE w:val="0"/>
            <w:autoSpaceDN w:val="0"/>
            <w:adjustRightInd w:val="0"/>
            <w:spacing w:before="0" w:after="0"/>
            <w:jc w:val="center"/>
            <w:rPr>
              <w:rFonts w:cs="Calibri Light"/>
              <w:b/>
              <w:bCs/>
              <w:color w:val="4F81BD" w:themeColor="accent1"/>
              <w:sz w:val="24"/>
              <w:szCs w:val="24"/>
            </w:rPr>
          </w:pPr>
        </w:p>
        <w:p w:rsidR="00967788" w:rsidRPr="007F2D44" w:rsidRDefault="00967788" w:rsidP="007F2D44">
          <w:pPr>
            <w:widowControl w:val="0"/>
            <w:tabs>
              <w:tab w:val="left" w:pos="4680"/>
            </w:tabs>
            <w:autoSpaceDE w:val="0"/>
            <w:autoSpaceDN w:val="0"/>
            <w:adjustRightInd w:val="0"/>
            <w:spacing w:before="0" w:after="0"/>
            <w:jc w:val="center"/>
            <w:rPr>
              <w:rFonts w:cs="Calibri Light"/>
              <w:b/>
              <w:bCs/>
              <w:color w:val="4F81BD" w:themeColor="accent1"/>
              <w:sz w:val="28"/>
              <w:szCs w:val="28"/>
            </w:rPr>
          </w:pPr>
          <w:r w:rsidRPr="007F2D44">
            <w:rPr>
              <w:rFonts w:cs="Calibri Light"/>
              <w:b/>
              <w:bCs/>
              <w:color w:val="4F81BD" w:themeColor="accent1"/>
              <w:sz w:val="28"/>
              <w:szCs w:val="28"/>
            </w:rPr>
            <w:t>Las Vegas TGA Ryan White Part A HIV/AIDS Program</w:t>
          </w:r>
        </w:p>
        <w:p w:rsidR="00967788" w:rsidRPr="007F2D44" w:rsidRDefault="00967788" w:rsidP="00967788">
          <w:pPr>
            <w:widowControl w:val="0"/>
            <w:autoSpaceDE w:val="0"/>
            <w:autoSpaceDN w:val="0"/>
            <w:adjustRightInd w:val="0"/>
            <w:spacing w:before="0" w:after="0"/>
            <w:jc w:val="center"/>
            <w:rPr>
              <w:rFonts w:cs="Calibri Light"/>
              <w:b/>
              <w:bCs/>
              <w:color w:val="4F81BD" w:themeColor="accent1"/>
              <w:sz w:val="28"/>
              <w:szCs w:val="28"/>
            </w:rPr>
          </w:pPr>
          <w:r w:rsidRPr="007F2D44">
            <w:rPr>
              <w:rFonts w:cs="Calibri Light"/>
              <w:b/>
              <w:bCs/>
              <w:color w:val="4F81BD" w:themeColor="accent1"/>
              <w:sz w:val="28"/>
              <w:szCs w:val="28"/>
            </w:rPr>
            <w:t>Ryan White HIV/AIDS Part B Program</w:t>
          </w:r>
        </w:p>
        <w:p w:rsidR="00967788" w:rsidRPr="007F2D44" w:rsidRDefault="00967788" w:rsidP="00967788">
          <w:pPr>
            <w:widowControl w:val="0"/>
            <w:autoSpaceDE w:val="0"/>
            <w:autoSpaceDN w:val="0"/>
            <w:adjustRightInd w:val="0"/>
            <w:spacing w:before="0" w:after="0"/>
            <w:jc w:val="center"/>
            <w:rPr>
              <w:rFonts w:cs="Calibri Light"/>
              <w:b/>
              <w:bCs/>
              <w:color w:val="4F81BD" w:themeColor="accent1"/>
              <w:sz w:val="28"/>
              <w:szCs w:val="28"/>
            </w:rPr>
          </w:pPr>
          <w:r w:rsidRPr="007F2D44">
            <w:rPr>
              <w:rFonts w:cs="Calibri Light"/>
              <w:b/>
              <w:bCs/>
              <w:color w:val="4F81BD" w:themeColor="accent1"/>
              <w:sz w:val="28"/>
              <w:szCs w:val="28"/>
            </w:rPr>
            <w:t>HIV Prevention Program</w:t>
          </w:r>
        </w:p>
        <w:p w:rsidR="00967788" w:rsidRPr="007F2D44" w:rsidRDefault="00967788" w:rsidP="00967788">
          <w:pPr>
            <w:widowControl w:val="0"/>
            <w:autoSpaceDE w:val="0"/>
            <w:autoSpaceDN w:val="0"/>
            <w:adjustRightInd w:val="0"/>
            <w:spacing w:before="0" w:after="0"/>
            <w:jc w:val="center"/>
            <w:rPr>
              <w:rFonts w:cs="Calibri Light"/>
              <w:b/>
              <w:bCs/>
              <w:color w:val="4F81BD" w:themeColor="accent1"/>
              <w:sz w:val="28"/>
              <w:szCs w:val="28"/>
            </w:rPr>
          </w:pPr>
          <w:r w:rsidRPr="007F2D44">
            <w:rPr>
              <w:rFonts w:cs="Calibri Light"/>
              <w:b/>
              <w:bCs/>
              <w:color w:val="4F81BD" w:themeColor="accent1"/>
              <w:sz w:val="28"/>
              <w:szCs w:val="28"/>
            </w:rPr>
            <w:t>State Office of HIV/AIDS, Nevada Division of Public and Behavioral Health</w:t>
          </w:r>
        </w:p>
        <w:p w:rsidR="007F0FB0" w:rsidRDefault="007F2D44" w:rsidP="007F0FB0">
          <w:pPr>
            <w:widowControl w:val="0"/>
            <w:autoSpaceDE w:val="0"/>
            <w:autoSpaceDN w:val="0"/>
            <w:adjustRightInd w:val="0"/>
            <w:spacing w:before="0" w:after="0"/>
            <w:jc w:val="center"/>
          </w:pPr>
          <w:r w:rsidRPr="009B63AA">
            <w:rPr>
              <w:noProof/>
            </w:rPr>
            <w:drawing>
              <wp:anchor distT="0" distB="0" distL="114300" distR="114300" simplePos="0" relativeHeight="251803648" behindDoc="0" locked="0" layoutInCell="1" allowOverlap="1" wp14:anchorId="30FB61F2" wp14:editId="36E94E9E">
                <wp:simplePos x="0" y="0"/>
                <wp:positionH relativeFrom="column">
                  <wp:posOffset>3170555</wp:posOffset>
                </wp:positionH>
                <wp:positionV relativeFrom="paragraph">
                  <wp:posOffset>490855</wp:posOffset>
                </wp:positionV>
                <wp:extent cx="1990090" cy="706755"/>
                <wp:effectExtent l="0" t="0" r="0" b="0"/>
                <wp:wrapSquare wrapText="bothSides"/>
                <wp:docPr id="242" name="Picture 6" descr="xx">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7" name="Picture 6" descr="xx">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09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8C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Great Seal of the State of Nevada" style="position:absolute;left:0;text-align:left;margin-left:77.25pt;margin-top:17.95pt;width:116.25pt;height:117.75pt;z-index:251801600;mso-position-horizontal-relative:text;mso-position-vertical-relative:text">
                <v:imagedata r:id="rId11" o:title="Nvseal99"/>
                <w10:wrap type="square"/>
              </v:shape>
            </w:pict>
          </w:r>
          <w:r>
            <w:rPr>
              <w:noProof/>
            </w:rPr>
            <mc:AlternateContent>
              <mc:Choice Requires="wps">
                <w:drawing>
                  <wp:anchor distT="0" distB="0" distL="114300" distR="114300" simplePos="0" relativeHeight="251767808" behindDoc="0" locked="0" layoutInCell="1" allowOverlap="1" wp14:anchorId="223ADF71" wp14:editId="479AB15D">
                    <wp:simplePos x="0" y="0"/>
                    <wp:positionH relativeFrom="column">
                      <wp:posOffset>123825</wp:posOffset>
                    </wp:positionH>
                    <wp:positionV relativeFrom="paragraph">
                      <wp:posOffset>1998980</wp:posOffset>
                    </wp:positionV>
                    <wp:extent cx="5947576" cy="63611"/>
                    <wp:effectExtent l="0" t="0" r="0" b="0"/>
                    <wp:wrapNone/>
                    <wp:docPr id="20" name="Rectangle 20"/>
                    <wp:cNvGraphicFramePr/>
                    <a:graphic xmlns:a="http://schemas.openxmlformats.org/drawingml/2006/main">
                      <a:graphicData uri="http://schemas.microsoft.com/office/word/2010/wordprocessingShape">
                        <wps:wsp>
                          <wps:cNvSpPr/>
                          <wps:spPr>
                            <a:xfrm>
                              <a:off x="0" y="0"/>
                              <a:ext cx="5947576" cy="6361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26E6149" id="Rectangle 20" o:spid="_x0000_s1026" style="position:absolute;margin-left:9.75pt;margin-top:157.4pt;width:468.3pt;height: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vwfwIAAFIFAAAOAAAAZHJzL2Uyb0RvYy54bWysVMFuGyEQvVfqPyDuzXpd22msrCMrUapK&#10;UWIlqXLGLHhXAoYC9tr9+g6w3lhJ1ENVHzAwM29m3r7h8mqvFdkJ51swFS3PRpQIw6FuzaaiP59v&#10;v3yjxAdmaqbAiIoehKdXi8+fLjs7F2NoQNXCEQQxft7ZijYh2HlReN4IzfwZWGHQKMFpFvDoNkXt&#10;WIfoWhXj0WhWdOBq64AL7/H2JhvpIuFLKXh4kNKLQFRFsbaQVpfWdVyLxSWbbxyzTcv7Mtg/VKFZ&#10;azDpAHXDAiNb176D0i134EGGMw66AClbLlIP2E05etPNU8OsSL0gOd4ONPn/B8vvdytH2rqiY6TH&#10;MI3f6BFZY2ajBME7JKizfo5+T3bl+pPHbex2L52O/9gH2SdSDwOpYh8Ix8vpxeR8ej6jhKNt9nVW&#10;lhGzeA22zofvAjSJm4o6zJ6oZLs7H7Lr0SXmUiauBm5bpbI13hSxyFxW2oWDEtn7UUjsDwsZJ9Sk&#10;LHGtHNkx1ATjXJhQZlPDapGvpyP89XUOEalqZRAwIkvMP2D3AFG177Fzlb1/DBVJmEPw6G+F5eAh&#10;ImUGE4Zg3RpwHwEo7KrPnP2PJGVqIktrqA/49R3ksfCW37b4De6YDyvmcA5QEjjb4QEXqaCrKPQ7&#10;Shpwvz+6j/4oT7RS0uFcVdT/2jInKFE/DAr3opxM4iCmw2R6HmXnTi3rU4vZ6mvAz1TiK2J52kb/&#10;oI5b6UC/4BOwjFnRxAzH3BXlwR0P1yHPOz4iXCyXyQ2Hz7JwZ54sj+CR1aix5/0Lc7YXYkAF38Nx&#10;Btn8jR6zb4w0sNwGkG0S6yuvPd84uEk4/SMTX4bTc/J6fQoXfwAAAP//AwBQSwMEFAAGAAgAAAAh&#10;ACc+l3feAAAACgEAAA8AAABkcnMvZG93bnJldi54bWxMj8FOwzAQRO9I/IO1SNyok0IiGuJUgETP&#10;UCoENzfexhHxOoqdJuXrWU7lOLNPszPlenadOOIQWk8K0kUCAqn2pqVGwe795eYeRIiajO48oYIT&#10;BlhXlxelLoyf6A2P29gIDqFQaAU2xr6QMtQWnQ4L3yPx7eAHpyPLoZFm0BOHu04ukySXTrfEH6zu&#10;8dli/b0dnYJ+s3v9OtinfspPH9lmbsbPn3ZU6vpqfnwAEXGOZxj+6nN1qLjT3o9kguhYrzImFdym&#10;dzyBgVWWpyD27CzZkVUp/0+ofgEAAP//AwBQSwECLQAUAAYACAAAACEAtoM4kv4AAADhAQAAEwAA&#10;AAAAAAAAAAAAAAAAAAAAW0NvbnRlbnRfVHlwZXNdLnhtbFBLAQItABQABgAIAAAAIQA4/SH/1gAA&#10;AJQBAAALAAAAAAAAAAAAAAAAAC8BAABfcmVscy8ucmVsc1BLAQItABQABgAIAAAAIQDUPDvwfwIA&#10;AFIFAAAOAAAAAAAAAAAAAAAAAC4CAABkcnMvZTJvRG9jLnhtbFBLAQItABQABgAIAAAAIQAnPpd3&#10;3gAAAAoBAAAPAAAAAAAAAAAAAAAAANkEAABkcnMvZG93bnJldi54bWxQSwUGAAAAAAQABADzAAAA&#10;5AUAAAAA&#10;" fillcolor="#4f81bd [3204]" stroked="f" strokeweight="2pt"/>
                </w:pict>
              </mc:Fallback>
            </mc:AlternateContent>
          </w:r>
          <w:r w:rsidR="00E84277">
            <w:br w:type="page"/>
          </w:r>
        </w:p>
        <w:p w:rsidR="00C47B1C" w:rsidRDefault="00C47B1C" w:rsidP="00C47B1C">
          <w:pPr>
            <w:pStyle w:val="Heading1"/>
            <w:spacing w:after="240"/>
          </w:pPr>
          <w:bookmarkStart w:id="1" w:name="_Toc461188567"/>
          <w:r>
            <w:lastRenderedPageBreak/>
            <w:t>Table of Contents</w:t>
          </w:r>
          <w:bookmarkEnd w:id="1"/>
        </w:p>
        <w:p w:rsidR="00716B36" w:rsidRPr="00716B36" w:rsidRDefault="00C47B1C" w:rsidP="00716B36">
          <w:pPr>
            <w:pStyle w:val="TOC1"/>
            <w:tabs>
              <w:tab w:val="right" w:leader="dot" w:pos="9350"/>
            </w:tabs>
            <w:spacing w:before="120"/>
            <w:rPr>
              <w:rFonts w:asciiTheme="minorHAnsi" w:hAnsiTheme="minorHAnsi"/>
              <w:b w:val="0"/>
              <w:bCs w:val="0"/>
              <w:caps w:val="0"/>
              <w:noProof/>
              <w:sz w:val="22"/>
              <w:szCs w:val="22"/>
            </w:rPr>
          </w:pPr>
          <w:r w:rsidRPr="00716B36">
            <w:rPr>
              <w:rFonts w:asciiTheme="minorHAnsi" w:hAnsiTheme="minorHAnsi"/>
              <w:sz w:val="22"/>
              <w:szCs w:val="22"/>
            </w:rPr>
            <w:fldChar w:fldCharType="begin"/>
          </w:r>
          <w:r w:rsidRPr="00716B36">
            <w:rPr>
              <w:rFonts w:asciiTheme="minorHAnsi" w:hAnsiTheme="minorHAnsi"/>
              <w:sz w:val="22"/>
              <w:szCs w:val="22"/>
            </w:rPr>
            <w:instrText xml:space="preserve"> TOC \o "1-3" \h \z \u </w:instrText>
          </w:r>
          <w:r w:rsidRPr="00716B36">
            <w:rPr>
              <w:rFonts w:asciiTheme="minorHAnsi" w:hAnsiTheme="minorHAnsi"/>
              <w:sz w:val="22"/>
              <w:szCs w:val="22"/>
            </w:rPr>
            <w:fldChar w:fldCharType="separate"/>
          </w:r>
          <w:hyperlink w:anchor="_Toc461188568" w:history="1">
            <w:r w:rsidR="00716B36" w:rsidRPr="00716B36">
              <w:rPr>
                <w:rStyle w:val="Hyperlink"/>
                <w:rFonts w:asciiTheme="minorHAnsi" w:hAnsiTheme="minorHAnsi"/>
                <w:noProof/>
                <w:sz w:val="22"/>
                <w:szCs w:val="22"/>
              </w:rPr>
              <w:t>Acknowledgements</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_Toc461188568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4</w:t>
            </w:r>
            <w:r w:rsidR="00716B36" w:rsidRPr="00716B36">
              <w:rPr>
                <w:rFonts w:asciiTheme="minorHAnsi" w:hAnsiTheme="minorHAnsi"/>
                <w:noProof/>
                <w:webHidden/>
                <w:sz w:val="22"/>
                <w:szCs w:val="22"/>
              </w:rPr>
              <w:fldChar w:fldCharType="end"/>
            </w:r>
          </w:hyperlink>
        </w:p>
        <w:p w:rsidR="00716B36" w:rsidRPr="00716B36" w:rsidRDefault="00C178CB" w:rsidP="00716B36">
          <w:pPr>
            <w:pStyle w:val="TOC1"/>
            <w:tabs>
              <w:tab w:val="right" w:leader="dot" w:pos="9350"/>
            </w:tabs>
            <w:spacing w:before="120"/>
            <w:rPr>
              <w:rFonts w:asciiTheme="minorHAnsi" w:hAnsiTheme="minorHAnsi"/>
              <w:b w:val="0"/>
              <w:bCs w:val="0"/>
              <w:caps w:val="0"/>
              <w:noProof/>
              <w:sz w:val="22"/>
              <w:szCs w:val="22"/>
            </w:rPr>
          </w:pPr>
          <w:hyperlink w:anchor="_Toc461188569" w:history="1">
            <w:r w:rsidR="00716B36" w:rsidRPr="00716B36">
              <w:rPr>
                <w:rStyle w:val="Hyperlink"/>
                <w:rFonts w:asciiTheme="minorHAnsi" w:hAnsiTheme="minorHAnsi"/>
                <w:noProof/>
                <w:sz w:val="22"/>
                <w:szCs w:val="22"/>
              </w:rPr>
              <w:t>Executive Summary</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_Toc461188569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5</w:t>
            </w:r>
            <w:r w:rsidR="00716B36" w:rsidRPr="00716B36">
              <w:rPr>
                <w:rFonts w:asciiTheme="minorHAnsi" w:hAnsiTheme="minorHAnsi"/>
                <w:noProof/>
                <w:webHidden/>
                <w:sz w:val="22"/>
                <w:szCs w:val="22"/>
              </w:rPr>
              <w:fldChar w:fldCharType="end"/>
            </w:r>
          </w:hyperlink>
        </w:p>
        <w:p w:rsidR="00716B36" w:rsidRPr="00716B36" w:rsidRDefault="00C178CB" w:rsidP="00716B36">
          <w:pPr>
            <w:pStyle w:val="TOC1"/>
            <w:tabs>
              <w:tab w:val="right" w:leader="dot" w:pos="9350"/>
            </w:tabs>
            <w:spacing w:before="120"/>
            <w:rPr>
              <w:rFonts w:asciiTheme="minorHAnsi" w:hAnsiTheme="minorHAnsi"/>
              <w:b w:val="0"/>
              <w:bCs w:val="0"/>
              <w:caps w:val="0"/>
              <w:noProof/>
              <w:sz w:val="22"/>
              <w:szCs w:val="22"/>
            </w:rPr>
          </w:pPr>
          <w:hyperlink w:anchor="_Toc461188570" w:history="1">
            <w:r w:rsidR="00716B36" w:rsidRPr="00716B36">
              <w:rPr>
                <w:rStyle w:val="Hyperlink"/>
                <w:rFonts w:asciiTheme="minorHAnsi" w:hAnsiTheme="minorHAnsi"/>
                <w:noProof/>
                <w:sz w:val="22"/>
                <w:szCs w:val="22"/>
              </w:rPr>
              <w:t>Introduction</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_Toc461188570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10</w:t>
            </w:r>
            <w:r w:rsidR="00716B36" w:rsidRPr="00716B36">
              <w:rPr>
                <w:rFonts w:asciiTheme="minorHAnsi" w:hAnsiTheme="minorHAnsi"/>
                <w:noProof/>
                <w:webHidden/>
                <w:sz w:val="22"/>
                <w:szCs w:val="22"/>
              </w:rPr>
              <w:fldChar w:fldCharType="end"/>
            </w:r>
          </w:hyperlink>
        </w:p>
        <w:p w:rsidR="00716B36" w:rsidRPr="00716B36" w:rsidRDefault="00C178CB" w:rsidP="00716B36">
          <w:pPr>
            <w:pStyle w:val="TOC1"/>
            <w:tabs>
              <w:tab w:val="right" w:leader="dot" w:pos="9350"/>
            </w:tabs>
            <w:spacing w:before="120"/>
            <w:rPr>
              <w:rFonts w:asciiTheme="minorHAnsi" w:hAnsiTheme="minorHAnsi"/>
              <w:b w:val="0"/>
              <w:bCs w:val="0"/>
              <w:caps w:val="0"/>
              <w:noProof/>
              <w:sz w:val="22"/>
              <w:szCs w:val="22"/>
            </w:rPr>
          </w:pPr>
          <w:hyperlink w:anchor="_Toc461188571" w:history="1">
            <w:r w:rsidR="00716B36" w:rsidRPr="00716B36">
              <w:rPr>
                <w:rStyle w:val="Hyperlink"/>
                <w:rFonts w:asciiTheme="minorHAnsi" w:hAnsiTheme="minorHAnsi"/>
                <w:noProof/>
                <w:sz w:val="22"/>
                <w:szCs w:val="22"/>
              </w:rPr>
              <w:t>Section I: Statewide Coordinated Statement of Need/Needs Assessment</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_Toc461188571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11</w:t>
            </w:r>
            <w:r w:rsidR="00716B36" w:rsidRPr="00716B36">
              <w:rPr>
                <w:rFonts w:asciiTheme="minorHAnsi" w:hAnsiTheme="minorHAnsi"/>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72" w:history="1">
            <w:r w:rsidR="00716B36" w:rsidRPr="00716B36">
              <w:rPr>
                <w:rStyle w:val="Hyperlink"/>
                <w:noProof/>
                <w:sz w:val="22"/>
                <w:szCs w:val="22"/>
              </w:rPr>
              <w:t>A. Epidemiologic Overview</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_Toc461188572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11</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73" w:history="1">
            <w:r w:rsidR="00716B36" w:rsidRPr="00716B36">
              <w:rPr>
                <w:rStyle w:val="Hyperlink"/>
                <w:noProof/>
                <w:sz w:val="22"/>
                <w:szCs w:val="22"/>
              </w:rPr>
              <w:t>Description of Nevada</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_Toc461188573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11</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74" w:history="1">
            <w:r w:rsidR="00716B36" w:rsidRPr="00716B36">
              <w:rPr>
                <w:rStyle w:val="Hyperlink"/>
                <w:noProof/>
                <w:sz w:val="22"/>
                <w:szCs w:val="22"/>
              </w:rPr>
              <w:t>Socio-Demographic Characteristics of Populations At Risk for HIV, Newly Diagnosed, or Living with HIV</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_Toc461188574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12</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75" w:history="1">
            <w:r w:rsidR="00716B36" w:rsidRPr="00716B36">
              <w:rPr>
                <w:rStyle w:val="Hyperlink"/>
                <w:noProof/>
                <w:sz w:val="22"/>
                <w:szCs w:val="22"/>
              </w:rPr>
              <w:t>The Burden of HIV in Nevada</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_Toc461188575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15</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76" w:history="1">
            <w:r w:rsidR="00716B36" w:rsidRPr="00716B36">
              <w:rPr>
                <w:rStyle w:val="Hyperlink"/>
                <w:noProof/>
                <w:sz w:val="22"/>
                <w:szCs w:val="22"/>
              </w:rPr>
              <w:t>Indicators of Risk for HIV Infection in Nevada</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_Toc461188576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31</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77" w:history="1">
            <w:r w:rsidR="00716B36" w:rsidRPr="00716B36">
              <w:rPr>
                <w:rStyle w:val="Hyperlink"/>
                <w:noProof/>
                <w:sz w:val="22"/>
                <w:szCs w:val="22"/>
              </w:rPr>
              <w:t>B. HIV Care Continuum</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_Toc461188577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39</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78" w:history="1">
            <w:r w:rsidR="00716B36" w:rsidRPr="00716B36">
              <w:rPr>
                <w:rStyle w:val="Hyperlink"/>
                <w:noProof/>
                <w:sz w:val="22"/>
                <w:szCs w:val="22"/>
              </w:rPr>
              <w:t>C. Financial and Human Resources Inventory</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_Toc461188578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46</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79" w:history="1">
            <w:r w:rsidR="00716B36" w:rsidRPr="00716B36">
              <w:rPr>
                <w:rStyle w:val="Hyperlink"/>
                <w:noProof/>
                <w:sz w:val="22"/>
                <w:szCs w:val="22"/>
              </w:rPr>
              <w:t>HIV Workforce Capacity</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_Toc461188579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48</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0" w:history="1">
            <w:r w:rsidR="00716B36" w:rsidRPr="00716B36">
              <w:rPr>
                <w:rStyle w:val="Hyperlink"/>
                <w:noProof/>
                <w:sz w:val="22"/>
                <w:szCs w:val="22"/>
              </w:rPr>
              <w:t>Interaction of Funding Sources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_Toc461188580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49</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1" w:history="1">
            <w:r w:rsidR="00716B36" w:rsidRPr="00716B36">
              <w:rPr>
                <w:rStyle w:val="Hyperlink"/>
                <w:noProof/>
                <w:sz w:val="22"/>
                <w:szCs w:val="22"/>
              </w:rPr>
              <w:t>Needed Resources/Services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_Toc461188581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51</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82" w:history="1">
            <w:r w:rsidR="00716B36" w:rsidRPr="00716B36">
              <w:rPr>
                <w:rStyle w:val="Hyperlink"/>
                <w:noProof/>
                <w:sz w:val="22"/>
                <w:szCs w:val="22"/>
              </w:rPr>
              <w:t>D. Assessing Needs, Gaps, and Barriers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_Toc461188582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52</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3" w:history="1">
            <w:r w:rsidR="00716B36" w:rsidRPr="00716B36">
              <w:rPr>
                <w:rStyle w:val="Hyperlink"/>
                <w:noProof/>
                <w:sz w:val="22"/>
                <w:szCs w:val="22"/>
              </w:rPr>
              <w:t>Needs Assessment Process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_Toc461188583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52</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4" w:history="1">
            <w:r w:rsidR="00716B36" w:rsidRPr="00716B36">
              <w:rPr>
                <w:rStyle w:val="Hyperlink"/>
                <w:noProof/>
                <w:sz w:val="22"/>
                <w:szCs w:val="22"/>
              </w:rPr>
              <w:t>HIV Prevention Needs and Gaps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_Toc461188584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54</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5" w:history="1">
            <w:r w:rsidR="00716B36" w:rsidRPr="00716B36">
              <w:rPr>
                <w:rStyle w:val="Hyperlink"/>
                <w:noProof/>
                <w:sz w:val="22"/>
                <w:szCs w:val="22"/>
              </w:rPr>
              <w:t>HIV Care Service Needs and Gaps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_Toc461188585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56</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6" w:history="1">
            <w:r w:rsidR="00716B36" w:rsidRPr="00716B36">
              <w:rPr>
                <w:rStyle w:val="Hyperlink"/>
                <w:noProof/>
                <w:sz w:val="22"/>
                <w:szCs w:val="22"/>
              </w:rPr>
              <w:t>Barriers to HIV Prevention and Care Services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_Toc461188586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58</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87" w:history="1">
            <w:r w:rsidR="00716B36" w:rsidRPr="00716B36">
              <w:rPr>
                <w:rStyle w:val="Hyperlink"/>
                <w:noProof/>
                <w:sz w:val="22"/>
                <w:szCs w:val="22"/>
              </w:rPr>
              <w:t>E. Data: Access, Sources, and Systems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_Toc461188587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61</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8" w:history="1">
            <w:r w:rsidR="00716B36" w:rsidRPr="00716B36">
              <w:rPr>
                <w:rStyle w:val="Hyperlink"/>
                <w:noProof/>
                <w:sz w:val="22"/>
                <w:szCs w:val="22"/>
              </w:rPr>
              <w:t>Main Sources of Data</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_Toc461188588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61</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89" w:history="1">
            <w:r w:rsidR="00716B36" w:rsidRPr="00716B36">
              <w:rPr>
                <w:rStyle w:val="Hyperlink"/>
                <w:noProof/>
                <w:sz w:val="22"/>
                <w:szCs w:val="22"/>
              </w:rPr>
              <w:t>Data Policies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_Toc461188589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63</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90" w:history="1">
            <w:r w:rsidR="00716B36" w:rsidRPr="00716B36">
              <w:rPr>
                <w:rStyle w:val="Hyperlink"/>
                <w:noProof/>
                <w:sz w:val="22"/>
                <w:szCs w:val="22"/>
              </w:rPr>
              <w:t>Desired Data and Information</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_Toc461188590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64</w:t>
            </w:r>
            <w:r w:rsidR="00716B36" w:rsidRPr="00716B36">
              <w:rPr>
                <w:noProof/>
                <w:webHidden/>
                <w:sz w:val="22"/>
                <w:szCs w:val="22"/>
              </w:rPr>
              <w:fldChar w:fldCharType="end"/>
            </w:r>
          </w:hyperlink>
        </w:p>
        <w:p w:rsidR="00716B36" w:rsidRPr="00716B36" w:rsidRDefault="00C178CB" w:rsidP="00716B36">
          <w:pPr>
            <w:pStyle w:val="TOC1"/>
            <w:tabs>
              <w:tab w:val="right" w:leader="dot" w:pos="9350"/>
            </w:tabs>
            <w:spacing w:before="120"/>
            <w:rPr>
              <w:rFonts w:asciiTheme="minorHAnsi" w:hAnsiTheme="minorHAnsi"/>
              <w:b w:val="0"/>
              <w:bCs w:val="0"/>
              <w:caps w:val="0"/>
              <w:noProof/>
              <w:sz w:val="22"/>
              <w:szCs w:val="22"/>
            </w:rPr>
          </w:pPr>
          <w:hyperlink w:anchor="_Toc461188591" w:history="1">
            <w:r w:rsidR="00716B36" w:rsidRPr="00716B36">
              <w:rPr>
                <w:rStyle w:val="Hyperlink"/>
                <w:rFonts w:asciiTheme="minorHAnsi" w:hAnsiTheme="minorHAnsi"/>
                <w:noProof/>
                <w:sz w:val="22"/>
                <w:szCs w:val="22"/>
              </w:rPr>
              <w:t>Section II: Integrated HIV Prevention and Care Plan</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_Toc461188591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64</w:t>
            </w:r>
            <w:r w:rsidR="00716B36" w:rsidRPr="00716B36">
              <w:rPr>
                <w:rFonts w:asciiTheme="minorHAnsi" w:hAnsiTheme="minorHAnsi"/>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92" w:history="1">
            <w:r w:rsidR="00716B36" w:rsidRPr="00716B36">
              <w:rPr>
                <w:rStyle w:val="Hyperlink"/>
                <w:noProof/>
                <w:sz w:val="22"/>
                <w:szCs w:val="22"/>
              </w:rPr>
              <w:t>A. Integrated HIV Prevention and Care Plan</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_Toc461188592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64</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93" w:history="1">
            <w:r w:rsidR="00716B36" w:rsidRPr="00716B36">
              <w:rPr>
                <w:rStyle w:val="Hyperlink"/>
                <w:noProof/>
                <w:sz w:val="22"/>
                <w:szCs w:val="22"/>
              </w:rPr>
              <w:t>Overview of Nevada’s Goals, Objectives, and Strategies for 2017-2021</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_Toc461188593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64</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94" w:history="1">
            <w:r w:rsidR="00716B36" w:rsidRPr="00716B36">
              <w:rPr>
                <w:rStyle w:val="Hyperlink"/>
                <w:noProof/>
                <w:sz w:val="22"/>
                <w:szCs w:val="22"/>
              </w:rPr>
              <w:t>Goal 1: Reducing new HIV infections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_Toc461188594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67</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95" w:history="1">
            <w:r w:rsidR="00716B36" w:rsidRPr="00716B36">
              <w:rPr>
                <w:rStyle w:val="Hyperlink"/>
                <w:noProof/>
                <w:sz w:val="22"/>
                <w:szCs w:val="22"/>
              </w:rPr>
              <w:t>Goal 2: Increasing access to care and improving health outcomes for PLWH</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_Toc461188595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74</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96" w:history="1">
            <w:r w:rsidR="00716B36" w:rsidRPr="00716B36">
              <w:rPr>
                <w:rStyle w:val="Hyperlink"/>
                <w:noProof/>
                <w:sz w:val="22"/>
                <w:szCs w:val="22"/>
              </w:rPr>
              <w:t>Goal 3: Reducing HIV related disparities and health inequities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_Toc461188596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88</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97" w:history="1">
            <w:r w:rsidR="00716B36" w:rsidRPr="00716B36">
              <w:rPr>
                <w:rStyle w:val="Hyperlink"/>
                <w:noProof/>
                <w:sz w:val="22"/>
                <w:szCs w:val="22"/>
              </w:rPr>
              <w:t>B. Collaborations, Partnerships, and Stakeholder Involvement</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_Toc461188597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98</w:t>
            </w:r>
            <w:r w:rsidR="00716B36" w:rsidRPr="00716B36">
              <w:rPr>
                <w:noProof/>
                <w:webHidden/>
                <w:sz w:val="22"/>
                <w:szCs w:val="22"/>
              </w:rPr>
              <w:fldChar w:fldCharType="end"/>
            </w:r>
          </w:hyperlink>
        </w:p>
        <w:p w:rsidR="00716B36" w:rsidRPr="00716B36" w:rsidRDefault="00C178CB" w:rsidP="00716B36">
          <w:pPr>
            <w:pStyle w:val="TOC3"/>
            <w:tabs>
              <w:tab w:val="right" w:leader="dot" w:pos="9350"/>
            </w:tabs>
            <w:spacing w:before="120"/>
            <w:rPr>
              <w:noProof/>
              <w:sz w:val="22"/>
              <w:szCs w:val="22"/>
            </w:rPr>
          </w:pPr>
          <w:hyperlink w:anchor="_Toc461188598" w:history="1">
            <w:r w:rsidR="00716B36" w:rsidRPr="00716B36">
              <w:rPr>
                <w:rStyle w:val="Hyperlink"/>
                <w:noProof/>
                <w:sz w:val="22"/>
                <w:szCs w:val="22"/>
              </w:rPr>
              <w:t>Contributions of Stakeholders and Key Partners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_Toc461188598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98</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599" w:history="1">
            <w:r w:rsidR="00716B36" w:rsidRPr="00716B36">
              <w:rPr>
                <w:rStyle w:val="Hyperlink"/>
                <w:noProof/>
                <w:sz w:val="22"/>
                <w:szCs w:val="22"/>
              </w:rPr>
              <w:t>C. People Living With HIV (PLWH) and Community Engagement</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_Toc461188599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99</w:t>
            </w:r>
            <w:r w:rsidR="00716B36" w:rsidRPr="00716B36">
              <w:rPr>
                <w:noProof/>
                <w:webHidden/>
                <w:sz w:val="22"/>
                <w:szCs w:val="22"/>
              </w:rPr>
              <w:fldChar w:fldCharType="end"/>
            </w:r>
          </w:hyperlink>
        </w:p>
        <w:p w:rsidR="00716B36" w:rsidRPr="00716B36" w:rsidRDefault="00C178CB" w:rsidP="00716B36">
          <w:pPr>
            <w:pStyle w:val="TOC1"/>
            <w:tabs>
              <w:tab w:val="right" w:leader="dot" w:pos="9350"/>
            </w:tabs>
            <w:spacing w:before="120"/>
            <w:rPr>
              <w:rFonts w:asciiTheme="minorHAnsi" w:hAnsiTheme="minorHAnsi"/>
              <w:b w:val="0"/>
              <w:bCs w:val="0"/>
              <w:caps w:val="0"/>
              <w:noProof/>
              <w:sz w:val="22"/>
              <w:szCs w:val="22"/>
            </w:rPr>
          </w:pPr>
          <w:hyperlink w:anchor="_Toc461188600" w:history="1">
            <w:r w:rsidR="00716B36" w:rsidRPr="00716B36">
              <w:rPr>
                <w:rStyle w:val="Hyperlink"/>
                <w:rFonts w:asciiTheme="minorHAnsi" w:hAnsiTheme="minorHAnsi"/>
                <w:noProof/>
                <w:sz w:val="22"/>
                <w:szCs w:val="22"/>
              </w:rPr>
              <w:t>Section III: Monitoring and Improvement</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_Toc461188600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102</w:t>
            </w:r>
            <w:r w:rsidR="00716B36" w:rsidRPr="00716B36">
              <w:rPr>
                <w:rFonts w:asciiTheme="minorHAnsi" w:hAnsiTheme="minorHAnsi"/>
                <w:noProof/>
                <w:webHidden/>
                <w:sz w:val="22"/>
                <w:szCs w:val="22"/>
              </w:rPr>
              <w:fldChar w:fldCharType="end"/>
            </w:r>
          </w:hyperlink>
        </w:p>
        <w:p w:rsidR="00716B36" w:rsidRPr="00716B36" w:rsidRDefault="00C178CB" w:rsidP="00716B36">
          <w:pPr>
            <w:pStyle w:val="TOC1"/>
            <w:tabs>
              <w:tab w:val="right" w:leader="dot" w:pos="9350"/>
            </w:tabs>
            <w:spacing w:before="120"/>
            <w:rPr>
              <w:rFonts w:asciiTheme="minorHAnsi" w:hAnsiTheme="minorHAnsi"/>
              <w:b w:val="0"/>
              <w:bCs w:val="0"/>
              <w:caps w:val="0"/>
              <w:noProof/>
              <w:sz w:val="22"/>
              <w:szCs w:val="22"/>
            </w:rPr>
          </w:pPr>
          <w:hyperlink w:anchor="_Toc461188601" w:history="1">
            <w:r w:rsidR="00716B36" w:rsidRPr="00716B36">
              <w:rPr>
                <w:rStyle w:val="Hyperlink"/>
                <w:rFonts w:asciiTheme="minorHAnsi" w:hAnsiTheme="minorHAnsi"/>
                <w:noProof/>
                <w:sz w:val="22"/>
                <w:szCs w:val="22"/>
              </w:rPr>
              <w:t>Appendices</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_Toc461188601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103</w:t>
            </w:r>
            <w:r w:rsidR="00716B36" w:rsidRPr="00716B36">
              <w:rPr>
                <w:rFonts w:asciiTheme="minorHAnsi" w:hAnsiTheme="minorHAnsi"/>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2" w:history="1">
            <w:r w:rsidR="00716B36" w:rsidRPr="00716B36">
              <w:rPr>
                <w:rStyle w:val="Hyperlink"/>
                <w:noProof/>
                <w:sz w:val="22"/>
                <w:szCs w:val="22"/>
              </w:rPr>
              <w:t>Appendix A: List of Acronyms and Definitions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_Toc461188602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103</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3" w:history="1">
            <w:r w:rsidR="00716B36" w:rsidRPr="00716B36">
              <w:rPr>
                <w:rStyle w:val="Hyperlink"/>
                <w:noProof/>
                <w:sz w:val="22"/>
                <w:szCs w:val="22"/>
              </w:rPr>
              <w:t>Appendix B Additional Epidemiological Profile Tables and Graphs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_Toc461188603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108</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4" w:history="1">
            <w:r w:rsidR="00716B36" w:rsidRPr="00716B36">
              <w:rPr>
                <w:rStyle w:val="Hyperlink"/>
                <w:noProof/>
                <w:sz w:val="22"/>
                <w:szCs w:val="22"/>
              </w:rPr>
              <w:t>Appendix C: Jurisdictional HIV Resources Inventory</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_Toc461188604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119</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5" w:history="1">
            <w:r w:rsidR="00716B36" w:rsidRPr="00716B36">
              <w:rPr>
                <w:rStyle w:val="Hyperlink"/>
                <w:noProof/>
                <w:sz w:val="22"/>
                <w:szCs w:val="22"/>
              </w:rPr>
              <w:t>Appendix D: Stakeholder Meeting Representatives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_Toc461188605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124</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6" w:history="1">
            <w:r w:rsidR="00716B36" w:rsidRPr="00716B36">
              <w:rPr>
                <w:rStyle w:val="Hyperlink"/>
                <w:noProof/>
                <w:sz w:val="22"/>
                <w:szCs w:val="22"/>
              </w:rPr>
              <w:t>Appendix E: Las Vegas TGA Needs Assessment and Customer Satisfaction Reports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_Toc461188606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126</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7" w:history="1">
            <w:r w:rsidR="00716B36" w:rsidRPr="00716B36">
              <w:rPr>
                <w:rStyle w:val="Hyperlink"/>
                <w:noProof/>
                <w:sz w:val="22"/>
                <w:szCs w:val="22"/>
              </w:rPr>
              <w:t>Appendix F: Client Survey</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_Toc461188607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127</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8" w:history="1">
            <w:r w:rsidR="00716B36" w:rsidRPr="00716B36">
              <w:rPr>
                <w:rStyle w:val="Hyperlink"/>
                <w:noProof/>
                <w:sz w:val="22"/>
                <w:szCs w:val="22"/>
              </w:rPr>
              <w:t>Appendix G: Summary of Client Survey Results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_Toc461188608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129</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09" w:history="1">
            <w:r w:rsidR="00716B36" w:rsidRPr="00716B36">
              <w:rPr>
                <w:rStyle w:val="Hyperlink"/>
                <w:noProof/>
                <w:sz w:val="22"/>
                <w:szCs w:val="22"/>
              </w:rPr>
              <w:t>Appendix H: Community HIV Prevention Survey</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_Toc461188609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140</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10" w:history="1">
            <w:r w:rsidR="00716B36" w:rsidRPr="00716B36">
              <w:rPr>
                <w:rStyle w:val="Hyperlink"/>
                <w:noProof/>
                <w:sz w:val="22"/>
                <w:szCs w:val="22"/>
              </w:rPr>
              <w:t>Appendix I: Summary of HIV Prevention Community Survey Results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_Toc461188610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143</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11" w:history="1">
            <w:r w:rsidR="00716B36" w:rsidRPr="00716B36">
              <w:rPr>
                <w:rStyle w:val="Hyperlink"/>
                <w:noProof/>
                <w:sz w:val="22"/>
                <w:szCs w:val="22"/>
              </w:rPr>
              <w:t>Appendix J: Focus Group Questions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_Toc461188611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151</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12" w:history="1">
            <w:r w:rsidR="00716B36" w:rsidRPr="00716B36">
              <w:rPr>
                <w:rStyle w:val="Hyperlink"/>
                <w:noProof/>
                <w:sz w:val="22"/>
                <w:szCs w:val="22"/>
              </w:rPr>
              <w:t>Appendix K: Summary of Focus Group Results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_Toc461188612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154</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13" w:history="1">
            <w:r w:rsidR="00716B36" w:rsidRPr="00716B36">
              <w:rPr>
                <w:rStyle w:val="Hyperlink"/>
                <w:noProof/>
                <w:sz w:val="22"/>
                <w:szCs w:val="22"/>
              </w:rPr>
              <w:t>Appendix L: Provider Survey Results</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_Toc461188613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161</w:t>
            </w:r>
            <w:r w:rsidR="00716B36" w:rsidRPr="00716B36">
              <w:rPr>
                <w:noProof/>
                <w:webHidden/>
                <w:sz w:val="22"/>
                <w:szCs w:val="22"/>
              </w:rPr>
              <w:fldChar w:fldCharType="end"/>
            </w:r>
          </w:hyperlink>
        </w:p>
        <w:p w:rsidR="00716B36" w:rsidRPr="00716B36" w:rsidRDefault="00C178CB" w:rsidP="00716B36">
          <w:pPr>
            <w:pStyle w:val="TOC2"/>
            <w:tabs>
              <w:tab w:val="right" w:leader="dot" w:pos="9350"/>
            </w:tabs>
            <w:spacing w:before="120"/>
            <w:rPr>
              <w:b w:val="0"/>
              <w:bCs w:val="0"/>
              <w:noProof/>
              <w:sz w:val="22"/>
              <w:szCs w:val="22"/>
            </w:rPr>
          </w:pPr>
          <w:hyperlink w:anchor="_Toc461188614" w:history="1">
            <w:r w:rsidR="00716B36" w:rsidRPr="00716B36">
              <w:rPr>
                <w:rStyle w:val="Hyperlink"/>
                <w:noProof/>
                <w:sz w:val="22"/>
                <w:szCs w:val="22"/>
              </w:rPr>
              <w:t>Appendix M: Letters of Concurrence</w:t>
            </w:r>
            <w:r w:rsidR="00716B36" w:rsidRPr="00716B36">
              <w:rPr>
                <w:noProof/>
                <w:webHidden/>
                <w:sz w:val="22"/>
                <w:szCs w:val="22"/>
              </w:rPr>
              <w:tab/>
            </w:r>
            <w:r w:rsidR="00716B36" w:rsidRPr="00716B36">
              <w:rPr>
                <w:noProof/>
                <w:webHidden/>
                <w:sz w:val="22"/>
                <w:szCs w:val="22"/>
              </w:rPr>
              <w:fldChar w:fldCharType="begin"/>
            </w:r>
            <w:r w:rsidR="00716B36" w:rsidRPr="00716B36">
              <w:rPr>
                <w:noProof/>
                <w:webHidden/>
                <w:sz w:val="22"/>
                <w:szCs w:val="22"/>
              </w:rPr>
              <w:instrText xml:space="preserve"> PAGEREF _Toc461188614 \h </w:instrText>
            </w:r>
            <w:r w:rsidR="00716B36" w:rsidRPr="00716B36">
              <w:rPr>
                <w:noProof/>
                <w:webHidden/>
                <w:sz w:val="22"/>
                <w:szCs w:val="22"/>
              </w:rPr>
            </w:r>
            <w:r w:rsidR="00716B36" w:rsidRPr="00716B36">
              <w:rPr>
                <w:noProof/>
                <w:webHidden/>
                <w:sz w:val="22"/>
                <w:szCs w:val="22"/>
              </w:rPr>
              <w:fldChar w:fldCharType="separate"/>
            </w:r>
            <w:r w:rsidR="0021664D">
              <w:rPr>
                <w:noProof/>
                <w:webHidden/>
                <w:sz w:val="22"/>
                <w:szCs w:val="22"/>
              </w:rPr>
              <w:t>169</w:t>
            </w:r>
            <w:r w:rsidR="00716B36" w:rsidRPr="00716B36">
              <w:rPr>
                <w:noProof/>
                <w:webHidden/>
                <w:sz w:val="22"/>
                <w:szCs w:val="22"/>
              </w:rPr>
              <w:fldChar w:fldCharType="end"/>
            </w:r>
          </w:hyperlink>
        </w:p>
        <w:p w:rsidR="00716B36" w:rsidRPr="00716B36" w:rsidRDefault="00C178CB" w:rsidP="00716B36">
          <w:pPr>
            <w:pStyle w:val="TOC1"/>
            <w:tabs>
              <w:tab w:val="right" w:leader="dot" w:pos="9350"/>
            </w:tabs>
            <w:spacing w:before="120"/>
            <w:rPr>
              <w:rFonts w:asciiTheme="minorHAnsi" w:hAnsiTheme="minorHAnsi"/>
              <w:b w:val="0"/>
              <w:bCs w:val="0"/>
              <w:caps w:val="0"/>
              <w:noProof/>
              <w:sz w:val="22"/>
              <w:szCs w:val="22"/>
            </w:rPr>
          </w:pPr>
          <w:hyperlink w:anchor="_Toc461188615" w:history="1">
            <w:r w:rsidR="00716B36" w:rsidRPr="00716B36">
              <w:rPr>
                <w:rStyle w:val="Hyperlink"/>
                <w:rFonts w:asciiTheme="minorHAnsi" w:hAnsiTheme="minorHAnsi"/>
                <w:noProof/>
                <w:sz w:val="22"/>
                <w:szCs w:val="22"/>
              </w:rPr>
              <w:t>References</w:t>
            </w:r>
            <w:r w:rsidR="00716B36" w:rsidRPr="00716B36">
              <w:rPr>
                <w:rFonts w:asciiTheme="minorHAnsi" w:hAnsiTheme="minorHAnsi"/>
                <w:noProof/>
                <w:webHidden/>
                <w:sz w:val="22"/>
                <w:szCs w:val="22"/>
              </w:rPr>
              <w:tab/>
            </w:r>
            <w:r w:rsidR="00716B36" w:rsidRPr="00716B36">
              <w:rPr>
                <w:rFonts w:asciiTheme="minorHAnsi" w:hAnsiTheme="minorHAnsi"/>
                <w:noProof/>
                <w:webHidden/>
                <w:sz w:val="22"/>
                <w:szCs w:val="22"/>
              </w:rPr>
              <w:fldChar w:fldCharType="begin"/>
            </w:r>
            <w:r w:rsidR="00716B36" w:rsidRPr="00716B36">
              <w:rPr>
                <w:rFonts w:asciiTheme="minorHAnsi" w:hAnsiTheme="minorHAnsi"/>
                <w:noProof/>
                <w:webHidden/>
                <w:sz w:val="22"/>
                <w:szCs w:val="22"/>
              </w:rPr>
              <w:instrText xml:space="preserve"> PAGEREF _Toc461188615 \h </w:instrText>
            </w:r>
            <w:r w:rsidR="00716B36" w:rsidRPr="00716B36">
              <w:rPr>
                <w:rFonts w:asciiTheme="minorHAnsi" w:hAnsiTheme="minorHAnsi"/>
                <w:noProof/>
                <w:webHidden/>
                <w:sz w:val="22"/>
                <w:szCs w:val="22"/>
              </w:rPr>
            </w:r>
            <w:r w:rsidR="00716B36" w:rsidRPr="00716B36">
              <w:rPr>
                <w:rFonts w:asciiTheme="minorHAnsi" w:hAnsiTheme="minorHAnsi"/>
                <w:noProof/>
                <w:webHidden/>
                <w:sz w:val="22"/>
                <w:szCs w:val="22"/>
              </w:rPr>
              <w:fldChar w:fldCharType="separate"/>
            </w:r>
            <w:r w:rsidR="0021664D">
              <w:rPr>
                <w:rFonts w:asciiTheme="minorHAnsi" w:hAnsiTheme="minorHAnsi"/>
                <w:noProof/>
                <w:webHidden/>
                <w:sz w:val="22"/>
                <w:szCs w:val="22"/>
              </w:rPr>
              <w:t>172</w:t>
            </w:r>
            <w:r w:rsidR="00716B36" w:rsidRPr="00716B36">
              <w:rPr>
                <w:rFonts w:asciiTheme="minorHAnsi" w:hAnsiTheme="minorHAnsi"/>
                <w:noProof/>
                <w:webHidden/>
                <w:sz w:val="22"/>
                <w:szCs w:val="22"/>
              </w:rPr>
              <w:fldChar w:fldCharType="end"/>
            </w:r>
          </w:hyperlink>
        </w:p>
        <w:p w:rsidR="00C47B1C" w:rsidRDefault="00C47B1C" w:rsidP="00716B36">
          <w:pPr>
            <w:spacing w:before="120" w:after="0"/>
            <w:rPr>
              <w:b/>
              <w:bCs/>
              <w:caps/>
              <w:color w:val="FFFFFF" w:themeColor="background1"/>
              <w:spacing w:val="15"/>
              <w:sz w:val="22"/>
              <w:szCs w:val="22"/>
            </w:rPr>
          </w:pPr>
          <w:r w:rsidRPr="00716B36">
            <w:rPr>
              <w:sz w:val="22"/>
              <w:szCs w:val="22"/>
            </w:rPr>
            <w:fldChar w:fldCharType="end"/>
          </w:r>
          <w:r>
            <w:br w:type="page"/>
          </w:r>
        </w:p>
        <w:p w:rsidR="00E84277" w:rsidRDefault="00555C0F" w:rsidP="00FA38FA">
          <w:pPr>
            <w:pStyle w:val="Heading1"/>
          </w:pPr>
          <w:bookmarkStart w:id="2" w:name="_Toc461188568"/>
          <w:r>
            <w:lastRenderedPageBreak/>
            <w:t>Acknowledgements</w:t>
          </w:r>
        </w:p>
      </w:sdtContent>
    </w:sdt>
    <w:bookmarkEnd w:id="2" w:displacedByCustomXml="prev"/>
    <w:p w:rsidR="00303CC8" w:rsidRDefault="00C90590" w:rsidP="00855BEB">
      <w:pPr>
        <w:widowControl w:val="0"/>
        <w:autoSpaceDE w:val="0"/>
        <w:autoSpaceDN w:val="0"/>
        <w:adjustRightInd w:val="0"/>
        <w:spacing w:before="240" w:after="0" w:line="240" w:lineRule="auto"/>
        <w:jc w:val="both"/>
        <w:rPr>
          <w:rFonts w:cs="Calibri Light"/>
          <w:bCs/>
          <w:sz w:val="22"/>
          <w:szCs w:val="22"/>
        </w:rPr>
      </w:pPr>
      <w:r w:rsidRPr="00C90590">
        <w:rPr>
          <w:rFonts w:cs="Calibri Light"/>
          <w:bCs/>
          <w:sz w:val="22"/>
          <w:szCs w:val="22"/>
        </w:rPr>
        <w:t xml:space="preserve">We would like to acknowledge and thank all those who participated in this collaborative </w:t>
      </w:r>
      <w:r>
        <w:rPr>
          <w:rFonts w:cs="Calibri Light"/>
          <w:bCs/>
          <w:sz w:val="22"/>
          <w:szCs w:val="22"/>
        </w:rPr>
        <w:t>process</w:t>
      </w:r>
      <w:r w:rsidRPr="00C90590">
        <w:rPr>
          <w:rFonts w:cs="Calibri Light"/>
          <w:bCs/>
          <w:sz w:val="22"/>
          <w:szCs w:val="22"/>
        </w:rPr>
        <w:t xml:space="preserve"> to develop Nevada’s Integrated HIV Prevention and Care Plan. </w:t>
      </w:r>
      <w:r w:rsidR="00303CC8" w:rsidRPr="00F2067D">
        <w:rPr>
          <w:rFonts w:cs="Calibri Light"/>
          <w:bCs/>
          <w:sz w:val="22"/>
          <w:szCs w:val="22"/>
        </w:rPr>
        <w:t xml:space="preserve">The following team members </w:t>
      </w:r>
      <w:r>
        <w:rPr>
          <w:rFonts w:cs="Calibri Light"/>
          <w:bCs/>
          <w:sz w:val="22"/>
          <w:szCs w:val="22"/>
        </w:rPr>
        <w:t>from</w:t>
      </w:r>
      <w:r w:rsidR="00303CC8" w:rsidRPr="00F2067D">
        <w:rPr>
          <w:rFonts w:cs="Calibri Light"/>
          <w:bCs/>
          <w:sz w:val="22"/>
          <w:szCs w:val="22"/>
        </w:rPr>
        <w:t xml:space="preserve"> the </w:t>
      </w:r>
      <w:r w:rsidRPr="00F2067D">
        <w:rPr>
          <w:rFonts w:cs="Calibri Light"/>
          <w:b/>
          <w:bCs/>
          <w:sz w:val="22"/>
          <w:szCs w:val="22"/>
        </w:rPr>
        <w:t>School of Community Health Sciences (SCHS) and Nevada AIDS Education and Training Center (NAETC), University of Nevada, Reno (UNR)</w:t>
      </w:r>
      <w:r>
        <w:rPr>
          <w:rFonts w:cs="Calibri Light"/>
          <w:b/>
          <w:bCs/>
          <w:sz w:val="22"/>
          <w:szCs w:val="22"/>
        </w:rPr>
        <w:t xml:space="preserve"> </w:t>
      </w:r>
      <w:r w:rsidRPr="00C90590">
        <w:rPr>
          <w:rFonts w:cs="Calibri Light"/>
          <w:bCs/>
          <w:sz w:val="22"/>
          <w:szCs w:val="22"/>
        </w:rPr>
        <w:t>conducted the needs assessment,</w:t>
      </w:r>
      <w:r>
        <w:rPr>
          <w:rFonts w:cs="Calibri Light"/>
          <w:b/>
          <w:bCs/>
          <w:sz w:val="22"/>
          <w:szCs w:val="22"/>
        </w:rPr>
        <w:t xml:space="preserve"> </w:t>
      </w:r>
      <w:r w:rsidRPr="00C90590">
        <w:rPr>
          <w:rFonts w:cs="Calibri Light"/>
          <w:bCs/>
          <w:sz w:val="22"/>
          <w:szCs w:val="22"/>
        </w:rPr>
        <w:t xml:space="preserve">facilitated </w:t>
      </w:r>
      <w:r w:rsidR="00D55E5A">
        <w:rPr>
          <w:rFonts w:cs="Calibri Light"/>
          <w:bCs/>
          <w:sz w:val="22"/>
          <w:szCs w:val="22"/>
        </w:rPr>
        <w:t xml:space="preserve">the </w:t>
      </w:r>
      <w:r w:rsidRPr="00C90590">
        <w:rPr>
          <w:rFonts w:cs="Calibri Light"/>
          <w:bCs/>
          <w:sz w:val="22"/>
          <w:szCs w:val="22"/>
        </w:rPr>
        <w:t>plan development,</w:t>
      </w:r>
      <w:r>
        <w:rPr>
          <w:rFonts w:cs="Calibri Light"/>
          <w:b/>
          <w:bCs/>
          <w:sz w:val="22"/>
          <w:szCs w:val="22"/>
        </w:rPr>
        <w:t xml:space="preserve"> </w:t>
      </w:r>
      <w:r w:rsidR="0052638C">
        <w:rPr>
          <w:rFonts w:cs="Calibri Light"/>
          <w:bCs/>
          <w:sz w:val="22"/>
          <w:szCs w:val="22"/>
        </w:rPr>
        <w:t xml:space="preserve">wrote, </w:t>
      </w:r>
      <w:r w:rsidR="00303CC8" w:rsidRPr="00F2067D">
        <w:rPr>
          <w:rFonts w:cs="Calibri Light"/>
          <w:bCs/>
          <w:sz w:val="22"/>
          <w:szCs w:val="22"/>
        </w:rPr>
        <w:t>compiled and edited this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259"/>
        <w:gridCol w:w="2771"/>
      </w:tblGrid>
      <w:tr w:rsidR="00DB0B15" w:rsidTr="00DB0B15">
        <w:trPr>
          <w:trHeight w:val="1836"/>
        </w:trPr>
        <w:tc>
          <w:tcPr>
            <w:tcW w:w="3330" w:type="dxa"/>
          </w:tcPr>
          <w:p w:rsidR="00DB0B15" w:rsidRPr="00F2067D" w:rsidRDefault="00DB0B15" w:rsidP="00855BEB">
            <w:pPr>
              <w:spacing w:before="120"/>
              <w:jc w:val="center"/>
              <w:rPr>
                <w:rFonts w:cs="Calibri Light"/>
                <w:b/>
                <w:bCs/>
                <w:sz w:val="22"/>
                <w:szCs w:val="22"/>
              </w:rPr>
            </w:pPr>
            <w:r w:rsidRPr="00F2067D">
              <w:rPr>
                <w:rFonts w:cs="Calibri Light"/>
                <w:b/>
                <w:bCs/>
                <w:sz w:val="22"/>
                <w:szCs w:val="22"/>
              </w:rPr>
              <w:t>Elizabeth Christiansen, PhD</w:t>
            </w:r>
          </w:p>
          <w:p w:rsidR="00DB0B15" w:rsidRPr="00F2067D" w:rsidRDefault="00DB0B15" w:rsidP="00855BEB">
            <w:pPr>
              <w:spacing w:before="0"/>
              <w:jc w:val="center"/>
              <w:rPr>
                <w:rFonts w:cs="Calibri Light"/>
                <w:bCs/>
                <w:sz w:val="22"/>
                <w:szCs w:val="22"/>
              </w:rPr>
            </w:pPr>
            <w:r w:rsidRPr="00F2067D">
              <w:rPr>
                <w:rFonts w:cs="Calibri Light"/>
                <w:bCs/>
                <w:sz w:val="22"/>
                <w:szCs w:val="22"/>
              </w:rPr>
              <w:t>Director, Center for Program Evaluation, SCHS</w:t>
            </w:r>
          </w:p>
          <w:p w:rsidR="00DB0B15" w:rsidRPr="00F2067D" w:rsidRDefault="00DB0B15" w:rsidP="00855BEB">
            <w:pPr>
              <w:spacing w:before="120"/>
              <w:jc w:val="center"/>
              <w:rPr>
                <w:rFonts w:cs="Calibri Light"/>
                <w:b/>
                <w:bCs/>
                <w:sz w:val="22"/>
                <w:szCs w:val="22"/>
              </w:rPr>
            </w:pPr>
            <w:r w:rsidRPr="00F2067D">
              <w:rPr>
                <w:rFonts w:cs="Calibri Light"/>
                <w:b/>
                <w:bCs/>
                <w:sz w:val="22"/>
                <w:szCs w:val="22"/>
              </w:rPr>
              <w:t>Patty Charles, DrPH</w:t>
            </w:r>
          </w:p>
          <w:p w:rsidR="00DB0B15" w:rsidRDefault="00DB0B15" w:rsidP="00855BEB">
            <w:pPr>
              <w:spacing w:before="0"/>
              <w:jc w:val="center"/>
              <w:rPr>
                <w:rFonts w:cs="Calibri Light"/>
                <w:bCs/>
                <w:sz w:val="22"/>
                <w:szCs w:val="22"/>
              </w:rPr>
            </w:pPr>
            <w:r w:rsidRPr="00F2067D">
              <w:rPr>
                <w:rFonts w:cs="Calibri Light"/>
                <w:bCs/>
                <w:sz w:val="22"/>
                <w:szCs w:val="22"/>
              </w:rPr>
              <w:t>Advisor, NAETC</w:t>
            </w:r>
          </w:p>
        </w:tc>
        <w:tc>
          <w:tcPr>
            <w:tcW w:w="3259" w:type="dxa"/>
          </w:tcPr>
          <w:p w:rsidR="00DB0B15" w:rsidRPr="00F2067D" w:rsidRDefault="00DB0B15" w:rsidP="00855BEB">
            <w:pPr>
              <w:spacing w:before="120"/>
              <w:jc w:val="center"/>
              <w:rPr>
                <w:rFonts w:cs="Calibri Light"/>
                <w:b/>
                <w:bCs/>
                <w:sz w:val="22"/>
                <w:szCs w:val="22"/>
              </w:rPr>
            </w:pPr>
            <w:r w:rsidRPr="00F2067D">
              <w:rPr>
                <w:rFonts w:cs="Calibri Light"/>
                <w:b/>
                <w:bCs/>
                <w:sz w:val="22"/>
                <w:szCs w:val="22"/>
              </w:rPr>
              <w:t>Trudy Larson, MD</w:t>
            </w:r>
          </w:p>
          <w:p w:rsidR="00DB0B15" w:rsidRPr="00F2067D" w:rsidRDefault="00DB0B15" w:rsidP="00855BEB">
            <w:pPr>
              <w:spacing w:before="0"/>
              <w:jc w:val="center"/>
              <w:rPr>
                <w:rFonts w:cs="Calibri Light"/>
                <w:bCs/>
                <w:sz w:val="22"/>
                <w:szCs w:val="22"/>
              </w:rPr>
            </w:pPr>
            <w:r w:rsidRPr="00F2067D">
              <w:rPr>
                <w:rFonts w:cs="Calibri Light"/>
                <w:bCs/>
                <w:sz w:val="22"/>
                <w:szCs w:val="22"/>
              </w:rPr>
              <w:t>Director, SCHS</w:t>
            </w:r>
          </w:p>
          <w:p w:rsidR="00DB0B15" w:rsidRPr="00F2067D" w:rsidRDefault="00DB0B15" w:rsidP="00855BEB">
            <w:pPr>
              <w:spacing w:before="0"/>
              <w:jc w:val="center"/>
              <w:rPr>
                <w:rFonts w:cs="Calibri Light"/>
                <w:bCs/>
                <w:sz w:val="22"/>
                <w:szCs w:val="22"/>
              </w:rPr>
            </w:pPr>
            <w:r w:rsidRPr="00F2067D">
              <w:rPr>
                <w:rFonts w:cs="Calibri Light"/>
                <w:bCs/>
                <w:sz w:val="22"/>
                <w:szCs w:val="22"/>
              </w:rPr>
              <w:t>Medical Director, NAETC</w:t>
            </w:r>
          </w:p>
          <w:p w:rsidR="00DB0B15" w:rsidRPr="00F2067D" w:rsidRDefault="00DB0B15" w:rsidP="00855BEB">
            <w:pPr>
              <w:spacing w:before="120"/>
              <w:jc w:val="center"/>
              <w:rPr>
                <w:rFonts w:cs="Calibri Light"/>
                <w:b/>
                <w:bCs/>
                <w:sz w:val="22"/>
                <w:szCs w:val="22"/>
              </w:rPr>
            </w:pPr>
            <w:r w:rsidRPr="00F2067D">
              <w:rPr>
                <w:rFonts w:cs="Calibri Light"/>
                <w:b/>
                <w:bCs/>
                <w:sz w:val="22"/>
                <w:szCs w:val="22"/>
              </w:rPr>
              <w:t>Gerold Dermid-Gray, MBA</w:t>
            </w:r>
          </w:p>
          <w:p w:rsidR="00DB0B15" w:rsidRDefault="00DB0B15" w:rsidP="00855BEB">
            <w:pPr>
              <w:spacing w:before="0"/>
              <w:jc w:val="center"/>
              <w:rPr>
                <w:rFonts w:cs="Calibri Light"/>
                <w:bCs/>
                <w:sz w:val="22"/>
                <w:szCs w:val="22"/>
              </w:rPr>
            </w:pPr>
            <w:r w:rsidRPr="00F2067D">
              <w:rPr>
                <w:rFonts w:cs="Calibri Light"/>
                <w:bCs/>
                <w:sz w:val="22"/>
                <w:szCs w:val="22"/>
              </w:rPr>
              <w:t>Coordinator, Community Relations and Field Studies, SCHS</w:t>
            </w:r>
          </w:p>
        </w:tc>
        <w:tc>
          <w:tcPr>
            <w:tcW w:w="2771" w:type="dxa"/>
          </w:tcPr>
          <w:p w:rsidR="00DB0B15" w:rsidRPr="00F2067D" w:rsidRDefault="00DB0B15" w:rsidP="00855BEB">
            <w:pPr>
              <w:spacing w:before="120"/>
              <w:jc w:val="center"/>
              <w:rPr>
                <w:rFonts w:cs="Calibri Light"/>
                <w:b/>
                <w:bCs/>
                <w:sz w:val="22"/>
                <w:szCs w:val="22"/>
              </w:rPr>
            </w:pPr>
            <w:r w:rsidRPr="00F2067D">
              <w:rPr>
                <w:rFonts w:cs="Calibri Light"/>
                <w:b/>
                <w:bCs/>
                <w:sz w:val="22"/>
                <w:szCs w:val="22"/>
              </w:rPr>
              <w:t>Jennifer Bennett, MPH</w:t>
            </w:r>
          </w:p>
          <w:p w:rsidR="00DB0B15" w:rsidRDefault="00DB0B15" w:rsidP="00855BEB">
            <w:pPr>
              <w:spacing w:before="0"/>
              <w:jc w:val="center"/>
              <w:rPr>
                <w:rFonts w:cs="Calibri Light"/>
                <w:bCs/>
                <w:sz w:val="22"/>
                <w:szCs w:val="22"/>
              </w:rPr>
            </w:pPr>
            <w:r w:rsidRPr="00F2067D">
              <w:rPr>
                <w:rFonts w:cs="Calibri Light"/>
                <w:bCs/>
                <w:sz w:val="22"/>
                <w:szCs w:val="22"/>
              </w:rPr>
              <w:t>Director, NAETC</w:t>
            </w:r>
          </w:p>
          <w:p w:rsidR="00DB0B15" w:rsidRPr="00F2067D" w:rsidRDefault="00DB0B15" w:rsidP="00855BEB">
            <w:pPr>
              <w:spacing w:before="120"/>
              <w:jc w:val="center"/>
              <w:rPr>
                <w:rFonts w:cs="Calibri Light"/>
                <w:b/>
                <w:bCs/>
                <w:sz w:val="22"/>
                <w:szCs w:val="22"/>
              </w:rPr>
            </w:pPr>
            <w:r w:rsidRPr="00F2067D">
              <w:rPr>
                <w:rFonts w:cs="Calibri Light"/>
                <w:b/>
                <w:bCs/>
                <w:sz w:val="22"/>
                <w:szCs w:val="22"/>
              </w:rPr>
              <w:t>Barb Scott, RD, MPH</w:t>
            </w:r>
          </w:p>
          <w:p w:rsidR="00DB0B15" w:rsidRPr="00F2067D" w:rsidRDefault="00DB0B15" w:rsidP="009E1206">
            <w:pPr>
              <w:spacing w:before="0"/>
              <w:jc w:val="center"/>
              <w:rPr>
                <w:rFonts w:cs="Calibri Light"/>
                <w:b/>
                <w:bCs/>
                <w:sz w:val="22"/>
                <w:szCs w:val="22"/>
              </w:rPr>
            </w:pPr>
            <w:r w:rsidRPr="00F2067D">
              <w:rPr>
                <w:rFonts w:cs="Calibri Light"/>
                <w:bCs/>
                <w:sz w:val="22"/>
                <w:szCs w:val="22"/>
              </w:rPr>
              <w:t>Nutrition Specialist, NAETC</w:t>
            </w:r>
          </w:p>
        </w:tc>
      </w:tr>
    </w:tbl>
    <w:p w:rsidR="00FA38FA" w:rsidRPr="00F2067D" w:rsidRDefault="00F2067D" w:rsidP="00855BEB">
      <w:pPr>
        <w:spacing w:before="120" w:after="0" w:line="240" w:lineRule="auto"/>
        <w:jc w:val="both"/>
        <w:rPr>
          <w:rFonts w:cs="Calibri Light"/>
          <w:bCs/>
          <w:sz w:val="22"/>
          <w:szCs w:val="22"/>
        </w:rPr>
      </w:pPr>
      <w:r w:rsidRPr="00F2067D">
        <w:rPr>
          <w:rFonts w:cs="Calibri Light"/>
          <w:bCs/>
          <w:sz w:val="22"/>
          <w:szCs w:val="22"/>
        </w:rPr>
        <w:t>Special thanks to</w:t>
      </w:r>
      <w:r>
        <w:rPr>
          <w:rFonts w:cs="Calibri Light"/>
          <w:bCs/>
          <w:sz w:val="22"/>
          <w:szCs w:val="22"/>
        </w:rPr>
        <w:t xml:space="preserve"> these</w:t>
      </w:r>
      <w:r w:rsidRPr="00F2067D">
        <w:rPr>
          <w:rFonts w:cs="Calibri Light"/>
          <w:bCs/>
          <w:sz w:val="22"/>
          <w:szCs w:val="22"/>
        </w:rPr>
        <w:t xml:space="preserve"> team members who were involved in data collection, </w:t>
      </w:r>
      <w:r>
        <w:rPr>
          <w:rFonts w:cs="Calibri Light"/>
          <w:bCs/>
          <w:sz w:val="22"/>
          <w:szCs w:val="22"/>
        </w:rPr>
        <w:t>data entry,</w:t>
      </w:r>
      <w:r w:rsidR="00DB0B15">
        <w:rPr>
          <w:rFonts w:cs="Calibri Light"/>
          <w:bCs/>
          <w:sz w:val="22"/>
          <w:szCs w:val="22"/>
        </w:rPr>
        <w:t xml:space="preserve"> data analysis</w:t>
      </w:r>
      <w:r>
        <w:rPr>
          <w:rFonts w:cs="Calibri Light"/>
          <w:bCs/>
          <w:sz w:val="22"/>
          <w:szCs w:val="22"/>
        </w:rPr>
        <w:t xml:space="preserve"> and/or editing: Allison Palmer; John Calvert; Helen See; Jessica Cabrales; Alethea Rudd, MPH; Kelly Morning, </w:t>
      </w:r>
      <w:r w:rsidR="00DB0B15">
        <w:rPr>
          <w:rFonts w:cs="Calibri Light"/>
          <w:bCs/>
          <w:sz w:val="22"/>
          <w:szCs w:val="22"/>
        </w:rPr>
        <w:t xml:space="preserve">MPH; Paul Devereux, PhD, MPH; </w:t>
      </w:r>
      <w:r w:rsidR="008337CD">
        <w:rPr>
          <w:rFonts w:cs="Calibri Light"/>
          <w:bCs/>
          <w:sz w:val="22"/>
          <w:szCs w:val="22"/>
        </w:rPr>
        <w:t xml:space="preserve">Liliana Davalos; Melissa Deadmond; Lili Helzer; Elisabeth Komito; Kirsten Kramer; Taylor Lensch, MPH. </w:t>
      </w:r>
    </w:p>
    <w:p w:rsidR="002954B8" w:rsidRPr="002954B8" w:rsidRDefault="002954B8" w:rsidP="00855BEB">
      <w:pPr>
        <w:spacing w:before="120" w:after="0" w:line="240" w:lineRule="auto"/>
        <w:jc w:val="both"/>
        <w:rPr>
          <w:rFonts w:cs="Calibri Light"/>
          <w:bCs/>
          <w:sz w:val="22"/>
          <w:szCs w:val="22"/>
        </w:rPr>
      </w:pPr>
      <w:r w:rsidRPr="002954B8">
        <w:rPr>
          <w:rFonts w:cs="Calibri Light"/>
          <w:bCs/>
          <w:sz w:val="22"/>
          <w:szCs w:val="22"/>
        </w:rPr>
        <w:t xml:space="preserve">The </w:t>
      </w:r>
      <w:r w:rsidR="00C90590" w:rsidRPr="00F2067D">
        <w:rPr>
          <w:rFonts w:cs="Calibri Light"/>
          <w:b/>
          <w:bCs/>
          <w:sz w:val="22"/>
          <w:szCs w:val="22"/>
        </w:rPr>
        <w:t>Nevada Integrated HIV Pre</w:t>
      </w:r>
      <w:r w:rsidR="00C90590">
        <w:rPr>
          <w:rFonts w:cs="Calibri Light"/>
          <w:b/>
          <w:bCs/>
          <w:sz w:val="22"/>
          <w:szCs w:val="22"/>
        </w:rPr>
        <w:t>v</w:t>
      </w:r>
      <w:r w:rsidR="00C90590" w:rsidRPr="00F2067D">
        <w:rPr>
          <w:rFonts w:cs="Calibri Light"/>
          <w:b/>
          <w:bCs/>
          <w:sz w:val="22"/>
          <w:szCs w:val="22"/>
        </w:rPr>
        <w:t xml:space="preserve">ention and Care Plan Internal Workgroup </w:t>
      </w:r>
      <w:r w:rsidR="00C90590" w:rsidRPr="00C90590">
        <w:rPr>
          <w:rFonts w:cs="Calibri Light"/>
          <w:bCs/>
          <w:sz w:val="22"/>
          <w:szCs w:val="22"/>
        </w:rPr>
        <w:t>members</w:t>
      </w:r>
      <w:r w:rsidR="00C90590">
        <w:rPr>
          <w:rFonts w:cs="Calibri Light"/>
          <w:bCs/>
          <w:sz w:val="22"/>
          <w:szCs w:val="22"/>
        </w:rPr>
        <w:t xml:space="preserve"> guided the planning process and devoted a great deal of time and effort towards the completion of the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21E13" w:rsidRPr="00A21E13" w:rsidTr="002954B8">
        <w:tc>
          <w:tcPr>
            <w:tcW w:w="4675" w:type="dxa"/>
          </w:tcPr>
          <w:p w:rsidR="00A21E13" w:rsidRPr="00A21E13" w:rsidRDefault="00F2067D" w:rsidP="00855BEB">
            <w:pPr>
              <w:spacing w:before="120"/>
              <w:rPr>
                <w:rFonts w:cs="Calibri Light"/>
                <w:b/>
                <w:bCs/>
                <w:sz w:val="22"/>
                <w:szCs w:val="22"/>
              </w:rPr>
            </w:pPr>
            <w:r w:rsidRPr="00A21E13">
              <w:rPr>
                <w:rFonts w:cs="Calibri Light"/>
                <w:bCs/>
                <w:sz w:val="22"/>
                <w:szCs w:val="22"/>
              </w:rPr>
              <w:br w:type="page"/>
            </w:r>
            <w:r w:rsidR="00A21E13" w:rsidRPr="00A21E13">
              <w:rPr>
                <w:rFonts w:cs="Calibri Light"/>
                <w:b/>
                <w:bCs/>
                <w:sz w:val="22"/>
                <w:szCs w:val="22"/>
              </w:rPr>
              <w:t>Dan Olsen, MPH</w:t>
            </w:r>
          </w:p>
          <w:p w:rsidR="00A21E13" w:rsidRDefault="00A21E13" w:rsidP="00855BEB">
            <w:pPr>
              <w:spacing w:before="0"/>
              <w:rPr>
                <w:rFonts w:cs="Calibri Light"/>
                <w:bCs/>
                <w:sz w:val="22"/>
                <w:szCs w:val="22"/>
              </w:rPr>
            </w:pPr>
            <w:r>
              <w:rPr>
                <w:rFonts w:cs="Calibri Light"/>
                <w:bCs/>
                <w:sz w:val="22"/>
                <w:szCs w:val="22"/>
              </w:rPr>
              <w:t>Manager of Office of HIV/AIDS, N</w:t>
            </w:r>
            <w:r w:rsidR="0052638C">
              <w:rPr>
                <w:rFonts w:cs="Calibri Light"/>
                <w:bCs/>
                <w:sz w:val="22"/>
                <w:szCs w:val="22"/>
              </w:rPr>
              <w:t xml:space="preserve">evada Division of </w:t>
            </w:r>
            <w:r>
              <w:rPr>
                <w:rFonts w:cs="Calibri Light"/>
                <w:bCs/>
                <w:sz w:val="22"/>
                <w:szCs w:val="22"/>
              </w:rPr>
              <w:t>P</w:t>
            </w:r>
            <w:r w:rsidR="0052638C">
              <w:rPr>
                <w:rFonts w:cs="Calibri Light"/>
                <w:bCs/>
                <w:sz w:val="22"/>
                <w:szCs w:val="22"/>
              </w:rPr>
              <w:t xml:space="preserve">ublic and Behavioral </w:t>
            </w:r>
            <w:r>
              <w:rPr>
                <w:rFonts w:cs="Calibri Light"/>
                <w:bCs/>
                <w:sz w:val="22"/>
                <w:szCs w:val="22"/>
              </w:rPr>
              <w:t>H</w:t>
            </w:r>
            <w:r w:rsidR="002954B8">
              <w:rPr>
                <w:rFonts w:cs="Calibri Light"/>
                <w:bCs/>
                <w:sz w:val="22"/>
                <w:szCs w:val="22"/>
              </w:rPr>
              <w:t>ealth (</w:t>
            </w:r>
            <w:r w:rsidR="0052638C">
              <w:rPr>
                <w:rFonts w:cs="Calibri Light"/>
                <w:bCs/>
                <w:sz w:val="22"/>
                <w:szCs w:val="22"/>
              </w:rPr>
              <w:t>DPBH)</w:t>
            </w:r>
          </w:p>
          <w:p w:rsidR="00A21E13" w:rsidRPr="00A21E13" w:rsidRDefault="00A21E13" w:rsidP="00855BEB">
            <w:pPr>
              <w:spacing w:before="120"/>
              <w:rPr>
                <w:rFonts w:cs="Calibri Light"/>
                <w:b/>
                <w:bCs/>
                <w:sz w:val="22"/>
                <w:szCs w:val="22"/>
              </w:rPr>
            </w:pPr>
            <w:r w:rsidRPr="00A21E13">
              <w:rPr>
                <w:rFonts w:cs="Calibri Light"/>
                <w:b/>
                <w:bCs/>
                <w:sz w:val="22"/>
                <w:szCs w:val="22"/>
              </w:rPr>
              <w:t>Lyell Collins, MBA</w:t>
            </w:r>
          </w:p>
          <w:p w:rsidR="00A21E13" w:rsidRDefault="00A21E13" w:rsidP="00855BEB">
            <w:pPr>
              <w:spacing w:before="0"/>
              <w:rPr>
                <w:rFonts w:cs="Calibri Light"/>
                <w:bCs/>
                <w:sz w:val="22"/>
                <w:szCs w:val="22"/>
              </w:rPr>
            </w:pPr>
            <w:r w:rsidRPr="00A21E13">
              <w:rPr>
                <w:rFonts w:cs="Calibri Light"/>
                <w:bCs/>
                <w:sz w:val="22"/>
                <w:szCs w:val="22"/>
              </w:rPr>
              <w:t xml:space="preserve">HIV </w:t>
            </w:r>
            <w:r>
              <w:rPr>
                <w:rFonts w:cs="Calibri Light"/>
                <w:bCs/>
                <w:sz w:val="22"/>
                <w:szCs w:val="22"/>
              </w:rPr>
              <w:t>Prevention Program Manager, Office of HIV/AIDS</w:t>
            </w:r>
            <w:r w:rsidR="002954B8">
              <w:rPr>
                <w:rFonts w:cs="Calibri Light"/>
                <w:bCs/>
                <w:sz w:val="22"/>
                <w:szCs w:val="22"/>
              </w:rPr>
              <w:t xml:space="preserve">, </w:t>
            </w:r>
            <w:r w:rsidR="0052638C">
              <w:rPr>
                <w:rFonts w:cs="Calibri Light"/>
                <w:bCs/>
                <w:sz w:val="22"/>
                <w:szCs w:val="22"/>
              </w:rPr>
              <w:t>DPBH</w:t>
            </w:r>
          </w:p>
          <w:p w:rsidR="00A21E13" w:rsidRPr="00AA6036" w:rsidRDefault="00AA6036" w:rsidP="00855BEB">
            <w:pPr>
              <w:spacing w:before="120"/>
              <w:rPr>
                <w:rFonts w:cs="Calibri Light"/>
                <w:b/>
                <w:bCs/>
                <w:sz w:val="22"/>
                <w:szCs w:val="22"/>
              </w:rPr>
            </w:pPr>
            <w:r w:rsidRPr="00AA6036">
              <w:rPr>
                <w:rFonts w:cs="Calibri Light"/>
                <w:b/>
                <w:bCs/>
                <w:sz w:val="22"/>
                <w:szCs w:val="22"/>
              </w:rPr>
              <w:t>Jennifer Howell, MPH</w:t>
            </w:r>
          </w:p>
          <w:p w:rsidR="00AA6036" w:rsidRPr="00A21E13" w:rsidRDefault="00AA6036" w:rsidP="00855BEB">
            <w:pPr>
              <w:spacing w:before="0"/>
              <w:rPr>
                <w:rFonts w:cs="Calibri Light"/>
                <w:bCs/>
                <w:sz w:val="22"/>
                <w:szCs w:val="22"/>
              </w:rPr>
            </w:pPr>
            <w:r>
              <w:rPr>
                <w:rFonts w:cs="Calibri Light"/>
                <w:bCs/>
                <w:sz w:val="22"/>
                <w:szCs w:val="22"/>
              </w:rPr>
              <w:t>Sexual Health Program Coordinator, Community &amp; Clinical Health Services, Washoe County Health District</w:t>
            </w:r>
          </w:p>
        </w:tc>
        <w:tc>
          <w:tcPr>
            <w:tcW w:w="4675" w:type="dxa"/>
          </w:tcPr>
          <w:p w:rsidR="00A21E13" w:rsidRPr="00AA6036" w:rsidRDefault="00A21E13" w:rsidP="00855BEB">
            <w:pPr>
              <w:spacing w:before="120"/>
              <w:rPr>
                <w:rFonts w:cs="Calibri Light"/>
                <w:b/>
                <w:bCs/>
                <w:sz w:val="22"/>
                <w:szCs w:val="22"/>
              </w:rPr>
            </w:pPr>
            <w:r w:rsidRPr="00AA6036">
              <w:rPr>
                <w:rFonts w:cs="Calibri Light"/>
                <w:b/>
                <w:bCs/>
                <w:sz w:val="22"/>
                <w:szCs w:val="22"/>
              </w:rPr>
              <w:t>Alisha Barrett</w:t>
            </w:r>
          </w:p>
          <w:p w:rsidR="00AA6036" w:rsidRDefault="00AA6036" w:rsidP="00855BEB">
            <w:pPr>
              <w:spacing w:before="0"/>
              <w:rPr>
                <w:rFonts w:cs="Calibri Light"/>
                <w:bCs/>
                <w:sz w:val="22"/>
                <w:szCs w:val="22"/>
              </w:rPr>
            </w:pPr>
            <w:r>
              <w:rPr>
                <w:rFonts w:cs="Calibri Light"/>
                <w:bCs/>
                <w:sz w:val="22"/>
                <w:szCs w:val="22"/>
              </w:rPr>
              <w:t>Grant Administrator, Ryan White Part A Program</w:t>
            </w:r>
          </w:p>
          <w:p w:rsidR="00346318" w:rsidRDefault="00346318" w:rsidP="00855BEB">
            <w:pPr>
              <w:spacing w:before="0"/>
              <w:rPr>
                <w:rFonts w:cs="Calibri Light"/>
                <w:bCs/>
                <w:sz w:val="22"/>
                <w:szCs w:val="22"/>
              </w:rPr>
            </w:pPr>
            <w:r>
              <w:rPr>
                <w:rFonts w:cs="Calibri Light"/>
                <w:bCs/>
                <w:sz w:val="22"/>
                <w:szCs w:val="22"/>
              </w:rPr>
              <w:t>Clark County Social Service</w:t>
            </w:r>
          </w:p>
          <w:p w:rsidR="00AA6036" w:rsidRPr="00AA6036" w:rsidRDefault="00AA6036" w:rsidP="00855BEB">
            <w:pPr>
              <w:spacing w:before="120"/>
              <w:rPr>
                <w:rFonts w:cs="Calibri Light"/>
                <w:b/>
                <w:bCs/>
                <w:sz w:val="22"/>
                <w:szCs w:val="22"/>
              </w:rPr>
            </w:pPr>
            <w:r w:rsidRPr="00AA6036">
              <w:rPr>
                <w:rFonts w:cs="Calibri Light"/>
                <w:b/>
                <w:bCs/>
                <w:sz w:val="22"/>
                <w:szCs w:val="22"/>
              </w:rPr>
              <w:t>Marlo Tonge</w:t>
            </w:r>
          </w:p>
          <w:p w:rsidR="00AA6036" w:rsidRDefault="00AA6036" w:rsidP="00855BEB">
            <w:pPr>
              <w:spacing w:before="0"/>
              <w:rPr>
                <w:rFonts w:cs="Calibri Light"/>
                <w:bCs/>
                <w:sz w:val="22"/>
                <w:szCs w:val="22"/>
              </w:rPr>
            </w:pPr>
            <w:r>
              <w:rPr>
                <w:rFonts w:cs="Calibri Light"/>
                <w:bCs/>
                <w:sz w:val="22"/>
                <w:szCs w:val="22"/>
              </w:rPr>
              <w:t xml:space="preserve">Office of Epidemiology &amp; Disease Surveillance Manager, Southern Nevada Health District </w:t>
            </w:r>
          </w:p>
          <w:p w:rsidR="00AA6036" w:rsidRPr="00AA6036" w:rsidRDefault="00AA6036" w:rsidP="00855BEB">
            <w:pPr>
              <w:spacing w:before="120"/>
              <w:rPr>
                <w:rFonts w:cs="Calibri Light"/>
                <w:b/>
                <w:bCs/>
                <w:sz w:val="22"/>
                <w:szCs w:val="22"/>
              </w:rPr>
            </w:pPr>
            <w:r w:rsidRPr="00AA6036">
              <w:rPr>
                <w:rFonts w:cs="Calibri Light"/>
                <w:b/>
                <w:bCs/>
                <w:sz w:val="22"/>
                <w:szCs w:val="22"/>
              </w:rPr>
              <w:t>Cheryl Radeloff</w:t>
            </w:r>
            <w:r w:rsidR="00346318">
              <w:rPr>
                <w:rFonts w:cs="Calibri Light"/>
                <w:b/>
                <w:bCs/>
                <w:sz w:val="22"/>
                <w:szCs w:val="22"/>
              </w:rPr>
              <w:t>, PhD</w:t>
            </w:r>
          </w:p>
          <w:p w:rsidR="00AA6036" w:rsidRDefault="00AA6036" w:rsidP="00855BEB">
            <w:pPr>
              <w:spacing w:before="0"/>
              <w:rPr>
                <w:rFonts w:cs="Calibri Light"/>
                <w:bCs/>
                <w:sz w:val="22"/>
                <w:szCs w:val="22"/>
              </w:rPr>
            </w:pPr>
            <w:r>
              <w:rPr>
                <w:rFonts w:cs="Calibri Light"/>
                <w:bCs/>
                <w:sz w:val="22"/>
                <w:szCs w:val="22"/>
              </w:rPr>
              <w:t>Disease Investigation and Intervention Specialist II, Southern Nevada Health District</w:t>
            </w:r>
          </w:p>
          <w:p w:rsidR="00AA6036" w:rsidRPr="00A21E13" w:rsidRDefault="00AA6036" w:rsidP="00855BEB">
            <w:pPr>
              <w:spacing w:before="0"/>
              <w:rPr>
                <w:rFonts w:cs="Calibri Light"/>
                <w:bCs/>
                <w:sz w:val="22"/>
                <w:szCs w:val="22"/>
              </w:rPr>
            </w:pPr>
          </w:p>
        </w:tc>
      </w:tr>
    </w:tbl>
    <w:p w:rsidR="00F2067D" w:rsidRPr="00C90590" w:rsidRDefault="00C90590" w:rsidP="00855BEB">
      <w:pPr>
        <w:spacing w:before="120" w:after="0" w:line="240" w:lineRule="auto"/>
        <w:jc w:val="both"/>
        <w:rPr>
          <w:rFonts w:cs="Calibri Light"/>
          <w:bCs/>
          <w:sz w:val="22"/>
          <w:szCs w:val="22"/>
        </w:rPr>
      </w:pPr>
      <w:r w:rsidRPr="00C90590">
        <w:rPr>
          <w:rFonts w:cs="Calibri Light"/>
          <w:bCs/>
          <w:sz w:val="22"/>
          <w:szCs w:val="22"/>
        </w:rPr>
        <w:t xml:space="preserve">These staff members from the </w:t>
      </w:r>
      <w:r w:rsidR="002954B8" w:rsidRPr="00D55E5A">
        <w:rPr>
          <w:rFonts w:cs="Calibri Light"/>
          <w:b/>
          <w:bCs/>
          <w:sz w:val="22"/>
          <w:szCs w:val="22"/>
        </w:rPr>
        <w:t>Office of Public Health Informatics and Epidemiology</w:t>
      </w:r>
      <w:r w:rsidR="00D55E5A">
        <w:rPr>
          <w:rFonts w:cs="Calibri Light"/>
          <w:b/>
          <w:bCs/>
          <w:sz w:val="22"/>
          <w:szCs w:val="22"/>
        </w:rPr>
        <w:t xml:space="preserve"> (OPHIE)</w:t>
      </w:r>
      <w:r w:rsidR="002954B8" w:rsidRPr="00D55E5A">
        <w:rPr>
          <w:rFonts w:cs="Calibri Light"/>
          <w:b/>
          <w:bCs/>
          <w:sz w:val="22"/>
          <w:szCs w:val="22"/>
        </w:rPr>
        <w:t xml:space="preserve">, </w:t>
      </w:r>
      <w:r w:rsidR="00D55E5A">
        <w:rPr>
          <w:rFonts w:cs="Calibri Light"/>
          <w:b/>
          <w:bCs/>
          <w:sz w:val="22"/>
          <w:szCs w:val="22"/>
        </w:rPr>
        <w:t>DPBH</w:t>
      </w:r>
      <w:r w:rsidR="002954B8" w:rsidRPr="00D55E5A">
        <w:rPr>
          <w:rFonts w:cs="Calibri Light"/>
          <w:b/>
          <w:bCs/>
          <w:sz w:val="22"/>
          <w:szCs w:val="22"/>
        </w:rPr>
        <w:t xml:space="preserve"> </w:t>
      </w:r>
      <w:r>
        <w:rPr>
          <w:rFonts w:cs="Calibri Light"/>
          <w:bCs/>
          <w:sz w:val="22"/>
          <w:szCs w:val="22"/>
        </w:rPr>
        <w:t>wrote the Epidemiological Overview</w:t>
      </w:r>
      <w:r w:rsidR="00D55E5A">
        <w:rPr>
          <w:rFonts w:cs="Calibri Light"/>
          <w:bCs/>
          <w:sz w:val="22"/>
          <w:szCs w:val="22"/>
        </w:rPr>
        <w:t xml:space="preserve"> section and created the HIV Care Continuum.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gridCol w:w="3341"/>
        <w:gridCol w:w="2749"/>
      </w:tblGrid>
      <w:tr w:rsidR="00D55E5A" w:rsidRPr="00A21E13" w:rsidTr="00D55E5A">
        <w:tc>
          <w:tcPr>
            <w:tcW w:w="3270" w:type="dxa"/>
          </w:tcPr>
          <w:p w:rsidR="00D55E5A" w:rsidRPr="00A21E13" w:rsidRDefault="00D55E5A" w:rsidP="00855BEB">
            <w:pPr>
              <w:spacing w:before="120"/>
              <w:rPr>
                <w:rFonts w:cs="Calibri Light"/>
                <w:b/>
                <w:bCs/>
                <w:sz w:val="22"/>
                <w:szCs w:val="22"/>
              </w:rPr>
            </w:pPr>
            <w:r w:rsidRPr="00A21E13">
              <w:rPr>
                <w:rFonts w:cs="Calibri Light"/>
                <w:bCs/>
                <w:sz w:val="22"/>
                <w:szCs w:val="22"/>
              </w:rPr>
              <w:br w:type="page"/>
            </w:r>
            <w:r>
              <w:rPr>
                <w:rFonts w:cs="Calibri Light"/>
                <w:b/>
                <w:bCs/>
                <w:sz w:val="22"/>
                <w:szCs w:val="22"/>
              </w:rPr>
              <w:t>Danika Williams</w:t>
            </w:r>
            <w:r w:rsidRPr="00A21E13">
              <w:rPr>
                <w:rFonts w:cs="Calibri Light"/>
                <w:b/>
                <w:bCs/>
                <w:sz w:val="22"/>
                <w:szCs w:val="22"/>
              </w:rPr>
              <w:t>, MPH</w:t>
            </w:r>
          </w:p>
          <w:p w:rsidR="00D55E5A" w:rsidRDefault="00D55E5A" w:rsidP="00855BEB">
            <w:pPr>
              <w:spacing w:before="0"/>
              <w:rPr>
                <w:rFonts w:cs="Calibri Light"/>
                <w:bCs/>
                <w:sz w:val="22"/>
                <w:szCs w:val="22"/>
              </w:rPr>
            </w:pPr>
            <w:r>
              <w:rPr>
                <w:rFonts w:cs="Calibri Light"/>
                <w:bCs/>
                <w:sz w:val="22"/>
                <w:szCs w:val="22"/>
              </w:rPr>
              <w:t>HIV Surveillance Coordinator, OPHIE, DPBH</w:t>
            </w:r>
          </w:p>
          <w:p w:rsidR="00D55E5A" w:rsidRPr="00A21E13" w:rsidRDefault="00D55E5A" w:rsidP="00855BEB">
            <w:pPr>
              <w:spacing w:before="0"/>
              <w:rPr>
                <w:rFonts w:cs="Calibri Light"/>
                <w:bCs/>
                <w:sz w:val="22"/>
                <w:szCs w:val="22"/>
              </w:rPr>
            </w:pPr>
          </w:p>
        </w:tc>
        <w:tc>
          <w:tcPr>
            <w:tcW w:w="3341" w:type="dxa"/>
          </w:tcPr>
          <w:p w:rsidR="00D55E5A" w:rsidRDefault="00D55E5A" w:rsidP="00855BEB">
            <w:pPr>
              <w:spacing w:before="120"/>
              <w:rPr>
                <w:rFonts w:cs="Calibri Light"/>
                <w:b/>
                <w:bCs/>
                <w:sz w:val="22"/>
                <w:szCs w:val="22"/>
              </w:rPr>
            </w:pPr>
            <w:r>
              <w:rPr>
                <w:rFonts w:cs="Calibri Light"/>
                <w:b/>
                <w:bCs/>
                <w:sz w:val="22"/>
                <w:szCs w:val="22"/>
              </w:rPr>
              <w:t>James Kuzhippala, MPH</w:t>
            </w:r>
          </w:p>
          <w:p w:rsidR="00D55E5A" w:rsidRPr="002954B8" w:rsidRDefault="00D55E5A" w:rsidP="00855BEB">
            <w:pPr>
              <w:spacing w:before="0"/>
              <w:rPr>
                <w:rFonts w:cs="Calibri Light"/>
                <w:bCs/>
                <w:sz w:val="22"/>
                <w:szCs w:val="22"/>
              </w:rPr>
            </w:pPr>
            <w:r w:rsidRPr="002954B8">
              <w:rPr>
                <w:rFonts w:cs="Calibri Light"/>
                <w:bCs/>
                <w:sz w:val="22"/>
                <w:szCs w:val="22"/>
              </w:rPr>
              <w:t>HIV/STD Epidemiologist, OPHIE, DPBH</w:t>
            </w:r>
          </w:p>
          <w:p w:rsidR="00D55E5A" w:rsidRPr="00A21E13" w:rsidRDefault="00D55E5A" w:rsidP="00855BEB">
            <w:pPr>
              <w:spacing w:before="0"/>
              <w:rPr>
                <w:rFonts w:cs="Calibri Light"/>
                <w:bCs/>
                <w:sz w:val="22"/>
                <w:szCs w:val="22"/>
              </w:rPr>
            </w:pPr>
          </w:p>
        </w:tc>
        <w:tc>
          <w:tcPr>
            <w:tcW w:w="2749" w:type="dxa"/>
          </w:tcPr>
          <w:p w:rsidR="00D55E5A" w:rsidRPr="002954B8" w:rsidRDefault="00D55E5A" w:rsidP="00855BEB">
            <w:pPr>
              <w:spacing w:before="120"/>
              <w:rPr>
                <w:rFonts w:cs="Calibri Light"/>
                <w:b/>
                <w:bCs/>
                <w:sz w:val="22"/>
                <w:szCs w:val="22"/>
              </w:rPr>
            </w:pPr>
            <w:r w:rsidRPr="002954B8">
              <w:rPr>
                <w:rFonts w:cs="Calibri Light"/>
                <w:b/>
                <w:bCs/>
                <w:sz w:val="22"/>
                <w:szCs w:val="22"/>
              </w:rPr>
              <w:t>Theron Huntamer</w:t>
            </w:r>
          </w:p>
          <w:p w:rsidR="00D55E5A" w:rsidRDefault="00D55E5A" w:rsidP="00855BEB">
            <w:pPr>
              <w:spacing w:before="0"/>
              <w:rPr>
                <w:rFonts w:cs="Calibri Light"/>
                <w:b/>
                <w:bCs/>
                <w:sz w:val="22"/>
                <w:szCs w:val="22"/>
              </w:rPr>
            </w:pPr>
            <w:r>
              <w:rPr>
                <w:rFonts w:cs="Calibri Light"/>
                <w:bCs/>
                <w:sz w:val="22"/>
                <w:szCs w:val="22"/>
              </w:rPr>
              <w:t>HIV/AIDS Epidemiology Capacity Coordinator, OPHIE, DPBH</w:t>
            </w:r>
          </w:p>
        </w:tc>
      </w:tr>
    </w:tbl>
    <w:p w:rsidR="00F2067D" w:rsidRDefault="00855BEB" w:rsidP="00855BEB">
      <w:pPr>
        <w:spacing w:before="120" w:after="0" w:line="240" w:lineRule="auto"/>
        <w:jc w:val="both"/>
        <w:rPr>
          <w:rFonts w:cs="Calibri Light"/>
          <w:bCs/>
          <w:sz w:val="22"/>
          <w:szCs w:val="22"/>
        </w:rPr>
      </w:pPr>
      <w:r>
        <w:rPr>
          <w:rFonts w:cs="Calibri Light"/>
          <w:bCs/>
          <w:sz w:val="22"/>
          <w:szCs w:val="22"/>
        </w:rPr>
        <w:t xml:space="preserve">Thank you to the </w:t>
      </w:r>
      <w:r w:rsidRPr="00855BEB">
        <w:rPr>
          <w:rFonts w:cs="Calibri Light"/>
          <w:b/>
          <w:bCs/>
          <w:sz w:val="22"/>
          <w:szCs w:val="22"/>
        </w:rPr>
        <w:t>Ryan White Part A staff members</w:t>
      </w:r>
      <w:r>
        <w:rPr>
          <w:rFonts w:cs="Calibri Light"/>
          <w:bCs/>
          <w:sz w:val="22"/>
          <w:szCs w:val="22"/>
        </w:rPr>
        <w:t xml:space="preserve"> for providing reports from their needs assessments and consumer satisfaction survey to inform the plan. </w:t>
      </w:r>
      <w:r w:rsidR="00D55E5A" w:rsidRPr="00D55E5A">
        <w:rPr>
          <w:rFonts w:cs="Calibri Light"/>
          <w:bCs/>
          <w:sz w:val="22"/>
          <w:szCs w:val="22"/>
        </w:rPr>
        <w:t xml:space="preserve">We also acknowledge the contributions of the members of the </w:t>
      </w:r>
      <w:r w:rsidR="00C33624" w:rsidRPr="00C33624">
        <w:rPr>
          <w:rFonts w:cs="MS Gothic"/>
          <w:b/>
          <w:sz w:val="22"/>
          <w:szCs w:val="22"/>
        </w:rPr>
        <w:t>Las Vegas TGA Part A Planning Council</w:t>
      </w:r>
      <w:r w:rsidR="00C33624" w:rsidRPr="00B0316C">
        <w:rPr>
          <w:rFonts w:cs="MS Gothic"/>
          <w:sz w:val="22"/>
          <w:szCs w:val="22"/>
        </w:rPr>
        <w:t xml:space="preserve">, the </w:t>
      </w:r>
      <w:r w:rsidR="00C33624" w:rsidRPr="00C33624">
        <w:rPr>
          <w:rFonts w:cs="MS Gothic"/>
          <w:b/>
          <w:sz w:val="22"/>
          <w:szCs w:val="22"/>
        </w:rPr>
        <w:t>Southern Nevada Regional HIV Community Planning Group</w:t>
      </w:r>
      <w:r w:rsidR="00C33624" w:rsidRPr="00B0316C">
        <w:rPr>
          <w:rFonts w:cs="MS Gothic"/>
          <w:sz w:val="22"/>
          <w:szCs w:val="22"/>
        </w:rPr>
        <w:t xml:space="preserve">, and the </w:t>
      </w:r>
      <w:r w:rsidR="00C33624" w:rsidRPr="00C33624">
        <w:rPr>
          <w:rFonts w:cs="MS Gothic"/>
          <w:b/>
          <w:sz w:val="22"/>
          <w:szCs w:val="22"/>
        </w:rPr>
        <w:t>Northern Nevada HIV Prevention Planning Group</w:t>
      </w:r>
      <w:r w:rsidR="00C33624" w:rsidRPr="00D55E5A">
        <w:rPr>
          <w:rFonts w:cs="Calibri Light"/>
          <w:bCs/>
          <w:sz w:val="22"/>
          <w:szCs w:val="22"/>
        </w:rPr>
        <w:t xml:space="preserve"> </w:t>
      </w:r>
      <w:r w:rsidR="00D55E5A" w:rsidRPr="00D55E5A">
        <w:rPr>
          <w:rFonts w:cs="Calibri Light"/>
          <w:bCs/>
          <w:sz w:val="22"/>
          <w:szCs w:val="22"/>
        </w:rPr>
        <w:t xml:space="preserve">to this process, as well as the </w:t>
      </w:r>
      <w:r w:rsidR="00C33624" w:rsidRPr="00C33624">
        <w:rPr>
          <w:rFonts w:cs="Calibri Light"/>
          <w:b/>
          <w:bCs/>
          <w:sz w:val="22"/>
          <w:szCs w:val="22"/>
        </w:rPr>
        <w:t>service</w:t>
      </w:r>
      <w:r w:rsidR="00C33624">
        <w:rPr>
          <w:rFonts w:cs="Calibri Light"/>
          <w:bCs/>
          <w:sz w:val="22"/>
          <w:szCs w:val="22"/>
        </w:rPr>
        <w:t xml:space="preserve"> </w:t>
      </w:r>
      <w:r w:rsidR="00D55E5A" w:rsidRPr="00DB0B15">
        <w:rPr>
          <w:rFonts w:cs="Calibri Light"/>
          <w:b/>
          <w:bCs/>
          <w:sz w:val="22"/>
          <w:szCs w:val="22"/>
        </w:rPr>
        <w:t>providers, community</w:t>
      </w:r>
      <w:r w:rsidR="009E1206">
        <w:rPr>
          <w:rFonts w:cs="Calibri Light"/>
          <w:b/>
          <w:bCs/>
          <w:sz w:val="22"/>
          <w:szCs w:val="22"/>
        </w:rPr>
        <w:t xml:space="preserve"> based</w:t>
      </w:r>
      <w:r w:rsidR="00D55E5A" w:rsidRPr="00DB0B15">
        <w:rPr>
          <w:rFonts w:cs="Calibri Light"/>
          <w:b/>
          <w:bCs/>
          <w:sz w:val="22"/>
          <w:szCs w:val="22"/>
        </w:rPr>
        <w:t xml:space="preserve"> organization</w:t>
      </w:r>
      <w:r w:rsidR="00C33624">
        <w:rPr>
          <w:rFonts w:cs="Calibri Light"/>
          <w:b/>
          <w:bCs/>
          <w:sz w:val="22"/>
          <w:szCs w:val="22"/>
        </w:rPr>
        <w:t>s</w:t>
      </w:r>
      <w:r w:rsidR="00D55E5A" w:rsidRPr="00DB0B15">
        <w:rPr>
          <w:rFonts w:cs="Calibri Light"/>
          <w:b/>
          <w:bCs/>
          <w:sz w:val="22"/>
          <w:szCs w:val="22"/>
        </w:rPr>
        <w:t>, people living with HIV, community members</w:t>
      </w:r>
      <w:r w:rsidR="009E1206">
        <w:rPr>
          <w:rFonts w:cs="Calibri Light"/>
          <w:b/>
          <w:bCs/>
          <w:sz w:val="22"/>
          <w:szCs w:val="22"/>
        </w:rPr>
        <w:t>, and others</w:t>
      </w:r>
      <w:r w:rsidR="00D55E5A" w:rsidRPr="00D55E5A">
        <w:rPr>
          <w:rFonts w:cs="Calibri Light"/>
          <w:bCs/>
          <w:sz w:val="22"/>
          <w:szCs w:val="22"/>
        </w:rPr>
        <w:t xml:space="preserve"> who participated in the stakeholder meetings, surveys, and focus groups. Their valuable input throughout the process made completion of the plan possible. </w:t>
      </w:r>
    </w:p>
    <w:p w:rsidR="00855BEB" w:rsidRDefault="00855BEB" w:rsidP="00564B2F">
      <w:pPr>
        <w:widowControl w:val="0"/>
        <w:autoSpaceDE w:val="0"/>
        <w:autoSpaceDN w:val="0"/>
        <w:adjustRightInd w:val="0"/>
        <w:spacing w:before="0" w:after="0"/>
        <w:jc w:val="center"/>
        <w:rPr>
          <w:rFonts w:cs="Calibri Light"/>
          <w:b/>
          <w:bCs/>
          <w:sz w:val="28"/>
          <w:szCs w:val="28"/>
        </w:rPr>
      </w:pPr>
    </w:p>
    <w:p w:rsidR="00512FE8" w:rsidRPr="006A67FF" w:rsidRDefault="00C24487" w:rsidP="00564B2F">
      <w:pPr>
        <w:widowControl w:val="0"/>
        <w:autoSpaceDE w:val="0"/>
        <w:autoSpaceDN w:val="0"/>
        <w:adjustRightInd w:val="0"/>
        <w:spacing w:before="0" w:after="0"/>
        <w:jc w:val="center"/>
        <w:rPr>
          <w:rFonts w:cs="Calibri Light"/>
          <w:b/>
          <w:bCs/>
          <w:sz w:val="28"/>
          <w:szCs w:val="28"/>
        </w:rPr>
      </w:pPr>
      <w:r w:rsidRPr="006A67FF">
        <w:rPr>
          <w:rFonts w:cs="Calibri Light"/>
          <w:b/>
          <w:bCs/>
          <w:sz w:val="28"/>
          <w:szCs w:val="28"/>
        </w:rPr>
        <w:lastRenderedPageBreak/>
        <w:t xml:space="preserve">Nevada </w:t>
      </w:r>
      <w:r w:rsidR="00512FE8" w:rsidRPr="006A67FF">
        <w:rPr>
          <w:rFonts w:cs="Calibri Light"/>
          <w:b/>
          <w:bCs/>
          <w:sz w:val="28"/>
          <w:szCs w:val="28"/>
        </w:rPr>
        <w:t>Integrated HIV Prevention and Care Plan</w:t>
      </w:r>
      <w:r w:rsidRPr="006A67FF">
        <w:rPr>
          <w:rFonts w:cs="Calibri Light"/>
          <w:b/>
          <w:bCs/>
          <w:sz w:val="28"/>
          <w:szCs w:val="28"/>
        </w:rPr>
        <w:t xml:space="preserve"> </w:t>
      </w:r>
      <w:r w:rsidR="00512FE8" w:rsidRPr="006A67FF">
        <w:rPr>
          <w:rFonts w:cs="Calibri Light"/>
          <w:b/>
          <w:bCs/>
          <w:sz w:val="28"/>
          <w:szCs w:val="28"/>
        </w:rPr>
        <w:t xml:space="preserve">2017-2021  </w:t>
      </w:r>
    </w:p>
    <w:p w:rsidR="00DE7943" w:rsidRDefault="00DE7943" w:rsidP="00DE7943">
      <w:pPr>
        <w:pStyle w:val="Heading1"/>
      </w:pPr>
      <w:bookmarkStart w:id="3" w:name="_Toc461188569"/>
      <w:r>
        <w:t>Executive Summary</w:t>
      </w:r>
      <w:bookmarkEnd w:id="3"/>
    </w:p>
    <w:p w:rsidR="00DE7943" w:rsidRDefault="00DE7943" w:rsidP="00564B2F">
      <w:pPr>
        <w:widowControl w:val="0"/>
        <w:autoSpaceDE w:val="0"/>
        <w:autoSpaceDN w:val="0"/>
        <w:adjustRightInd w:val="0"/>
        <w:spacing w:before="0" w:after="0"/>
        <w:jc w:val="center"/>
        <w:rPr>
          <w:rFonts w:cs="Calibri Light"/>
          <w:b/>
          <w:bCs/>
          <w:sz w:val="28"/>
          <w:szCs w:val="28"/>
        </w:rPr>
      </w:pPr>
    </w:p>
    <w:p w:rsidR="008B4D90" w:rsidRDefault="00DE7943" w:rsidP="00DE7943">
      <w:pPr>
        <w:widowControl w:val="0"/>
        <w:autoSpaceDE w:val="0"/>
        <w:autoSpaceDN w:val="0"/>
        <w:adjustRightInd w:val="0"/>
        <w:spacing w:before="0" w:after="0"/>
        <w:jc w:val="both"/>
        <w:rPr>
          <w:rFonts w:cs="Calibri Light"/>
          <w:bCs/>
          <w:sz w:val="22"/>
          <w:szCs w:val="22"/>
        </w:rPr>
      </w:pPr>
      <w:r w:rsidRPr="00DE7943">
        <w:rPr>
          <w:rFonts w:cs="Calibri Light"/>
          <w:bCs/>
          <w:sz w:val="22"/>
          <w:szCs w:val="22"/>
        </w:rPr>
        <w:t>The Nevada Integrat</w:t>
      </w:r>
      <w:r>
        <w:rPr>
          <w:rFonts w:cs="Calibri Light"/>
          <w:bCs/>
          <w:sz w:val="22"/>
          <w:szCs w:val="22"/>
        </w:rPr>
        <w:t>ed HIV Prevention and Care Plan</w:t>
      </w:r>
      <w:r w:rsidR="009E1206">
        <w:rPr>
          <w:rFonts w:cs="Calibri Light"/>
          <w:bCs/>
          <w:sz w:val="22"/>
          <w:szCs w:val="22"/>
        </w:rPr>
        <w:t xml:space="preserve"> 2017-2021</w:t>
      </w:r>
      <w:r>
        <w:rPr>
          <w:rFonts w:cs="Calibri Light"/>
          <w:bCs/>
          <w:sz w:val="22"/>
          <w:szCs w:val="22"/>
        </w:rPr>
        <w:t xml:space="preserve">, including the Statewide Coordinated Statement of Need, </w:t>
      </w:r>
      <w:r w:rsidRPr="00DE7943">
        <w:rPr>
          <w:rFonts w:cs="Calibri Light"/>
          <w:bCs/>
          <w:sz w:val="22"/>
          <w:szCs w:val="22"/>
        </w:rPr>
        <w:t xml:space="preserve">was developed in response to the </w:t>
      </w:r>
      <w:r>
        <w:rPr>
          <w:rFonts w:cs="Calibri Light"/>
          <w:bCs/>
          <w:sz w:val="22"/>
          <w:szCs w:val="22"/>
        </w:rPr>
        <w:t xml:space="preserve">guidance provided by the Centers for Disease Control and Prevention (CDC) and the Health Resources and Services Administration (HRSA) in June 2015. </w:t>
      </w:r>
      <w:r w:rsidR="009D2AD9">
        <w:rPr>
          <w:rFonts w:cs="Calibri Light"/>
          <w:bCs/>
          <w:sz w:val="22"/>
          <w:szCs w:val="22"/>
        </w:rPr>
        <w:t>The process was guided by the Integrated HIV Prevention and Care Plan Internal Workgroup</w:t>
      </w:r>
      <w:r w:rsidR="009E1206">
        <w:rPr>
          <w:rFonts w:cs="Calibri Light"/>
          <w:bCs/>
          <w:sz w:val="22"/>
          <w:szCs w:val="22"/>
        </w:rPr>
        <w:t>,</w:t>
      </w:r>
      <w:r w:rsidR="009D2AD9">
        <w:rPr>
          <w:rFonts w:cs="Calibri Light"/>
          <w:bCs/>
          <w:sz w:val="22"/>
          <w:szCs w:val="22"/>
        </w:rPr>
        <w:t xml:space="preserve"> which was formed by the State Office of HIV/AIDS and the Las Vegas</w:t>
      </w:r>
      <w:r w:rsidR="008B4D90">
        <w:rPr>
          <w:rFonts w:cs="Calibri Light"/>
          <w:bCs/>
          <w:sz w:val="22"/>
          <w:szCs w:val="22"/>
        </w:rPr>
        <w:t xml:space="preserve"> T</w:t>
      </w:r>
      <w:r w:rsidR="005E70FA">
        <w:rPr>
          <w:rFonts w:cs="Calibri Light"/>
          <w:bCs/>
          <w:sz w:val="22"/>
          <w:szCs w:val="22"/>
        </w:rPr>
        <w:t xml:space="preserve">ransitional </w:t>
      </w:r>
      <w:r w:rsidR="008B4D90">
        <w:rPr>
          <w:rFonts w:cs="Calibri Light"/>
          <w:bCs/>
          <w:sz w:val="22"/>
          <w:szCs w:val="22"/>
        </w:rPr>
        <w:t>G</w:t>
      </w:r>
      <w:r w:rsidR="005E70FA">
        <w:rPr>
          <w:rFonts w:cs="Calibri Light"/>
          <w:bCs/>
          <w:sz w:val="22"/>
          <w:szCs w:val="22"/>
        </w:rPr>
        <w:t xml:space="preserve">rant </w:t>
      </w:r>
      <w:r w:rsidR="008B4D90">
        <w:rPr>
          <w:rFonts w:cs="Calibri Light"/>
          <w:bCs/>
          <w:sz w:val="22"/>
          <w:szCs w:val="22"/>
        </w:rPr>
        <w:t>A</w:t>
      </w:r>
      <w:r w:rsidR="005E70FA">
        <w:rPr>
          <w:rFonts w:cs="Calibri Light"/>
          <w:bCs/>
          <w:sz w:val="22"/>
          <w:szCs w:val="22"/>
        </w:rPr>
        <w:t>rea (TGA)</w:t>
      </w:r>
      <w:r w:rsidR="008B4D90">
        <w:rPr>
          <w:rFonts w:cs="Calibri Light"/>
          <w:bCs/>
          <w:sz w:val="22"/>
          <w:szCs w:val="22"/>
        </w:rPr>
        <w:t xml:space="preserve"> Ryan White </w:t>
      </w:r>
      <w:r w:rsidR="007B027A">
        <w:rPr>
          <w:rFonts w:cs="Calibri Light"/>
          <w:bCs/>
          <w:sz w:val="22"/>
          <w:szCs w:val="22"/>
        </w:rPr>
        <w:t xml:space="preserve">HIV/AIDS </w:t>
      </w:r>
      <w:r w:rsidR="008B4D90">
        <w:rPr>
          <w:rFonts w:cs="Calibri Light"/>
          <w:bCs/>
          <w:sz w:val="22"/>
          <w:szCs w:val="22"/>
        </w:rPr>
        <w:t>Part A Program</w:t>
      </w:r>
      <w:r w:rsidR="007B027A">
        <w:rPr>
          <w:rFonts w:cs="Calibri Light"/>
          <w:bCs/>
          <w:sz w:val="22"/>
          <w:szCs w:val="22"/>
        </w:rPr>
        <w:t xml:space="preserve">. The workgroup </w:t>
      </w:r>
      <w:r w:rsidR="008B4D90">
        <w:rPr>
          <w:rFonts w:cs="Calibri Light"/>
          <w:bCs/>
          <w:sz w:val="22"/>
          <w:szCs w:val="22"/>
        </w:rPr>
        <w:t xml:space="preserve">included representatives from </w:t>
      </w:r>
      <w:r w:rsidR="009E1206">
        <w:rPr>
          <w:rFonts w:cs="Calibri Light"/>
          <w:bCs/>
          <w:sz w:val="22"/>
          <w:szCs w:val="22"/>
        </w:rPr>
        <w:t xml:space="preserve">the </w:t>
      </w:r>
      <w:r w:rsidR="008B4D90">
        <w:rPr>
          <w:rFonts w:cs="Calibri Light"/>
          <w:bCs/>
          <w:sz w:val="22"/>
          <w:szCs w:val="22"/>
        </w:rPr>
        <w:t>Las Vegas TGA Ryan White Pa</w:t>
      </w:r>
      <w:r w:rsidR="009E1206">
        <w:rPr>
          <w:rFonts w:cs="Calibri Light"/>
          <w:bCs/>
          <w:sz w:val="22"/>
          <w:szCs w:val="22"/>
        </w:rPr>
        <w:t>rt A Program, Ryan White Part B Program, HIV</w:t>
      </w:r>
      <w:r w:rsidR="008B4D90">
        <w:rPr>
          <w:rFonts w:cs="Calibri Light"/>
          <w:bCs/>
          <w:sz w:val="22"/>
          <w:szCs w:val="22"/>
        </w:rPr>
        <w:t xml:space="preserve"> Prevention</w:t>
      </w:r>
      <w:r w:rsidR="009E1206">
        <w:rPr>
          <w:rFonts w:cs="Calibri Light"/>
          <w:bCs/>
          <w:sz w:val="22"/>
          <w:szCs w:val="22"/>
        </w:rPr>
        <w:t xml:space="preserve"> Program</w:t>
      </w:r>
      <w:r w:rsidR="008B4D90">
        <w:rPr>
          <w:rFonts w:cs="Calibri Light"/>
          <w:bCs/>
          <w:sz w:val="22"/>
          <w:szCs w:val="22"/>
        </w:rPr>
        <w:t>, Southern Nevada Health District</w:t>
      </w:r>
      <w:r w:rsidR="009E1206">
        <w:rPr>
          <w:rFonts w:cs="Calibri Light"/>
          <w:bCs/>
          <w:sz w:val="22"/>
          <w:szCs w:val="22"/>
        </w:rPr>
        <w:t xml:space="preserve"> (SNHD)</w:t>
      </w:r>
      <w:r w:rsidR="00B63153">
        <w:rPr>
          <w:rFonts w:cs="Calibri Light"/>
          <w:bCs/>
          <w:sz w:val="22"/>
          <w:szCs w:val="22"/>
        </w:rPr>
        <w:t>, and Washoe County Health District</w:t>
      </w:r>
      <w:r w:rsidR="009E1206">
        <w:rPr>
          <w:rFonts w:cs="Calibri Light"/>
          <w:bCs/>
          <w:sz w:val="22"/>
          <w:szCs w:val="22"/>
        </w:rPr>
        <w:t xml:space="preserve"> (WCHD)</w:t>
      </w:r>
      <w:r w:rsidR="008B4D90">
        <w:rPr>
          <w:rFonts w:cs="Calibri Light"/>
          <w:bCs/>
          <w:sz w:val="22"/>
          <w:szCs w:val="22"/>
        </w:rPr>
        <w:t xml:space="preserve">. </w:t>
      </w:r>
      <w:r w:rsidR="00B63153">
        <w:rPr>
          <w:rFonts w:cs="Calibri Light"/>
          <w:bCs/>
          <w:sz w:val="22"/>
          <w:szCs w:val="22"/>
        </w:rPr>
        <w:t>The School of Community Health Sciences</w:t>
      </w:r>
      <w:r w:rsidR="009E1206">
        <w:rPr>
          <w:rFonts w:cs="Calibri Light"/>
          <w:bCs/>
          <w:sz w:val="22"/>
          <w:szCs w:val="22"/>
        </w:rPr>
        <w:t xml:space="preserve"> (SCHS)</w:t>
      </w:r>
      <w:r w:rsidR="00B63153">
        <w:rPr>
          <w:rFonts w:cs="Calibri Light"/>
          <w:bCs/>
          <w:sz w:val="22"/>
          <w:szCs w:val="22"/>
        </w:rPr>
        <w:t>, University of Nevada, Reno</w:t>
      </w:r>
      <w:r w:rsidR="009E1206">
        <w:rPr>
          <w:rFonts w:cs="Calibri Light"/>
          <w:bCs/>
          <w:sz w:val="22"/>
          <w:szCs w:val="22"/>
        </w:rPr>
        <w:t xml:space="preserve"> (UNR)</w:t>
      </w:r>
      <w:r w:rsidR="00B63153">
        <w:rPr>
          <w:rFonts w:cs="Calibri Light"/>
          <w:bCs/>
          <w:sz w:val="22"/>
          <w:szCs w:val="22"/>
        </w:rPr>
        <w:t xml:space="preserve"> was contracted to conduct the needs assessment and write the plan in collaboration with the Internal Workgroup.</w:t>
      </w:r>
    </w:p>
    <w:p w:rsidR="008B4D90" w:rsidRDefault="008B4D90" w:rsidP="00DE7943">
      <w:pPr>
        <w:widowControl w:val="0"/>
        <w:autoSpaceDE w:val="0"/>
        <w:autoSpaceDN w:val="0"/>
        <w:adjustRightInd w:val="0"/>
        <w:spacing w:before="0" w:after="0"/>
        <w:jc w:val="both"/>
        <w:rPr>
          <w:rFonts w:cs="Calibri Light"/>
          <w:bCs/>
          <w:sz w:val="22"/>
          <w:szCs w:val="22"/>
        </w:rPr>
      </w:pPr>
    </w:p>
    <w:p w:rsidR="00DE7943" w:rsidRDefault="007B5EB6" w:rsidP="005C4767">
      <w:pPr>
        <w:widowControl w:val="0"/>
        <w:autoSpaceDE w:val="0"/>
        <w:autoSpaceDN w:val="0"/>
        <w:adjustRightInd w:val="0"/>
        <w:spacing w:before="0" w:after="0"/>
        <w:jc w:val="both"/>
        <w:rPr>
          <w:sz w:val="22"/>
          <w:szCs w:val="22"/>
        </w:rPr>
      </w:pPr>
      <w:r>
        <w:rPr>
          <w:rFonts w:cs="Calibri Light"/>
          <w:bCs/>
          <w:sz w:val="22"/>
          <w:szCs w:val="22"/>
        </w:rPr>
        <w:t xml:space="preserve">The Statewide Coordinated Statement of Need/Needs Assessment </w:t>
      </w:r>
      <w:r w:rsidR="005C4767">
        <w:rPr>
          <w:rFonts w:cs="Calibri Light"/>
          <w:bCs/>
          <w:sz w:val="22"/>
          <w:szCs w:val="22"/>
        </w:rPr>
        <w:t>guided the development</w:t>
      </w:r>
      <w:r>
        <w:rPr>
          <w:rFonts w:cs="Calibri Light"/>
          <w:bCs/>
          <w:sz w:val="22"/>
          <w:szCs w:val="22"/>
        </w:rPr>
        <w:t xml:space="preserve"> of the plan</w:t>
      </w:r>
      <w:r w:rsidR="005C4767">
        <w:rPr>
          <w:rFonts w:cs="Calibri Light"/>
          <w:bCs/>
          <w:sz w:val="22"/>
          <w:szCs w:val="22"/>
        </w:rPr>
        <w:t xml:space="preserve"> objectives and strategies</w:t>
      </w:r>
      <w:r>
        <w:rPr>
          <w:rFonts w:cs="Calibri Light"/>
          <w:bCs/>
          <w:sz w:val="22"/>
          <w:szCs w:val="22"/>
        </w:rPr>
        <w:t xml:space="preserve">. </w:t>
      </w:r>
      <w:r w:rsidR="008B4D90">
        <w:rPr>
          <w:rFonts w:cs="Calibri Light"/>
          <w:bCs/>
          <w:sz w:val="22"/>
          <w:szCs w:val="22"/>
        </w:rPr>
        <w:t>The majority of Nevada’s population resides in Clark County (72%)</w:t>
      </w:r>
      <w:r w:rsidR="000578DC">
        <w:rPr>
          <w:rFonts w:cs="Calibri Light"/>
          <w:bCs/>
          <w:sz w:val="22"/>
          <w:szCs w:val="22"/>
        </w:rPr>
        <w:t xml:space="preserve">; and </w:t>
      </w:r>
      <w:r w:rsidR="008B4D90">
        <w:rPr>
          <w:rFonts w:cs="Calibri Light"/>
          <w:bCs/>
          <w:sz w:val="22"/>
          <w:szCs w:val="22"/>
        </w:rPr>
        <w:t xml:space="preserve">Clark County bears the heaviest burden of HIV in the state. </w:t>
      </w:r>
      <w:r w:rsidR="008B4D90">
        <w:rPr>
          <w:sz w:val="22"/>
          <w:szCs w:val="22"/>
        </w:rPr>
        <w:t xml:space="preserve">In 2014, 88% of </w:t>
      </w:r>
      <w:r w:rsidR="009E1206">
        <w:rPr>
          <w:sz w:val="22"/>
          <w:szCs w:val="22"/>
        </w:rPr>
        <w:t xml:space="preserve">persons </w:t>
      </w:r>
      <w:r w:rsidR="008B4D90">
        <w:rPr>
          <w:sz w:val="22"/>
          <w:szCs w:val="22"/>
        </w:rPr>
        <w:t xml:space="preserve">newly diagnosed </w:t>
      </w:r>
      <w:r w:rsidR="009E1206">
        <w:rPr>
          <w:sz w:val="22"/>
          <w:szCs w:val="22"/>
        </w:rPr>
        <w:t>with HIV</w:t>
      </w:r>
      <w:r w:rsidR="008B4D90">
        <w:rPr>
          <w:sz w:val="22"/>
          <w:szCs w:val="22"/>
        </w:rPr>
        <w:t xml:space="preserve"> and 86% of all people living with HIV (PLWH) resided in Clark County. </w:t>
      </w:r>
      <w:r w:rsidR="005C4767">
        <w:rPr>
          <w:sz w:val="22"/>
          <w:szCs w:val="22"/>
        </w:rPr>
        <w:t>In 2014, 87% of persons newly diagnosed with HIV in Nevada were male; and 74% of newly diagnosed males reported a transmission category of male-to-male sexual contact</w:t>
      </w:r>
      <w:r w:rsidR="000578DC">
        <w:rPr>
          <w:sz w:val="22"/>
          <w:szCs w:val="22"/>
        </w:rPr>
        <w:t xml:space="preserve">. </w:t>
      </w:r>
      <w:r w:rsidR="005C4767">
        <w:rPr>
          <w:sz w:val="22"/>
          <w:szCs w:val="22"/>
        </w:rPr>
        <w:t xml:space="preserve">Large racial/ethnic disparities exist within Nevada, especially among Blacks/African Americans. In 2014, the rate of new HIV diagnoses among Blacks was over </w:t>
      </w:r>
      <w:r w:rsidR="00A60E12">
        <w:rPr>
          <w:sz w:val="22"/>
          <w:szCs w:val="22"/>
        </w:rPr>
        <w:t>four</w:t>
      </w:r>
      <w:r w:rsidR="005C4767">
        <w:rPr>
          <w:sz w:val="22"/>
          <w:szCs w:val="22"/>
        </w:rPr>
        <w:t xml:space="preserve"> times that of Whites (43.6 vs. 10.5 per 100,000 population). </w:t>
      </w:r>
    </w:p>
    <w:p w:rsidR="00D04DD2" w:rsidRPr="00941146" w:rsidRDefault="00D04DD2" w:rsidP="00D04DD2">
      <w:pPr>
        <w:widowControl w:val="0"/>
        <w:tabs>
          <w:tab w:val="left" w:pos="220"/>
          <w:tab w:val="left" w:pos="720"/>
        </w:tabs>
        <w:autoSpaceDE w:val="0"/>
        <w:autoSpaceDN w:val="0"/>
        <w:adjustRightInd w:val="0"/>
        <w:jc w:val="both"/>
        <w:rPr>
          <w:rFonts w:eastAsia="MS Gothic" w:cs="MS Gothic"/>
          <w:sz w:val="22"/>
          <w:szCs w:val="22"/>
        </w:rPr>
      </w:pPr>
      <w:r>
        <w:rPr>
          <w:rFonts w:eastAsia="MS Gothic" w:cs="MS Gothic"/>
          <w:sz w:val="22"/>
          <w:szCs w:val="22"/>
        </w:rPr>
        <w:t>Developing an accurate picture of Nevada’s HIV Continuum of Care was challenging since</w:t>
      </w:r>
      <w:r w:rsidR="007B027A">
        <w:rPr>
          <w:rFonts w:eastAsia="MS Gothic" w:cs="MS Gothic"/>
          <w:sz w:val="22"/>
          <w:szCs w:val="22"/>
        </w:rPr>
        <w:t>,</w:t>
      </w:r>
      <w:r>
        <w:rPr>
          <w:rFonts w:eastAsia="MS Gothic" w:cs="MS Gothic"/>
          <w:sz w:val="22"/>
          <w:szCs w:val="22"/>
        </w:rPr>
        <w:t xml:space="preserve"> at the time the data was collected, </w:t>
      </w:r>
      <w:r w:rsidRPr="00C559D6">
        <w:rPr>
          <w:sz w:val="22"/>
          <w:szCs w:val="22"/>
        </w:rPr>
        <w:t>Nevada state law only required the reporting of CD4 values with counts below 500 per ml</w:t>
      </w:r>
      <w:r w:rsidRPr="00C559D6">
        <w:rPr>
          <w:sz w:val="22"/>
          <w:szCs w:val="22"/>
          <w:vertAlign w:val="superscript"/>
        </w:rPr>
        <w:t>3</w:t>
      </w:r>
      <w:r w:rsidRPr="00C559D6">
        <w:rPr>
          <w:sz w:val="22"/>
          <w:szCs w:val="22"/>
        </w:rPr>
        <w:t xml:space="preserve"> of blood and a detectable viral load (&gt;200 copies/ml)</w:t>
      </w:r>
      <w:r>
        <w:rPr>
          <w:sz w:val="22"/>
          <w:szCs w:val="22"/>
        </w:rPr>
        <w:t xml:space="preserve">. This resulted in an underestimation of cases retained in care and virally suppressed. This issue will be resolved going forward due a change in regulation beginning in 2016 which now </w:t>
      </w:r>
      <w:r w:rsidRPr="00C559D6">
        <w:rPr>
          <w:sz w:val="22"/>
          <w:szCs w:val="22"/>
        </w:rPr>
        <w:t>require</w:t>
      </w:r>
      <w:r>
        <w:rPr>
          <w:sz w:val="22"/>
          <w:szCs w:val="22"/>
        </w:rPr>
        <w:t>s</w:t>
      </w:r>
      <w:r w:rsidRPr="00C559D6">
        <w:rPr>
          <w:sz w:val="22"/>
          <w:szCs w:val="22"/>
        </w:rPr>
        <w:t xml:space="preserve"> reporting of all CD4 values and all HIV viral load measurements</w:t>
      </w:r>
      <w:r>
        <w:rPr>
          <w:sz w:val="22"/>
          <w:szCs w:val="22"/>
        </w:rPr>
        <w:t xml:space="preserve">. </w:t>
      </w:r>
      <w:r w:rsidRPr="00941146">
        <w:rPr>
          <w:rFonts w:eastAsia="MS Gothic" w:cs="MS Gothic"/>
          <w:sz w:val="22"/>
          <w:szCs w:val="22"/>
        </w:rPr>
        <w:t xml:space="preserve">Of the </w:t>
      </w:r>
      <w:r>
        <w:rPr>
          <w:rFonts w:eastAsia="MS Gothic" w:cs="MS Gothic"/>
          <w:sz w:val="22"/>
          <w:szCs w:val="22"/>
        </w:rPr>
        <w:t xml:space="preserve">477 newly diagnosed cases of HIV in 2015, 81.3% were linked to care within </w:t>
      </w:r>
      <w:r w:rsidR="00A60E12">
        <w:rPr>
          <w:rFonts w:eastAsia="MS Gothic" w:cs="MS Gothic"/>
          <w:sz w:val="22"/>
          <w:szCs w:val="22"/>
        </w:rPr>
        <w:t>three</w:t>
      </w:r>
      <w:r>
        <w:rPr>
          <w:rFonts w:eastAsia="MS Gothic" w:cs="MS Gothic"/>
          <w:sz w:val="22"/>
          <w:szCs w:val="22"/>
        </w:rPr>
        <w:t xml:space="preserve"> months after diagnosis. </w:t>
      </w:r>
      <w:r>
        <w:rPr>
          <w:sz w:val="22"/>
          <w:szCs w:val="22"/>
        </w:rPr>
        <w:t xml:space="preserve">Among those </w:t>
      </w:r>
      <w:r w:rsidR="000578DC">
        <w:rPr>
          <w:sz w:val="22"/>
          <w:szCs w:val="22"/>
        </w:rPr>
        <w:t xml:space="preserve">PLWH </w:t>
      </w:r>
      <w:r>
        <w:rPr>
          <w:sz w:val="22"/>
          <w:szCs w:val="22"/>
        </w:rPr>
        <w:t>retained in care at the end of 2015, 75.1% had suppressed viral load (&lt;=200 copies/mL) at most recent test during 2015.  Among PLWH year-end 2014 and alive at year-end 2015, 38.3% had suppressed viral load (&lt;=200 copies/mL) at most recent test during 2015.</w:t>
      </w:r>
    </w:p>
    <w:p w:rsidR="00DA3958" w:rsidRDefault="00DA3958" w:rsidP="00DA3958">
      <w:pPr>
        <w:widowControl w:val="0"/>
        <w:jc w:val="both"/>
        <w:rPr>
          <w:rFonts w:cs="Arial"/>
          <w:color w:val="000000"/>
          <w:sz w:val="22"/>
          <w:szCs w:val="22"/>
        </w:rPr>
      </w:pPr>
      <w:r w:rsidRPr="003F61BC">
        <w:rPr>
          <w:sz w:val="22"/>
          <w:szCs w:val="22"/>
        </w:rPr>
        <w:t>Nevada’s Office of HIV/AIDS within the Division of Public and Behavioral Health</w:t>
      </w:r>
      <w:r w:rsidR="009E1206">
        <w:rPr>
          <w:sz w:val="22"/>
          <w:szCs w:val="22"/>
        </w:rPr>
        <w:t xml:space="preserve"> (DPBH)</w:t>
      </w:r>
      <w:r w:rsidRPr="003F61BC">
        <w:rPr>
          <w:sz w:val="22"/>
          <w:szCs w:val="22"/>
        </w:rPr>
        <w:t xml:space="preserve"> manages the state’s Ryan White Part B Program</w:t>
      </w:r>
      <w:r w:rsidR="009E1206">
        <w:rPr>
          <w:sz w:val="22"/>
          <w:szCs w:val="22"/>
        </w:rPr>
        <w:t xml:space="preserve"> (RWPB)</w:t>
      </w:r>
      <w:r w:rsidRPr="003F61BC">
        <w:rPr>
          <w:sz w:val="22"/>
          <w:szCs w:val="22"/>
        </w:rPr>
        <w:t xml:space="preserve"> and the </w:t>
      </w:r>
      <w:r w:rsidR="007F2D44">
        <w:rPr>
          <w:sz w:val="22"/>
          <w:szCs w:val="22"/>
        </w:rPr>
        <w:t>HIV</w:t>
      </w:r>
      <w:r w:rsidR="009E1206">
        <w:rPr>
          <w:sz w:val="22"/>
          <w:szCs w:val="22"/>
        </w:rPr>
        <w:t xml:space="preserve"> Prevention Program. RWPB </w:t>
      </w:r>
      <w:r w:rsidRPr="003F61BC">
        <w:rPr>
          <w:sz w:val="22"/>
          <w:szCs w:val="22"/>
        </w:rPr>
        <w:t>provides medications and services to eligible Nevadans living with HIV/AIDS.</w:t>
      </w:r>
      <w:r>
        <w:rPr>
          <w:sz w:val="22"/>
          <w:szCs w:val="22"/>
        </w:rPr>
        <w:t xml:space="preserve"> </w:t>
      </w:r>
      <w:r w:rsidRPr="003F61BC">
        <w:rPr>
          <w:sz w:val="22"/>
          <w:szCs w:val="22"/>
        </w:rPr>
        <w:t xml:space="preserve">HIV Prevention Program staff coordinates its efforts in collaboration with the local health districts, HIV Prevention Planning Groups, HIV-infected and affected communities, state and local HIV prevention providers, and other concerned and committed citizens to improve HIV Prevention service delivery in Nevada. </w:t>
      </w:r>
      <w:r>
        <w:rPr>
          <w:sz w:val="22"/>
          <w:szCs w:val="22"/>
        </w:rPr>
        <w:t>Clark County Social Service</w:t>
      </w:r>
      <w:r w:rsidRPr="003F61BC">
        <w:rPr>
          <w:rFonts w:cs="Arial"/>
          <w:bCs/>
          <w:color w:val="000000"/>
          <w:sz w:val="22"/>
          <w:szCs w:val="22"/>
          <w:shd w:val="clear" w:color="auto" w:fill="FFFFFF"/>
        </w:rPr>
        <w:t xml:space="preserve"> </w:t>
      </w:r>
      <w:r>
        <w:rPr>
          <w:rFonts w:cs="Arial"/>
          <w:bCs/>
          <w:color w:val="000000"/>
          <w:sz w:val="22"/>
          <w:szCs w:val="22"/>
          <w:shd w:val="clear" w:color="auto" w:fill="FFFFFF"/>
        </w:rPr>
        <w:t xml:space="preserve">manages the </w:t>
      </w:r>
      <w:r w:rsidRPr="003F61BC">
        <w:rPr>
          <w:rFonts w:cs="Arial"/>
          <w:bCs/>
          <w:color w:val="000000"/>
          <w:sz w:val="22"/>
          <w:szCs w:val="22"/>
          <w:shd w:val="clear" w:color="auto" w:fill="FFFFFF"/>
        </w:rPr>
        <w:t>Las Vegas T</w:t>
      </w:r>
      <w:r>
        <w:rPr>
          <w:rFonts w:cs="Arial"/>
          <w:bCs/>
          <w:color w:val="000000"/>
          <w:sz w:val="22"/>
          <w:szCs w:val="22"/>
          <w:shd w:val="clear" w:color="auto" w:fill="FFFFFF"/>
        </w:rPr>
        <w:t xml:space="preserve">ransitional </w:t>
      </w:r>
      <w:r w:rsidRPr="003F61BC">
        <w:rPr>
          <w:rFonts w:cs="Arial"/>
          <w:bCs/>
          <w:color w:val="000000"/>
          <w:sz w:val="22"/>
          <w:szCs w:val="22"/>
          <w:shd w:val="clear" w:color="auto" w:fill="FFFFFF"/>
        </w:rPr>
        <w:t>G</w:t>
      </w:r>
      <w:r>
        <w:rPr>
          <w:rFonts w:cs="Arial"/>
          <w:bCs/>
          <w:color w:val="000000"/>
          <w:sz w:val="22"/>
          <w:szCs w:val="22"/>
          <w:shd w:val="clear" w:color="auto" w:fill="FFFFFF"/>
        </w:rPr>
        <w:t xml:space="preserve">rant </w:t>
      </w:r>
      <w:r w:rsidRPr="003F61BC">
        <w:rPr>
          <w:rFonts w:cs="Arial"/>
          <w:bCs/>
          <w:color w:val="000000"/>
          <w:sz w:val="22"/>
          <w:szCs w:val="22"/>
          <w:shd w:val="clear" w:color="auto" w:fill="FFFFFF"/>
        </w:rPr>
        <w:t>A</w:t>
      </w:r>
      <w:r>
        <w:rPr>
          <w:rFonts w:cs="Arial"/>
          <w:bCs/>
          <w:color w:val="000000"/>
          <w:sz w:val="22"/>
          <w:szCs w:val="22"/>
          <w:shd w:val="clear" w:color="auto" w:fill="FFFFFF"/>
        </w:rPr>
        <w:t>rea</w:t>
      </w:r>
      <w:r w:rsidRPr="003F61BC">
        <w:rPr>
          <w:rFonts w:cs="Arial"/>
          <w:bCs/>
          <w:color w:val="000000"/>
          <w:sz w:val="22"/>
          <w:szCs w:val="22"/>
          <w:shd w:val="clear" w:color="auto" w:fill="FFFFFF"/>
        </w:rPr>
        <w:t xml:space="preserve"> Part A HIV/AIDS Program</w:t>
      </w:r>
      <w:r>
        <w:rPr>
          <w:sz w:val="22"/>
          <w:szCs w:val="22"/>
        </w:rPr>
        <w:t xml:space="preserve">. </w:t>
      </w:r>
      <w:r w:rsidRPr="003F61BC">
        <w:rPr>
          <w:sz w:val="22"/>
          <w:szCs w:val="22"/>
        </w:rPr>
        <w:t xml:space="preserve">The Las Vegas Transitional Grant Area (TGA) </w:t>
      </w:r>
      <w:r>
        <w:rPr>
          <w:rFonts w:cs="Calibri Light"/>
          <w:sz w:val="22"/>
          <w:szCs w:val="22"/>
        </w:rPr>
        <w:t xml:space="preserve">funds provider agencies to deliver core medical and/or support services for PLWH in Clark and Nye Counties in </w:t>
      </w:r>
      <w:r>
        <w:rPr>
          <w:rFonts w:cs="Calibri Light"/>
          <w:sz w:val="22"/>
          <w:szCs w:val="22"/>
        </w:rPr>
        <w:lastRenderedPageBreak/>
        <w:t xml:space="preserve">Southern Nevada. </w:t>
      </w:r>
      <w:r w:rsidRPr="003F61BC">
        <w:rPr>
          <w:rFonts w:cs="Arial"/>
          <w:color w:val="000000"/>
          <w:sz w:val="22"/>
          <w:szCs w:val="22"/>
        </w:rPr>
        <w:t xml:space="preserve">The grantee works with the Part A </w:t>
      </w:r>
      <w:r w:rsidR="00091B93">
        <w:rPr>
          <w:rFonts w:cs="Arial"/>
          <w:color w:val="000000"/>
          <w:sz w:val="22"/>
          <w:szCs w:val="22"/>
        </w:rPr>
        <w:t>P</w:t>
      </w:r>
      <w:r w:rsidRPr="003F61BC">
        <w:rPr>
          <w:rFonts w:cs="Arial"/>
          <w:color w:val="000000"/>
          <w:sz w:val="22"/>
          <w:szCs w:val="22"/>
        </w:rPr>
        <w:t xml:space="preserve">lanning </w:t>
      </w:r>
      <w:r w:rsidR="00091B93">
        <w:rPr>
          <w:rFonts w:cs="Arial"/>
          <w:color w:val="000000"/>
          <w:sz w:val="22"/>
          <w:szCs w:val="22"/>
        </w:rPr>
        <w:t>C</w:t>
      </w:r>
      <w:r w:rsidRPr="003F61BC">
        <w:rPr>
          <w:rFonts w:cs="Arial"/>
          <w:color w:val="000000"/>
          <w:sz w:val="22"/>
          <w:szCs w:val="22"/>
        </w:rPr>
        <w:t>ouncil in making decisions about how to use the funds.</w:t>
      </w:r>
      <w:r>
        <w:rPr>
          <w:rFonts w:cs="Arial"/>
          <w:color w:val="000000"/>
          <w:sz w:val="22"/>
          <w:szCs w:val="22"/>
        </w:rPr>
        <w:t xml:space="preserve"> </w:t>
      </w:r>
    </w:p>
    <w:p w:rsidR="005E70FA" w:rsidRDefault="00DA3958" w:rsidP="00DA3958">
      <w:pPr>
        <w:widowControl w:val="0"/>
        <w:jc w:val="both"/>
        <w:rPr>
          <w:rFonts w:cs="Calibri Light"/>
          <w:sz w:val="22"/>
          <w:szCs w:val="22"/>
        </w:rPr>
      </w:pPr>
      <w:r>
        <w:rPr>
          <w:rFonts w:cs="Calibri Light"/>
          <w:sz w:val="22"/>
          <w:szCs w:val="22"/>
        </w:rPr>
        <w:t xml:space="preserve">The HIV </w:t>
      </w:r>
      <w:r w:rsidR="00091B93">
        <w:rPr>
          <w:rFonts w:cs="Calibri Light"/>
          <w:sz w:val="22"/>
          <w:szCs w:val="22"/>
        </w:rPr>
        <w:t>w</w:t>
      </w:r>
      <w:r>
        <w:rPr>
          <w:rFonts w:cs="Calibri Light"/>
          <w:sz w:val="22"/>
          <w:szCs w:val="22"/>
        </w:rPr>
        <w:t>orkforce in Nevada includes licensed medical providers, mental health care providers, psychiatrists, registered dietitians that are HIV focused, community health workers, dentists and dental hygienists who have received HIV training, peer navigators, certified nurse case managers, medical case managers, paraprofessionals, counselors, and social workers. Two HIV specialty clinics are available in Nevada—</w:t>
      </w:r>
      <w:r w:rsidR="007B027A">
        <w:rPr>
          <w:rFonts w:cs="Calibri Light"/>
          <w:sz w:val="22"/>
          <w:szCs w:val="22"/>
        </w:rPr>
        <w:t xml:space="preserve">Northern Nevada </w:t>
      </w:r>
      <w:r>
        <w:rPr>
          <w:rFonts w:cs="Calibri Light"/>
          <w:sz w:val="22"/>
          <w:szCs w:val="22"/>
        </w:rPr>
        <w:t xml:space="preserve">HOPES in the north and UMC Wellness Center in the south. Additionally, some private physicians provide HIV care. Nevada faces some challenges with the HIV workforce capacity, including a general shortage of physicians, psychiatrists, and other health care professionals across the state. </w:t>
      </w:r>
      <w:r w:rsidRPr="005F25F9">
        <w:rPr>
          <w:rFonts w:cs="Calibri Light"/>
          <w:sz w:val="22"/>
          <w:szCs w:val="22"/>
        </w:rPr>
        <w:t>Other key needs related to workforce capacity included the need for additional training for healthcare professionals related to HIV/AIDS, cultural competence, and empathy; more collaboration and communication among agencies; and more diversity among providers and healthcare workers.</w:t>
      </w:r>
    </w:p>
    <w:p w:rsidR="008C0ADC" w:rsidRDefault="00DA3958" w:rsidP="008C0ADC">
      <w:pPr>
        <w:widowControl w:val="0"/>
        <w:tabs>
          <w:tab w:val="left" w:pos="220"/>
          <w:tab w:val="left" w:pos="720"/>
        </w:tabs>
        <w:autoSpaceDE w:val="0"/>
        <w:autoSpaceDN w:val="0"/>
        <w:adjustRightInd w:val="0"/>
        <w:jc w:val="both"/>
        <w:rPr>
          <w:rFonts w:cs="MS Gothic"/>
          <w:sz w:val="22"/>
          <w:szCs w:val="22"/>
        </w:rPr>
      </w:pPr>
      <w:r>
        <w:rPr>
          <w:rFonts w:cs="MS Gothic"/>
          <w:sz w:val="22"/>
          <w:szCs w:val="22"/>
        </w:rPr>
        <w:t>The Ryan White programs in Nevada collaborate extensively to assure that services are developed and provided per identified need</w:t>
      </w:r>
      <w:r w:rsidR="008C0ADC">
        <w:rPr>
          <w:rFonts w:cs="MS Gothic"/>
          <w:sz w:val="22"/>
          <w:szCs w:val="22"/>
        </w:rPr>
        <w:t>. Recipients and sub-recipients of all Ryan White funding streams (Part A, B, C, D and F) also meet quarterly in</w:t>
      </w:r>
      <w:r w:rsidR="00091B93">
        <w:rPr>
          <w:rFonts w:cs="MS Gothic"/>
          <w:sz w:val="22"/>
          <w:szCs w:val="22"/>
        </w:rPr>
        <w:t xml:space="preserve"> a meeting called The Gathering</w:t>
      </w:r>
      <w:r w:rsidR="008C0ADC">
        <w:rPr>
          <w:rFonts w:cs="MS Gothic"/>
          <w:sz w:val="22"/>
          <w:szCs w:val="22"/>
        </w:rPr>
        <w:t xml:space="preserve"> to discuss emerging issues and enhance the continuum of care across all parts. The prevention planning groups in the </w:t>
      </w:r>
      <w:r w:rsidR="00091B93">
        <w:rPr>
          <w:rFonts w:cs="MS Gothic"/>
          <w:sz w:val="22"/>
          <w:szCs w:val="22"/>
        </w:rPr>
        <w:t>n</w:t>
      </w:r>
      <w:r w:rsidR="008C0ADC">
        <w:rPr>
          <w:rFonts w:cs="MS Gothic"/>
          <w:sz w:val="22"/>
          <w:szCs w:val="22"/>
        </w:rPr>
        <w:t xml:space="preserve">orth and the </w:t>
      </w:r>
      <w:r w:rsidR="00091B93">
        <w:rPr>
          <w:rFonts w:cs="MS Gothic"/>
          <w:sz w:val="22"/>
          <w:szCs w:val="22"/>
        </w:rPr>
        <w:t>s</w:t>
      </w:r>
      <w:r w:rsidR="008C0ADC">
        <w:rPr>
          <w:rFonts w:cs="MS Gothic"/>
          <w:sz w:val="22"/>
          <w:szCs w:val="22"/>
        </w:rPr>
        <w:t xml:space="preserve">outh and Part A Planning Council in the </w:t>
      </w:r>
      <w:r w:rsidR="00091B93">
        <w:rPr>
          <w:rFonts w:cs="MS Gothic"/>
          <w:sz w:val="22"/>
          <w:szCs w:val="22"/>
        </w:rPr>
        <w:t>s</w:t>
      </w:r>
      <w:r w:rsidR="008C0ADC">
        <w:rPr>
          <w:rFonts w:cs="MS Gothic"/>
          <w:sz w:val="22"/>
          <w:szCs w:val="22"/>
        </w:rPr>
        <w:t>outh meet on a regular basis and facilitate the coordination of HIV prevention and care services across the state through regular communication between agency representatives, community organizations, providers, and PLWH. Service providers collaborate extensively with the state and the district health departments to assure that the c</w:t>
      </w:r>
      <w:r w:rsidR="00091B93">
        <w:rPr>
          <w:rFonts w:cs="MS Gothic"/>
          <w:sz w:val="22"/>
          <w:szCs w:val="22"/>
        </w:rPr>
        <w:t>ontinuum</w:t>
      </w:r>
      <w:r w:rsidR="008C0ADC">
        <w:rPr>
          <w:rFonts w:cs="MS Gothic"/>
          <w:sz w:val="22"/>
          <w:szCs w:val="22"/>
        </w:rPr>
        <w:t xml:space="preserve"> of care is addressed through testing to linkage and retention in care. In addition to the federally funded Ryan White efforts, the </w:t>
      </w:r>
      <w:r w:rsidR="00091B93">
        <w:rPr>
          <w:rFonts w:cs="MS Gothic"/>
          <w:sz w:val="22"/>
          <w:szCs w:val="22"/>
        </w:rPr>
        <w:t>s</w:t>
      </w:r>
      <w:r w:rsidR="008C0ADC">
        <w:rPr>
          <w:rFonts w:cs="MS Gothic"/>
          <w:sz w:val="22"/>
          <w:szCs w:val="22"/>
        </w:rPr>
        <w:t xml:space="preserve">tate and </w:t>
      </w:r>
      <w:r w:rsidR="00091B93">
        <w:rPr>
          <w:rFonts w:cs="MS Gothic"/>
          <w:sz w:val="22"/>
          <w:szCs w:val="22"/>
        </w:rPr>
        <w:t>c</w:t>
      </w:r>
      <w:r w:rsidR="008C0ADC">
        <w:rPr>
          <w:rFonts w:cs="MS Gothic"/>
          <w:sz w:val="22"/>
          <w:szCs w:val="22"/>
        </w:rPr>
        <w:t>ounty health division programs interact with various organizations and assistance programs in the nonprofit sector to provide care, planning, and services in Nevada.</w:t>
      </w:r>
    </w:p>
    <w:p w:rsidR="009C3C7B" w:rsidRDefault="009C3C7B" w:rsidP="009C3C7B">
      <w:pPr>
        <w:jc w:val="both"/>
        <w:rPr>
          <w:rFonts w:cs="MS Gothic"/>
          <w:sz w:val="22"/>
          <w:szCs w:val="22"/>
        </w:rPr>
      </w:pPr>
      <w:r>
        <w:rPr>
          <w:rFonts w:cs="MS Gothic"/>
          <w:sz w:val="22"/>
          <w:szCs w:val="22"/>
        </w:rPr>
        <w:t>The needs assessment process began in April 2015 with stakeholder meetings of representatives from HIV prevention and care in the north and the south</w:t>
      </w:r>
      <w:r w:rsidR="00091B93">
        <w:rPr>
          <w:rFonts w:cs="MS Gothic"/>
          <w:sz w:val="22"/>
          <w:szCs w:val="22"/>
        </w:rPr>
        <w:t>,</w:t>
      </w:r>
      <w:r>
        <w:rPr>
          <w:rFonts w:cs="MS Gothic"/>
          <w:sz w:val="22"/>
          <w:szCs w:val="22"/>
        </w:rPr>
        <w:t xml:space="preserve"> during which participants identified </w:t>
      </w:r>
      <w:r w:rsidRPr="00B0316C">
        <w:rPr>
          <w:rFonts w:cs="MS Gothic"/>
          <w:sz w:val="22"/>
          <w:szCs w:val="22"/>
        </w:rPr>
        <w:t>unmet needs, challenges and gaps</w:t>
      </w:r>
      <w:r>
        <w:rPr>
          <w:rFonts w:cs="MS Gothic"/>
          <w:sz w:val="22"/>
          <w:szCs w:val="22"/>
        </w:rPr>
        <w:t xml:space="preserve"> related to HIV in Nevada. </w:t>
      </w:r>
      <w:r w:rsidRPr="00B0316C">
        <w:rPr>
          <w:rFonts w:cs="MS Gothic"/>
          <w:sz w:val="22"/>
          <w:szCs w:val="22"/>
        </w:rPr>
        <w:t>Two needs assessments</w:t>
      </w:r>
      <w:r w:rsidR="007B027A">
        <w:rPr>
          <w:rFonts w:cs="MS Gothic"/>
          <w:sz w:val="22"/>
          <w:szCs w:val="22"/>
        </w:rPr>
        <w:t xml:space="preserve">, </w:t>
      </w:r>
      <w:r w:rsidRPr="00B0316C">
        <w:rPr>
          <w:rFonts w:cs="MS Gothic"/>
          <w:sz w:val="22"/>
          <w:szCs w:val="22"/>
        </w:rPr>
        <w:t>one comprehensive and one targeted</w:t>
      </w:r>
      <w:r w:rsidR="007B027A">
        <w:rPr>
          <w:rFonts w:cs="MS Gothic"/>
          <w:sz w:val="22"/>
          <w:szCs w:val="22"/>
        </w:rPr>
        <w:t>,</w:t>
      </w:r>
      <w:r w:rsidRPr="00B0316C">
        <w:rPr>
          <w:rFonts w:cs="MS Gothic"/>
          <w:sz w:val="22"/>
          <w:szCs w:val="22"/>
        </w:rPr>
        <w:t xml:space="preserve"> and a customer satisfactio</w:t>
      </w:r>
      <w:r w:rsidR="007B027A">
        <w:rPr>
          <w:rFonts w:cs="MS Gothic"/>
          <w:sz w:val="22"/>
          <w:szCs w:val="22"/>
        </w:rPr>
        <w:t>n study from the Las Vegas TGA</w:t>
      </w:r>
      <w:r w:rsidRPr="00B0316C">
        <w:rPr>
          <w:rFonts w:cs="MS Gothic"/>
          <w:sz w:val="22"/>
          <w:szCs w:val="22"/>
        </w:rPr>
        <w:t xml:space="preserve"> were conducted </w:t>
      </w:r>
      <w:r>
        <w:rPr>
          <w:rFonts w:cs="MS Gothic"/>
          <w:sz w:val="22"/>
          <w:szCs w:val="22"/>
        </w:rPr>
        <w:t>and</w:t>
      </w:r>
      <w:r w:rsidRPr="00B0316C">
        <w:rPr>
          <w:rFonts w:cs="MS Gothic"/>
          <w:sz w:val="22"/>
          <w:szCs w:val="22"/>
        </w:rPr>
        <w:t xml:space="preserve"> used to inform this Statewide Coordinated Statement of Needs.</w:t>
      </w:r>
      <w:r w:rsidRPr="009C3C7B">
        <w:rPr>
          <w:rFonts w:cs="MS Gothic"/>
          <w:sz w:val="22"/>
          <w:szCs w:val="22"/>
        </w:rPr>
        <w:t xml:space="preserve"> </w:t>
      </w:r>
      <w:r w:rsidR="00B63153">
        <w:rPr>
          <w:rFonts w:cs="MS Gothic"/>
          <w:sz w:val="22"/>
          <w:szCs w:val="22"/>
        </w:rPr>
        <w:t>The</w:t>
      </w:r>
      <w:r>
        <w:rPr>
          <w:rFonts w:cs="MS Gothic"/>
          <w:sz w:val="22"/>
          <w:szCs w:val="22"/>
        </w:rPr>
        <w:t xml:space="preserve"> HIV client survey,</w:t>
      </w:r>
      <w:r w:rsidR="00B63153">
        <w:rPr>
          <w:rFonts w:cs="MS Gothic"/>
          <w:sz w:val="22"/>
          <w:szCs w:val="22"/>
        </w:rPr>
        <w:t xml:space="preserve"> </w:t>
      </w:r>
      <w:r>
        <w:rPr>
          <w:rFonts w:cs="MS Gothic"/>
          <w:sz w:val="22"/>
          <w:szCs w:val="22"/>
        </w:rPr>
        <w:t xml:space="preserve">prevention community survey, provider survey, and 20 focus groups for </w:t>
      </w:r>
      <w:r w:rsidR="00B63153">
        <w:rPr>
          <w:rFonts w:cs="MS Gothic"/>
          <w:sz w:val="22"/>
          <w:szCs w:val="22"/>
        </w:rPr>
        <w:t xml:space="preserve">community members and HIV </w:t>
      </w:r>
      <w:r>
        <w:rPr>
          <w:rFonts w:cs="MS Gothic"/>
          <w:sz w:val="22"/>
          <w:szCs w:val="22"/>
        </w:rPr>
        <w:t>client</w:t>
      </w:r>
      <w:r w:rsidR="00B63153">
        <w:rPr>
          <w:rFonts w:cs="MS Gothic"/>
          <w:sz w:val="22"/>
          <w:szCs w:val="22"/>
        </w:rPr>
        <w:t>s</w:t>
      </w:r>
      <w:r>
        <w:rPr>
          <w:rFonts w:cs="MS Gothic"/>
          <w:sz w:val="22"/>
          <w:szCs w:val="22"/>
        </w:rPr>
        <w:t xml:space="preserve"> </w:t>
      </w:r>
      <w:r w:rsidRPr="00B0316C">
        <w:rPr>
          <w:rFonts w:cs="MS Gothic"/>
          <w:sz w:val="22"/>
          <w:szCs w:val="22"/>
        </w:rPr>
        <w:t>were conducted between April 2015 a</w:t>
      </w:r>
      <w:r>
        <w:rPr>
          <w:rFonts w:cs="MS Gothic"/>
          <w:sz w:val="22"/>
          <w:szCs w:val="22"/>
        </w:rPr>
        <w:t xml:space="preserve">nd May 2016. </w:t>
      </w:r>
    </w:p>
    <w:p w:rsidR="008C0ADC" w:rsidRDefault="009C3C7B" w:rsidP="009C3C7B">
      <w:pPr>
        <w:jc w:val="both"/>
        <w:rPr>
          <w:rFonts w:cs="Calibri Light"/>
          <w:sz w:val="22"/>
          <w:szCs w:val="22"/>
        </w:rPr>
      </w:pPr>
      <w:r>
        <w:rPr>
          <w:rFonts w:cs="MS Gothic"/>
          <w:sz w:val="22"/>
          <w:szCs w:val="22"/>
        </w:rPr>
        <w:t xml:space="preserve">Top HIV </w:t>
      </w:r>
      <w:r w:rsidR="007B027A">
        <w:rPr>
          <w:rFonts w:cs="MS Gothic"/>
          <w:sz w:val="22"/>
          <w:szCs w:val="22"/>
        </w:rPr>
        <w:t>p</w:t>
      </w:r>
      <w:r>
        <w:rPr>
          <w:rFonts w:cs="MS Gothic"/>
          <w:sz w:val="22"/>
          <w:szCs w:val="22"/>
        </w:rPr>
        <w:t xml:space="preserve">revention service needs identified through the needs assessment process include basic HIV prevention education and awareness activities, reduction of stigma, free or low cost testing, access to rapid testing, routine testing by primary care providers, culturally and linguistically appropriate education, </w:t>
      </w:r>
      <w:r w:rsidR="00091B93">
        <w:rPr>
          <w:rFonts w:cs="MS Gothic"/>
          <w:sz w:val="22"/>
          <w:szCs w:val="22"/>
        </w:rPr>
        <w:t xml:space="preserve">free or low cost condoms, </w:t>
      </w:r>
      <w:r>
        <w:rPr>
          <w:rFonts w:cs="MS Gothic"/>
          <w:sz w:val="22"/>
          <w:szCs w:val="22"/>
        </w:rPr>
        <w:t xml:space="preserve">education, awareness and access to PrEP and PEP, and syringe services programs. </w:t>
      </w:r>
      <w:r>
        <w:rPr>
          <w:rFonts w:cs="Calibri Light"/>
          <w:sz w:val="22"/>
          <w:szCs w:val="22"/>
        </w:rPr>
        <w:t>S</w:t>
      </w:r>
      <w:r w:rsidRPr="003713C3">
        <w:rPr>
          <w:rFonts w:cs="Calibri Light"/>
          <w:sz w:val="22"/>
          <w:szCs w:val="22"/>
        </w:rPr>
        <w:t>ervice gaps in Nevada for persons at risk for HIV include education, peer support</w:t>
      </w:r>
      <w:r w:rsidRPr="003713C3">
        <w:rPr>
          <w:rFonts w:cs="Calibri Light"/>
        </w:rPr>
        <w:t xml:space="preserve"> </w:t>
      </w:r>
      <w:r w:rsidRPr="003713C3">
        <w:rPr>
          <w:rFonts w:cs="Calibri Light"/>
          <w:sz w:val="22"/>
          <w:szCs w:val="22"/>
        </w:rPr>
        <w:t>programs, and universal testing for HIV</w:t>
      </w:r>
      <w:r w:rsidR="00091B93">
        <w:rPr>
          <w:rFonts w:cs="Calibri Light"/>
          <w:sz w:val="22"/>
          <w:szCs w:val="22"/>
        </w:rPr>
        <w:t>,</w:t>
      </w:r>
      <w:r w:rsidRPr="003713C3">
        <w:rPr>
          <w:rFonts w:cs="Calibri Light"/>
          <w:sz w:val="22"/>
          <w:szCs w:val="22"/>
        </w:rPr>
        <w:t xml:space="preserve"> which may contribute to reducing risk and to getting people into care as soon as possible.</w:t>
      </w:r>
      <w:r>
        <w:rPr>
          <w:rFonts w:cs="Calibri Light"/>
          <w:sz w:val="22"/>
          <w:szCs w:val="22"/>
        </w:rPr>
        <w:t xml:space="preserve"> Culturally and linguistically appropriate HIV prevention materials were noted as lacking in the state. Both focus group and survey respondents emphasized the lack of comprehensive HIV </w:t>
      </w:r>
      <w:r>
        <w:rPr>
          <w:rFonts w:cs="Calibri Light"/>
          <w:sz w:val="22"/>
          <w:szCs w:val="22"/>
        </w:rPr>
        <w:lastRenderedPageBreak/>
        <w:t>prevention education in schools across the state. HIV Community Survey respondents most preferred receiving information about HIV/AIDS through the internet, health care providers</w:t>
      </w:r>
      <w:r w:rsidR="00091B93">
        <w:rPr>
          <w:rFonts w:cs="Calibri Light"/>
          <w:sz w:val="22"/>
          <w:szCs w:val="22"/>
        </w:rPr>
        <w:t>,</w:t>
      </w:r>
      <w:r>
        <w:rPr>
          <w:rFonts w:cs="Calibri Light"/>
          <w:sz w:val="22"/>
          <w:szCs w:val="22"/>
        </w:rPr>
        <w:t xml:space="preserve"> and brochures. </w:t>
      </w:r>
    </w:p>
    <w:p w:rsidR="009C3C7B" w:rsidRDefault="009C3C7B" w:rsidP="00B63153">
      <w:pPr>
        <w:jc w:val="both"/>
        <w:rPr>
          <w:rFonts w:cs="MS Gothic"/>
          <w:sz w:val="22"/>
          <w:szCs w:val="22"/>
        </w:rPr>
      </w:pPr>
      <w:r>
        <w:rPr>
          <w:rFonts w:cs="MS Gothic"/>
          <w:sz w:val="22"/>
          <w:szCs w:val="22"/>
        </w:rPr>
        <w:t>Surveys and focus groups of PLWH revealed the most needed services including medical, dental, and vision care, food assistance, medication, transportation</w:t>
      </w:r>
      <w:r w:rsidR="00091B93">
        <w:rPr>
          <w:rFonts w:cs="MS Gothic"/>
          <w:sz w:val="22"/>
          <w:szCs w:val="22"/>
        </w:rPr>
        <w:t>,</w:t>
      </w:r>
      <w:r>
        <w:rPr>
          <w:rFonts w:cs="MS Gothic"/>
          <w:sz w:val="22"/>
          <w:szCs w:val="22"/>
        </w:rPr>
        <w:t xml:space="preserve"> and case management.</w:t>
      </w:r>
      <w:r w:rsidR="00B63153">
        <w:rPr>
          <w:rFonts w:cs="MS Gothic"/>
          <w:sz w:val="22"/>
          <w:szCs w:val="22"/>
        </w:rPr>
        <w:t xml:space="preserve"> Additionally, providers noted the need for legal services, substance abuse help, early intervention services, HIV and health classes, and outreach. Top gaps related to HIV care in Nevada include vision and dental care, financial assistance, transportation, specialty care, nutrition, housing, mental health services, food assistance, peer advocates, and substance abuse services. </w:t>
      </w:r>
    </w:p>
    <w:p w:rsidR="00B63153" w:rsidRDefault="00B63153" w:rsidP="00B63153">
      <w:pPr>
        <w:jc w:val="both"/>
        <w:rPr>
          <w:rFonts w:cs="MS Gothic"/>
          <w:sz w:val="22"/>
          <w:szCs w:val="22"/>
        </w:rPr>
      </w:pPr>
      <w:r>
        <w:rPr>
          <w:rFonts w:cs="MS Gothic"/>
          <w:sz w:val="22"/>
          <w:szCs w:val="22"/>
        </w:rPr>
        <w:t>Stigma was the main social barrier that negatively impacts</w:t>
      </w:r>
      <w:r w:rsidR="00091B93">
        <w:rPr>
          <w:rFonts w:cs="MS Gothic"/>
          <w:sz w:val="22"/>
          <w:szCs w:val="22"/>
        </w:rPr>
        <w:t xml:space="preserve"> HIV</w:t>
      </w:r>
      <w:r>
        <w:rPr>
          <w:rFonts w:cs="MS Gothic"/>
          <w:sz w:val="22"/>
          <w:szCs w:val="22"/>
        </w:rPr>
        <w:t xml:space="preserve"> prevention and care efforts in Nevada. Transportation is another key barrier, particularly in southern Nevada. L</w:t>
      </w:r>
      <w:r>
        <w:rPr>
          <w:rFonts w:cs="Calibri Light"/>
          <w:sz w:val="22"/>
          <w:szCs w:val="22"/>
        </w:rPr>
        <w:t xml:space="preserve">ack of HIV providers, lack of specialty care providers, lack of mental health workers, and lack of case workers are barriers that impact linkage to care and retention in care. </w:t>
      </w:r>
      <w:r w:rsidRPr="003713C3">
        <w:rPr>
          <w:sz w:val="22"/>
          <w:szCs w:val="22"/>
        </w:rPr>
        <w:t>Top client barriers noted by survey respondents and focus group participants included lack of available services, health literacy, poverty, time, transportation, and conflicting responsibilities.</w:t>
      </w:r>
    </w:p>
    <w:p w:rsidR="00144EFD" w:rsidRDefault="00B63153" w:rsidP="00144EFD">
      <w:pPr>
        <w:widowControl w:val="0"/>
        <w:tabs>
          <w:tab w:val="left" w:pos="220"/>
          <w:tab w:val="left" w:pos="720"/>
        </w:tabs>
        <w:autoSpaceDE w:val="0"/>
        <w:autoSpaceDN w:val="0"/>
        <w:adjustRightInd w:val="0"/>
        <w:jc w:val="both"/>
        <w:rPr>
          <w:rFonts w:cs="MS Gothic"/>
          <w:sz w:val="22"/>
          <w:szCs w:val="22"/>
        </w:rPr>
      </w:pPr>
      <w:r>
        <w:rPr>
          <w:rFonts w:cs="MS Gothic"/>
          <w:sz w:val="22"/>
          <w:szCs w:val="22"/>
        </w:rPr>
        <w:t>A stakeholders meeting was held in March 2016 to review the needs assessment data and t</w:t>
      </w:r>
      <w:r w:rsidR="009C3C7B" w:rsidRPr="00B0316C">
        <w:rPr>
          <w:rFonts w:cs="MS Gothic"/>
          <w:sz w:val="22"/>
          <w:szCs w:val="22"/>
        </w:rPr>
        <w:t xml:space="preserve">o initiate the process of setting goals and objectives </w:t>
      </w:r>
      <w:r>
        <w:rPr>
          <w:rFonts w:cs="MS Gothic"/>
          <w:sz w:val="22"/>
          <w:szCs w:val="22"/>
        </w:rPr>
        <w:t>for the integrated plan</w:t>
      </w:r>
      <w:r w:rsidR="009C3C7B" w:rsidRPr="00B0316C">
        <w:rPr>
          <w:rFonts w:cs="MS Gothic"/>
          <w:sz w:val="22"/>
          <w:szCs w:val="22"/>
        </w:rPr>
        <w:t xml:space="preserve">. This meeting was attended by 41 participants, not including the facilitators, and represented a wide variety of participants including PLWH and representatives from providers, prevention agencies, and other </w:t>
      </w:r>
      <w:r>
        <w:rPr>
          <w:rFonts w:cs="MS Gothic"/>
          <w:sz w:val="22"/>
          <w:szCs w:val="22"/>
        </w:rPr>
        <w:t>community-based organizations. The Internal Workgroup and the team from the School of Community Health Sciences further developed the objectives, strategies</w:t>
      </w:r>
      <w:r w:rsidR="00091B93">
        <w:rPr>
          <w:rFonts w:cs="MS Gothic"/>
          <w:sz w:val="22"/>
          <w:szCs w:val="22"/>
        </w:rPr>
        <w:t>,</w:t>
      </w:r>
      <w:r>
        <w:rPr>
          <w:rFonts w:cs="MS Gothic"/>
          <w:sz w:val="22"/>
          <w:szCs w:val="22"/>
        </w:rPr>
        <w:t xml:space="preserve"> and activities and </w:t>
      </w:r>
      <w:r w:rsidR="001D2F05">
        <w:rPr>
          <w:rFonts w:cs="MS Gothic"/>
          <w:sz w:val="22"/>
          <w:szCs w:val="22"/>
        </w:rPr>
        <w:t xml:space="preserve">requested review and feedback from the HIV Community Planning Groups in the north and south and the Part A Planning Council. </w:t>
      </w:r>
      <w:r w:rsidR="00144EFD" w:rsidRPr="00317602">
        <w:rPr>
          <w:rFonts w:cs="Calibri Light"/>
          <w:sz w:val="22"/>
          <w:szCs w:val="22"/>
        </w:rPr>
        <w:t>Community members and people at higher risk for</w:t>
      </w:r>
      <w:r w:rsidR="00091B93">
        <w:rPr>
          <w:rFonts w:cs="Calibri Light"/>
          <w:sz w:val="22"/>
          <w:szCs w:val="22"/>
        </w:rPr>
        <w:t xml:space="preserve"> HIV</w:t>
      </w:r>
      <w:r w:rsidR="00144EFD" w:rsidRPr="00317602">
        <w:rPr>
          <w:rFonts w:cs="Calibri Light"/>
          <w:sz w:val="22"/>
          <w:szCs w:val="22"/>
        </w:rPr>
        <w:t xml:space="preserve"> infection contributed to the development of the plan through participation in the Community Survey </w:t>
      </w:r>
      <w:r w:rsidR="00144EFD">
        <w:rPr>
          <w:rFonts w:cs="Calibri Light"/>
          <w:sz w:val="22"/>
          <w:szCs w:val="22"/>
        </w:rPr>
        <w:t xml:space="preserve">and a variety of focus groups. </w:t>
      </w:r>
      <w:r w:rsidR="00144EFD" w:rsidRPr="00317602">
        <w:rPr>
          <w:rFonts w:cs="Calibri Light"/>
          <w:sz w:val="22"/>
          <w:szCs w:val="22"/>
        </w:rPr>
        <w:t xml:space="preserve">PLWH contributed to plan development through their participation in </w:t>
      </w:r>
      <w:r w:rsidR="00144EFD">
        <w:rPr>
          <w:rFonts w:cs="Calibri Light"/>
          <w:sz w:val="22"/>
          <w:szCs w:val="22"/>
        </w:rPr>
        <w:t xml:space="preserve">the </w:t>
      </w:r>
      <w:r w:rsidR="00144EFD" w:rsidRPr="00317602">
        <w:rPr>
          <w:rFonts w:cs="Calibri Light"/>
          <w:sz w:val="22"/>
          <w:szCs w:val="22"/>
        </w:rPr>
        <w:t>Part A needs assessment</w:t>
      </w:r>
      <w:r w:rsidR="00091B93">
        <w:rPr>
          <w:rFonts w:cs="Calibri Light"/>
          <w:sz w:val="22"/>
          <w:szCs w:val="22"/>
        </w:rPr>
        <w:t xml:space="preserve"> surveys and focus groups and </w:t>
      </w:r>
      <w:r w:rsidR="00144EFD" w:rsidRPr="00317602">
        <w:rPr>
          <w:rFonts w:cs="Calibri Light"/>
          <w:sz w:val="22"/>
          <w:szCs w:val="22"/>
        </w:rPr>
        <w:t xml:space="preserve">customer satisfaction surveys and statewide/part B client survey </w:t>
      </w:r>
      <w:r w:rsidR="00144EFD">
        <w:rPr>
          <w:rFonts w:cs="Calibri Light"/>
          <w:sz w:val="22"/>
          <w:szCs w:val="22"/>
        </w:rPr>
        <w:t xml:space="preserve">and focus groups. </w:t>
      </w:r>
      <w:r w:rsidR="00144EFD" w:rsidRPr="00317602">
        <w:rPr>
          <w:rFonts w:cs="Calibri Light"/>
          <w:sz w:val="22"/>
          <w:szCs w:val="22"/>
        </w:rPr>
        <w:t xml:space="preserve">Furthermore, PLWH, community members, providers, and community </w:t>
      </w:r>
      <w:r w:rsidR="00091B93">
        <w:rPr>
          <w:rFonts w:cs="Calibri Light"/>
          <w:sz w:val="22"/>
          <w:szCs w:val="22"/>
        </w:rPr>
        <w:t xml:space="preserve">based </w:t>
      </w:r>
      <w:r w:rsidR="00144EFD" w:rsidRPr="00317602">
        <w:rPr>
          <w:rFonts w:cs="Calibri Light"/>
          <w:sz w:val="22"/>
          <w:szCs w:val="22"/>
        </w:rPr>
        <w:t xml:space="preserve">organizations are represented in the membership of the planning groups in the north and south and in the Part A </w:t>
      </w:r>
      <w:r w:rsidR="00091B93">
        <w:rPr>
          <w:rFonts w:cs="Calibri Light"/>
          <w:sz w:val="22"/>
          <w:szCs w:val="22"/>
        </w:rPr>
        <w:t>P</w:t>
      </w:r>
      <w:r w:rsidR="00144EFD" w:rsidRPr="00317602">
        <w:rPr>
          <w:rFonts w:cs="Calibri Light"/>
          <w:sz w:val="22"/>
          <w:szCs w:val="22"/>
        </w:rPr>
        <w:t xml:space="preserve">lanning </w:t>
      </w:r>
      <w:r w:rsidR="00091B93">
        <w:rPr>
          <w:rFonts w:cs="Calibri Light"/>
          <w:sz w:val="22"/>
          <w:szCs w:val="22"/>
        </w:rPr>
        <w:t>C</w:t>
      </w:r>
      <w:r w:rsidR="00144EFD" w:rsidRPr="00317602">
        <w:rPr>
          <w:rFonts w:cs="Calibri Light"/>
          <w:sz w:val="22"/>
          <w:szCs w:val="22"/>
        </w:rPr>
        <w:t>ouncil.</w:t>
      </w:r>
      <w:r w:rsidR="00144EFD">
        <w:rPr>
          <w:rFonts w:cs="Calibri Light"/>
          <w:sz w:val="22"/>
          <w:szCs w:val="22"/>
        </w:rPr>
        <w:t xml:space="preserve"> </w:t>
      </w:r>
      <w:r w:rsidR="00144EFD">
        <w:rPr>
          <w:rFonts w:cs="MS Gothic"/>
          <w:sz w:val="22"/>
          <w:szCs w:val="22"/>
        </w:rPr>
        <w:t>Participants in the needs assessment were diverse and represented the Nevada population of people PLWH and people at risk for HIV infection very well.</w:t>
      </w:r>
    </w:p>
    <w:p w:rsidR="009C3C7B" w:rsidRDefault="001D2F05" w:rsidP="009C3C7B">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As required in the Integrated Plan Guidance, Nevada’s plan objectives align to the three National HIV/AIDS Strategy (NHAS) goals: 1) </w:t>
      </w:r>
      <w:r w:rsidR="007B027A">
        <w:rPr>
          <w:rFonts w:cs="MS Gothic"/>
          <w:sz w:val="22"/>
          <w:szCs w:val="22"/>
        </w:rPr>
        <w:t>r</w:t>
      </w:r>
      <w:r>
        <w:rPr>
          <w:rFonts w:cs="MS Gothic"/>
          <w:sz w:val="22"/>
          <w:szCs w:val="22"/>
        </w:rPr>
        <w:t xml:space="preserve">educing </w:t>
      </w:r>
      <w:r w:rsidR="007B027A">
        <w:rPr>
          <w:rFonts w:cs="MS Gothic"/>
          <w:sz w:val="22"/>
          <w:szCs w:val="22"/>
        </w:rPr>
        <w:t>n</w:t>
      </w:r>
      <w:r>
        <w:rPr>
          <w:rFonts w:cs="MS Gothic"/>
          <w:sz w:val="22"/>
          <w:szCs w:val="22"/>
        </w:rPr>
        <w:t xml:space="preserve">ew </w:t>
      </w:r>
      <w:r w:rsidR="007B027A">
        <w:rPr>
          <w:rFonts w:cs="MS Gothic"/>
          <w:sz w:val="22"/>
          <w:szCs w:val="22"/>
        </w:rPr>
        <w:t>i</w:t>
      </w:r>
      <w:r>
        <w:rPr>
          <w:rFonts w:cs="MS Gothic"/>
          <w:sz w:val="22"/>
          <w:szCs w:val="22"/>
        </w:rPr>
        <w:t xml:space="preserve">nfections; 2) increasing access to care and improving health outcomes for PLWH; and 3) reducing HIV related disparities and health inequities. </w:t>
      </w:r>
      <w:r w:rsidR="00144EFD">
        <w:rPr>
          <w:rFonts w:cs="MS Gothic"/>
          <w:sz w:val="22"/>
          <w:szCs w:val="22"/>
        </w:rPr>
        <w:t xml:space="preserve">From two to five objectives were developed for each goal along with three strategies for each objective. Tables in Section IIA of the plan detail the timelines, responsible parties, activities/interventions, target populations, resources needed and metrics. </w:t>
      </w:r>
    </w:p>
    <w:p w:rsidR="001E1359" w:rsidRDefault="001E1359" w:rsidP="009C3C7B">
      <w:pPr>
        <w:widowControl w:val="0"/>
        <w:tabs>
          <w:tab w:val="left" w:pos="220"/>
          <w:tab w:val="left" w:pos="720"/>
        </w:tabs>
        <w:autoSpaceDE w:val="0"/>
        <w:autoSpaceDN w:val="0"/>
        <w:adjustRightInd w:val="0"/>
        <w:jc w:val="both"/>
        <w:rPr>
          <w:rFonts w:cs="MS Gothic"/>
          <w:sz w:val="22"/>
          <w:szCs w:val="22"/>
        </w:rPr>
      </w:pPr>
    </w:p>
    <w:p w:rsidR="001E1359" w:rsidRDefault="001E1359" w:rsidP="009C3C7B">
      <w:pPr>
        <w:widowControl w:val="0"/>
        <w:tabs>
          <w:tab w:val="left" w:pos="220"/>
          <w:tab w:val="left" w:pos="720"/>
        </w:tabs>
        <w:autoSpaceDE w:val="0"/>
        <w:autoSpaceDN w:val="0"/>
        <w:adjustRightInd w:val="0"/>
        <w:jc w:val="both"/>
        <w:rPr>
          <w:rFonts w:cs="MS Gothic"/>
          <w:sz w:val="22"/>
          <w:szCs w:val="22"/>
        </w:rPr>
      </w:pPr>
    </w:p>
    <w:p w:rsidR="001D2F05" w:rsidRPr="001D2F05" w:rsidRDefault="001D2F05" w:rsidP="001D2F05">
      <w:pPr>
        <w:widowControl w:val="0"/>
        <w:tabs>
          <w:tab w:val="left" w:pos="220"/>
          <w:tab w:val="left" w:pos="720"/>
        </w:tabs>
        <w:autoSpaceDE w:val="0"/>
        <w:autoSpaceDN w:val="0"/>
        <w:adjustRightInd w:val="0"/>
        <w:jc w:val="center"/>
        <w:rPr>
          <w:rFonts w:cs="MS Gothic"/>
          <w:b/>
          <w:sz w:val="22"/>
          <w:szCs w:val="22"/>
        </w:rPr>
      </w:pPr>
      <w:r w:rsidRPr="001D2F05">
        <w:rPr>
          <w:rFonts w:cs="MS Gothic"/>
          <w:b/>
          <w:sz w:val="22"/>
          <w:szCs w:val="22"/>
        </w:rPr>
        <w:lastRenderedPageBreak/>
        <w:t>Nevada Integrated HIV Prevention and Care Plan</w:t>
      </w:r>
      <w:r>
        <w:rPr>
          <w:rFonts w:cs="MS Gothic"/>
          <w:b/>
          <w:sz w:val="22"/>
          <w:szCs w:val="22"/>
        </w:rPr>
        <w:t xml:space="preserve"> 2017-2021</w:t>
      </w:r>
    </w:p>
    <w:p w:rsidR="001D2F05" w:rsidRPr="00A51D20" w:rsidRDefault="001D2F05" w:rsidP="001D2F05">
      <w:pPr>
        <w:spacing w:before="0" w:after="0"/>
        <w:rPr>
          <w:b/>
          <w:sz w:val="22"/>
          <w:szCs w:val="22"/>
        </w:rPr>
      </w:pPr>
      <w:r w:rsidRPr="00A51D20">
        <w:rPr>
          <w:b/>
          <w:sz w:val="22"/>
          <w:szCs w:val="22"/>
        </w:rPr>
        <w:t>Goal 1: Reducing new HIV infections</w:t>
      </w:r>
    </w:p>
    <w:p w:rsidR="001D2F05" w:rsidRPr="00A51D20" w:rsidRDefault="001D2F05" w:rsidP="001D2F05">
      <w:pPr>
        <w:spacing w:before="0" w:after="0"/>
        <w:ind w:firstLine="720"/>
        <w:rPr>
          <w:b/>
          <w:sz w:val="22"/>
          <w:szCs w:val="22"/>
        </w:rPr>
      </w:pPr>
      <w:r w:rsidRPr="00A51D20">
        <w:rPr>
          <w:b/>
          <w:sz w:val="22"/>
          <w:szCs w:val="22"/>
        </w:rPr>
        <w:t>Objective 1a. By 2021, 90% of people living with HIV will know their serostatus.</w:t>
      </w:r>
    </w:p>
    <w:p w:rsidR="001D2F05" w:rsidRPr="00324B41" w:rsidRDefault="001D2F05" w:rsidP="001D2F05">
      <w:pPr>
        <w:spacing w:before="0" w:after="0" w:line="240" w:lineRule="auto"/>
        <w:ind w:left="720" w:firstLine="720"/>
        <w:rPr>
          <w:rFonts w:eastAsia="Times New Roman" w:cs="Tahoma"/>
          <w:bCs/>
          <w:color w:val="000000"/>
          <w:sz w:val="22"/>
          <w:szCs w:val="22"/>
        </w:rPr>
      </w:pPr>
      <w:r w:rsidRPr="00324B41">
        <w:rPr>
          <w:rFonts w:eastAsia="Times New Roman" w:cs="Tahoma"/>
          <w:bCs/>
          <w:color w:val="000000"/>
          <w:sz w:val="22"/>
          <w:szCs w:val="22"/>
        </w:rPr>
        <w:t>O1a. Strategy 1: Increase number of high risk people tested in Nevada, based on data</w:t>
      </w:r>
    </w:p>
    <w:p w:rsidR="001D2F05" w:rsidRPr="00324B41" w:rsidRDefault="001D2F05" w:rsidP="001D2F05">
      <w:pPr>
        <w:tabs>
          <w:tab w:val="left" w:pos="2970"/>
        </w:tabs>
        <w:spacing w:before="0" w:after="0" w:line="240" w:lineRule="auto"/>
        <w:ind w:left="1890" w:hanging="450"/>
        <w:rPr>
          <w:rFonts w:eastAsia="Times New Roman" w:cs="Tahoma"/>
          <w:color w:val="000000"/>
          <w:sz w:val="22"/>
          <w:szCs w:val="22"/>
        </w:rPr>
      </w:pPr>
      <w:r w:rsidRPr="00324B41">
        <w:rPr>
          <w:rFonts w:eastAsia="Times New Roman" w:cs="Tahoma"/>
          <w:bCs/>
          <w:color w:val="000000"/>
          <w:sz w:val="22"/>
          <w:szCs w:val="22"/>
        </w:rPr>
        <w:t>O1a. Strategy 2: Increase community awareness of the importance of HIV testing, including awareness of testing sites</w:t>
      </w:r>
    </w:p>
    <w:p w:rsidR="001D2F05" w:rsidRPr="00324B41" w:rsidRDefault="001D2F05" w:rsidP="001D2F05">
      <w:pPr>
        <w:spacing w:before="0" w:after="0"/>
        <w:ind w:left="1440"/>
        <w:rPr>
          <w:rFonts w:eastAsia="Times New Roman" w:cs="Tahoma"/>
          <w:bCs/>
          <w:color w:val="000000"/>
          <w:sz w:val="22"/>
          <w:szCs w:val="22"/>
        </w:rPr>
      </w:pPr>
      <w:r w:rsidRPr="00324B41">
        <w:rPr>
          <w:rFonts w:eastAsia="Times New Roman" w:cs="Tahoma"/>
          <w:bCs/>
          <w:color w:val="000000"/>
          <w:sz w:val="22"/>
          <w:szCs w:val="22"/>
        </w:rPr>
        <w:t>O1a. Strategy 3: Increase the number of rapid HIV testing locations available in Nevada</w:t>
      </w:r>
    </w:p>
    <w:p w:rsidR="001D2F05" w:rsidRPr="00A51D20" w:rsidRDefault="001D2F05" w:rsidP="001D2F05">
      <w:pPr>
        <w:spacing w:before="0" w:after="0" w:line="240" w:lineRule="auto"/>
        <w:ind w:firstLine="720"/>
        <w:rPr>
          <w:rFonts w:eastAsia="Times New Roman" w:cs="Tahoma"/>
          <w:color w:val="000000"/>
          <w:sz w:val="22"/>
          <w:szCs w:val="22"/>
        </w:rPr>
      </w:pPr>
      <w:r w:rsidRPr="00A51D20">
        <w:rPr>
          <w:rFonts w:eastAsia="Times New Roman" w:cs="Tahoma"/>
          <w:b/>
          <w:bCs/>
          <w:color w:val="000000"/>
          <w:sz w:val="22"/>
          <w:szCs w:val="22"/>
        </w:rPr>
        <w:t>Objective 1b. By 2021, reduce by 25% the number of new HIV diagnoses.</w:t>
      </w:r>
    </w:p>
    <w:p w:rsidR="001D2F05" w:rsidRPr="00324B41" w:rsidRDefault="001D2F05" w:rsidP="001D2F05">
      <w:pPr>
        <w:spacing w:before="0" w:after="0"/>
        <w:ind w:left="720" w:firstLine="720"/>
        <w:rPr>
          <w:rFonts w:eastAsia="Times New Roman" w:cs="Tahoma"/>
          <w:bCs/>
          <w:color w:val="000000"/>
          <w:sz w:val="22"/>
          <w:szCs w:val="22"/>
        </w:rPr>
      </w:pPr>
      <w:r w:rsidRPr="00324B41">
        <w:rPr>
          <w:rFonts w:eastAsia="Times New Roman" w:cs="Tahoma"/>
          <w:bCs/>
          <w:color w:val="000000"/>
          <w:sz w:val="22"/>
          <w:szCs w:val="22"/>
        </w:rPr>
        <w:t xml:space="preserve">O1b. Strategy 1: Increase education and access to PrEP and PEP </w:t>
      </w:r>
    </w:p>
    <w:p w:rsidR="001D2F05" w:rsidRPr="00324B41" w:rsidRDefault="001D2F05" w:rsidP="001D2F05">
      <w:pPr>
        <w:tabs>
          <w:tab w:val="left" w:pos="1890"/>
        </w:tabs>
        <w:spacing w:before="0" w:after="0" w:line="240" w:lineRule="auto"/>
        <w:ind w:left="1980" w:hanging="540"/>
        <w:rPr>
          <w:rFonts w:eastAsia="Times New Roman" w:cs="Tahoma"/>
          <w:color w:val="000000"/>
          <w:sz w:val="22"/>
          <w:szCs w:val="22"/>
        </w:rPr>
      </w:pPr>
      <w:r w:rsidRPr="00324B41">
        <w:rPr>
          <w:rFonts w:eastAsia="Times New Roman" w:cs="Tahoma"/>
          <w:bCs/>
          <w:color w:val="000000"/>
          <w:sz w:val="22"/>
          <w:szCs w:val="22"/>
        </w:rPr>
        <w:t>O1b</w:t>
      </w:r>
      <w:r>
        <w:rPr>
          <w:rFonts w:eastAsia="Times New Roman" w:cs="Tahoma"/>
          <w:bCs/>
          <w:color w:val="000000"/>
          <w:sz w:val="22"/>
          <w:szCs w:val="22"/>
        </w:rPr>
        <w:t>.</w:t>
      </w:r>
      <w:r w:rsidRPr="00324B41">
        <w:rPr>
          <w:rFonts w:eastAsia="Times New Roman" w:cs="Tahoma"/>
          <w:bCs/>
          <w:color w:val="000000"/>
          <w:sz w:val="22"/>
          <w:szCs w:val="22"/>
        </w:rPr>
        <w:t xml:space="preserve"> Strategy 2: Increase community education of HIV/AIDS through comprehensive sexual health education</w:t>
      </w:r>
    </w:p>
    <w:p w:rsidR="001D2F05" w:rsidRPr="00324B41" w:rsidRDefault="001D2F05" w:rsidP="001D2F05">
      <w:pPr>
        <w:spacing w:before="0" w:after="0" w:line="240" w:lineRule="auto"/>
        <w:ind w:left="1980" w:hanging="540"/>
        <w:rPr>
          <w:rFonts w:eastAsia="Times New Roman" w:cs="Tahoma"/>
          <w:bCs/>
          <w:color w:val="000000"/>
          <w:sz w:val="22"/>
          <w:szCs w:val="22"/>
        </w:rPr>
      </w:pPr>
      <w:r w:rsidRPr="00324B41">
        <w:rPr>
          <w:rFonts w:eastAsia="Times New Roman" w:cs="Tahoma"/>
          <w:bCs/>
          <w:color w:val="000000"/>
          <w:sz w:val="22"/>
          <w:szCs w:val="22"/>
        </w:rPr>
        <w:t>O1b</w:t>
      </w:r>
      <w:r>
        <w:rPr>
          <w:rFonts w:eastAsia="Times New Roman" w:cs="Tahoma"/>
          <w:bCs/>
          <w:color w:val="000000"/>
          <w:sz w:val="22"/>
          <w:szCs w:val="22"/>
        </w:rPr>
        <w:t>.</w:t>
      </w:r>
      <w:r w:rsidRPr="00324B41">
        <w:rPr>
          <w:rFonts w:eastAsia="Times New Roman" w:cs="Tahoma"/>
          <w:bCs/>
          <w:color w:val="000000"/>
          <w:sz w:val="22"/>
          <w:szCs w:val="22"/>
        </w:rPr>
        <w:t xml:space="preserve"> Strategy 3: Provide community-wide harm reduction strategies, including condoms and other harm reduction materials availability and utilization </w:t>
      </w:r>
    </w:p>
    <w:p w:rsidR="001D2F05" w:rsidRPr="00A51D20" w:rsidRDefault="001D2F05" w:rsidP="001D2F05">
      <w:pPr>
        <w:spacing w:before="0" w:after="0"/>
        <w:rPr>
          <w:rFonts w:cs="Calibri Light"/>
          <w:b/>
          <w:bCs/>
          <w:sz w:val="22"/>
          <w:szCs w:val="22"/>
        </w:rPr>
      </w:pPr>
    </w:p>
    <w:p w:rsidR="001D2F05" w:rsidRPr="00A51D20" w:rsidRDefault="001D2F05" w:rsidP="001D2F05">
      <w:pPr>
        <w:spacing w:before="0" w:after="0"/>
        <w:rPr>
          <w:b/>
          <w:sz w:val="22"/>
          <w:szCs w:val="22"/>
        </w:rPr>
      </w:pPr>
      <w:r w:rsidRPr="00A51D20">
        <w:rPr>
          <w:b/>
          <w:sz w:val="22"/>
          <w:szCs w:val="22"/>
        </w:rPr>
        <w:t>Goal 2: Increasing access to care and improving health outcomes for PLWH</w:t>
      </w:r>
    </w:p>
    <w:p w:rsidR="001D2F05" w:rsidRDefault="001D2F05" w:rsidP="001D2F05">
      <w:pPr>
        <w:spacing w:before="0" w:after="0"/>
        <w:ind w:left="1980" w:hanging="1260"/>
        <w:rPr>
          <w:b/>
          <w:sz w:val="22"/>
          <w:szCs w:val="22"/>
        </w:rPr>
      </w:pPr>
      <w:r w:rsidRPr="00A51D20">
        <w:rPr>
          <w:b/>
          <w:sz w:val="22"/>
          <w:szCs w:val="22"/>
        </w:rPr>
        <w:t>Objective 2a. By 2021, increase to 85% the percentage of people newly diagnosed with HIV who have been linked to a provider within the first 30 days.</w:t>
      </w:r>
    </w:p>
    <w:p w:rsidR="001D2F05" w:rsidRPr="00324B41" w:rsidRDefault="001D2F05" w:rsidP="001D2F05">
      <w:pPr>
        <w:spacing w:before="0" w:after="0"/>
        <w:ind w:left="1440"/>
        <w:rPr>
          <w:sz w:val="22"/>
          <w:szCs w:val="22"/>
        </w:rPr>
      </w:pPr>
      <w:r w:rsidRPr="00324B41">
        <w:rPr>
          <w:sz w:val="22"/>
          <w:szCs w:val="22"/>
        </w:rPr>
        <w:t>O2a. Strategy 1: Improved communication between organizations</w:t>
      </w:r>
    </w:p>
    <w:p w:rsidR="001D2F05" w:rsidRPr="00324B41" w:rsidRDefault="001D2F05" w:rsidP="001D2F05">
      <w:pPr>
        <w:spacing w:before="0" w:after="0"/>
        <w:ind w:left="1440"/>
        <w:rPr>
          <w:sz w:val="22"/>
          <w:szCs w:val="22"/>
        </w:rPr>
      </w:pPr>
      <w:r w:rsidRPr="00324B41">
        <w:rPr>
          <w:sz w:val="22"/>
          <w:szCs w:val="22"/>
        </w:rPr>
        <w:t xml:space="preserve">O2a Strategy 2: Link hard-to reach populations </w:t>
      </w:r>
      <w:r w:rsidR="000D1265">
        <w:rPr>
          <w:sz w:val="22"/>
          <w:szCs w:val="22"/>
        </w:rPr>
        <w:t xml:space="preserve">to </w:t>
      </w:r>
      <w:r w:rsidRPr="00324B41">
        <w:rPr>
          <w:sz w:val="22"/>
          <w:szCs w:val="22"/>
        </w:rPr>
        <w:t>providers to provide continuity of care for PLWH</w:t>
      </w:r>
    </w:p>
    <w:p w:rsidR="001D2F05" w:rsidRPr="00324B41" w:rsidRDefault="001D2F05" w:rsidP="001D2F05">
      <w:pPr>
        <w:spacing w:before="0" w:after="0"/>
        <w:ind w:left="1440"/>
        <w:rPr>
          <w:sz w:val="22"/>
          <w:szCs w:val="22"/>
        </w:rPr>
      </w:pPr>
      <w:r w:rsidRPr="00324B41">
        <w:rPr>
          <w:sz w:val="22"/>
          <w:szCs w:val="22"/>
        </w:rPr>
        <w:t>O2a Strategy 3: Facilitate patient readiness to participate in their care and management of HIV</w:t>
      </w:r>
    </w:p>
    <w:p w:rsidR="001D2F05" w:rsidRDefault="001D2F05" w:rsidP="001D2F05">
      <w:pPr>
        <w:spacing w:before="0" w:after="0"/>
        <w:ind w:left="1980" w:hanging="1260"/>
        <w:rPr>
          <w:b/>
          <w:sz w:val="22"/>
          <w:szCs w:val="22"/>
        </w:rPr>
      </w:pPr>
      <w:r w:rsidRPr="00A51D20">
        <w:rPr>
          <w:b/>
          <w:sz w:val="22"/>
          <w:szCs w:val="22"/>
        </w:rPr>
        <w:t>Objective 2b. By 2021, increase by 20% the percentage of clients in care needing mental and/or behavioral health services who went to their first appointment.</w:t>
      </w:r>
    </w:p>
    <w:p w:rsidR="001D2F05" w:rsidRPr="00324B41" w:rsidRDefault="001D2F05" w:rsidP="007B027A">
      <w:pPr>
        <w:spacing w:before="0" w:after="0"/>
        <w:ind w:left="2880" w:hanging="1440"/>
        <w:rPr>
          <w:sz w:val="22"/>
          <w:szCs w:val="22"/>
        </w:rPr>
      </w:pPr>
      <w:r w:rsidRPr="00324B41">
        <w:rPr>
          <w:sz w:val="22"/>
          <w:szCs w:val="22"/>
        </w:rPr>
        <w:t>O2b. Strategy 1: Improve communication among organizations and between clients and organizations</w:t>
      </w:r>
    </w:p>
    <w:p w:rsidR="001D2F05" w:rsidRPr="00324B41" w:rsidRDefault="001D2F05" w:rsidP="007B027A">
      <w:pPr>
        <w:spacing w:before="0" w:after="0"/>
        <w:ind w:left="1440"/>
        <w:rPr>
          <w:sz w:val="22"/>
          <w:szCs w:val="22"/>
        </w:rPr>
      </w:pPr>
      <w:r w:rsidRPr="00324B41">
        <w:rPr>
          <w:sz w:val="22"/>
          <w:szCs w:val="22"/>
        </w:rPr>
        <w:t>O2b. Strategy 2: Recruit more mental/behavioral health providers</w:t>
      </w:r>
    </w:p>
    <w:p w:rsidR="001D2F05" w:rsidRPr="00324B41" w:rsidRDefault="001D2F05" w:rsidP="007B027A">
      <w:pPr>
        <w:spacing w:before="0" w:after="0"/>
        <w:ind w:left="1440"/>
        <w:rPr>
          <w:sz w:val="22"/>
          <w:szCs w:val="22"/>
        </w:rPr>
      </w:pPr>
      <w:r w:rsidRPr="00324B41">
        <w:rPr>
          <w:sz w:val="22"/>
          <w:szCs w:val="22"/>
        </w:rPr>
        <w:t>O2b. Strategy 3: Professional Development activities</w:t>
      </w:r>
      <w:r w:rsidRPr="00324B41">
        <w:rPr>
          <w:sz w:val="22"/>
          <w:szCs w:val="22"/>
        </w:rPr>
        <w:tab/>
      </w:r>
    </w:p>
    <w:p w:rsidR="001D2F05" w:rsidRPr="00A51D20" w:rsidRDefault="001D2F05" w:rsidP="001D2F05">
      <w:pPr>
        <w:spacing w:before="0" w:after="0"/>
        <w:ind w:left="1980" w:hanging="1260"/>
        <w:rPr>
          <w:b/>
          <w:sz w:val="22"/>
          <w:szCs w:val="22"/>
        </w:rPr>
      </w:pPr>
      <w:r w:rsidRPr="00A51D20">
        <w:rPr>
          <w:b/>
          <w:sz w:val="22"/>
          <w:szCs w:val="22"/>
        </w:rPr>
        <w:t>Objective 2c.</w:t>
      </w:r>
      <w:r>
        <w:rPr>
          <w:b/>
          <w:sz w:val="22"/>
          <w:szCs w:val="22"/>
        </w:rPr>
        <w:t xml:space="preserve"> </w:t>
      </w:r>
      <w:r w:rsidRPr="00A51D20">
        <w:rPr>
          <w:b/>
          <w:sz w:val="22"/>
          <w:szCs w:val="22"/>
        </w:rPr>
        <w:t xml:space="preserve">By 2021, 80% of people diagnosed with HIV, who have had a medical visit each year for the past two years, will be virally suppressed (VL &lt;200)   </w:t>
      </w:r>
    </w:p>
    <w:p w:rsidR="001D2F05" w:rsidRPr="00A51D20" w:rsidRDefault="001D2F05" w:rsidP="007B027A">
      <w:pPr>
        <w:tabs>
          <w:tab w:val="left" w:pos="2970"/>
        </w:tabs>
        <w:spacing w:before="0" w:after="0"/>
        <w:ind w:left="2970" w:hanging="1530"/>
        <w:rPr>
          <w:sz w:val="22"/>
          <w:szCs w:val="22"/>
        </w:rPr>
      </w:pPr>
      <w:r w:rsidRPr="00A51D20">
        <w:rPr>
          <w:sz w:val="22"/>
          <w:szCs w:val="22"/>
        </w:rPr>
        <w:t>O2c. Strategy 1</w:t>
      </w:r>
      <w:r w:rsidR="00091B93">
        <w:rPr>
          <w:sz w:val="22"/>
          <w:szCs w:val="22"/>
        </w:rPr>
        <w:t>:</w:t>
      </w:r>
      <w:r w:rsidRPr="00A51D20">
        <w:rPr>
          <w:sz w:val="22"/>
          <w:szCs w:val="22"/>
        </w:rPr>
        <w:t xml:space="preserve">  Address treatment adherence of PLWH through educational strategies and evaluation</w:t>
      </w:r>
    </w:p>
    <w:p w:rsidR="001D2F05" w:rsidRPr="00A51D20" w:rsidRDefault="001D2F05" w:rsidP="007B027A">
      <w:pPr>
        <w:tabs>
          <w:tab w:val="left" w:pos="2970"/>
        </w:tabs>
        <w:spacing w:before="0" w:after="0"/>
        <w:ind w:left="2970" w:hanging="1530"/>
        <w:rPr>
          <w:sz w:val="22"/>
          <w:szCs w:val="22"/>
        </w:rPr>
      </w:pPr>
      <w:r w:rsidRPr="00A51D20">
        <w:rPr>
          <w:sz w:val="22"/>
          <w:szCs w:val="22"/>
        </w:rPr>
        <w:t>O2c. Strategy 2</w:t>
      </w:r>
      <w:r w:rsidR="00091B93">
        <w:rPr>
          <w:sz w:val="22"/>
          <w:szCs w:val="22"/>
        </w:rPr>
        <w:t>:</w:t>
      </w:r>
      <w:r w:rsidRPr="00A51D20">
        <w:rPr>
          <w:sz w:val="22"/>
          <w:szCs w:val="22"/>
        </w:rPr>
        <w:t xml:space="preserve">   Provide education and information regarding uninterrupted access to and proper use of medication</w:t>
      </w:r>
    </w:p>
    <w:p w:rsidR="001D2F05" w:rsidRPr="00A51D20" w:rsidRDefault="001D2F05" w:rsidP="007B027A">
      <w:pPr>
        <w:tabs>
          <w:tab w:val="left" w:pos="2970"/>
        </w:tabs>
        <w:spacing w:before="0" w:after="0"/>
        <w:ind w:left="2970" w:hanging="1530"/>
        <w:rPr>
          <w:sz w:val="22"/>
          <w:szCs w:val="22"/>
        </w:rPr>
      </w:pPr>
      <w:r w:rsidRPr="00A51D20">
        <w:rPr>
          <w:sz w:val="22"/>
          <w:szCs w:val="22"/>
        </w:rPr>
        <w:t>O2c. Strategy 3</w:t>
      </w:r>
      <w:r w:rsidR="00091B93">
        <w:rPr>
          <w:sz w:val="22"/>
          <w:szCs w:val="22"/>
        </w:rPr>
        <w:t>:</w:t>
      </w:r>
      <w:r w:rsidRPr="00A51D20">
        <w:rPr>
          <w:sz w:val="22"/>
          <w:szCs w:val="22"/>
        </w:rPr>
        <w:t xml:space="preserve">   Educate both client and provider stakeholders regarding the importance of routine viral load testing and tracking of viral load data</w:t>
      </w:r>
    </w:p>
    <w:p w:rsidR="001D2F05" w:rsidRPr="00A51D20" w:rsidRDefault="001D2F05" w:rsidP="001D2F05">
      <w:pPr>
        <w:spacing w:before="0" w:after="0"/>
        <w:ind w:left="720"/>
        <w:rPr>
          <w:b/>
          <w:sz w:val="22"/>
          <w:szCs w:val="22"/>
        </w:rPr>
      </w:pPr>
      <w:r w:rsidRPr="00A51D20">
        <w:rPr>
          <w:b/>
          <w:sz w:val="22"/>
          <w:szCs w:val="22"/>
        </w:rPr>
        <w:t>Objective 2d. By 2021, reduce to 20% the incidence of STIs in HIV infected persons in care.</w:t>
      </w:r>
    </w:p>
    <w:p w:rsidR="001D2F05" w:rsidRPr="00A51D20" w:rsidRDefault="001D2F05" w:rsidP="007B027A">
      <w:pPr>
        <w:spacing w:before="0" w:after="0"/>
        <w:ind w:left="2970" w:hanging="1530"/>
        <w:rPr>
          <w:sz w:val="22"/>
          <w:szCs w:val="22"/>
        </w:rPr>
      </w:pPr>
      <w:r w:rsidRPr="00A51D20">
        <w:rPr>
          <w:sz w:val="22"/>
          <w:szCs w:val="22"/>
        </w:rPr>
        <w:t>O2d. Strategy 1</w:t>
      </w:r>
      <w:r w:rsidR="00091B93">
        <w:rPr>
          <w:sz w:val="22"/>
          <w:szCs w:val="22"/>
        </w:rPr>
        <w:t>:  Conduct p</w:t>
      </w:r>
      <w:r w:rsidRPr="00A51D20">
        <w:rPr>
          <w:sz w:val="22"/>
          <w:szCs w:val="22"/>
        </w:rPr>
        <w:t>rovider education and disseminate recommendations regarding routine screenings for STIs</w:t>
      </w:r>
    </w:p>
    <w:p w:rsidR="001D2F05" w:rsidRPr="00A51D20" w:rsidRDefault="001D2F05" w:rsidP="007B027A">
      <w:pPr>
        <w:spacing w:before="0" w:after="0"/>
        <w:ind w:left="2970" w:hanging="1530"/>
        <w:rPr>
          <w:sz w:val="22"/>
          <w:szCs w:val="22"/>
        </w:rPr>
      </w:pPr>
      <w:r w:rsidRPr="00A51D20">
        <w:rPr>
          <w:sz w:val="22"/>
          <w:szCs w:val="22"/>
        </w:rPr>
        <w:t>O2d. Strategy 2</w:t>
      </w:r>
      <w:r w:rsidR="00091B93">
        <w:rPr>
          <w:sz w:val="22"/>
          <w:szCs w:val="22"/>
        </w:rPr>
        <w:t>:</w:t>
      </w:r>
      <w:r w:rsidRPr="00A51D20">
        <w:rPr>
          <w:sz w:val="22"/>
          <w:szCs w:val="22"/>
        </w:rPr>
        <w:t xml:space="preserve">  Conduct </w:t>
      </w:r>
      <w:r w:rsidR="00091B93">
        <w:rPr>
          <w:sz w:val="22"/>
          <w:szCs w:val="22"/>
        </w:rPr>
        <w:t>p</w:t>
      </w:r>
      <w:r w:rsidRPr="00A51D20">
        <w:rPr>
          <w:sz w:val="22"/>
          <w:szCs w:val="22"/>
        </w:rPr>
        <w:t>ublic and individual education for PLWH and newly diagnosed regarding STI s</w:t>
      </w:r>
    </w:p>
    <w:p w:rsidR="001D2F05" w:rsidRPr="00A51D20" w:rsidRDefault="001D2F05" w:rsidP="007B027A">
      <w:pPr>
        <w:spacing w:before="0" w:after="0"/>
        <w:ind w:left="2970" w:hanging="1530"/>
        <w:rPr>
          <w:sz w:val="22"/>
          <w:szCs w:val="22"/>
        </w:rPr>
      </w:pPr>
      <w:r w:rsidRPr="00A51D20">
        <w:rPr>
          <w:sz w:val="22"/>
          <w:szCs w:val="22"/>
        </w:rPr>
        <w:lastRenderedPageBreak/>
        <w:t>O2d. Strategy 3</w:t>
      </w:r>
      <w:r w:rsidR="00091B93">
        <w:rPr>
          <w:sz w:val="22"/>
          <w:szCs w:val="22"/>
        </w:rPr>
        <w:t>:</w:t>
      </w:r>
      <w:r w:rsidRPr="00A51D20">
        <w:rPr>
          <w:sz w:val="22"/>
          <w:szCs w:val="22"/>
        </w:rPr>
        <w:t xml:space="preserve">   Develop quality control measures to improve clinical care and outcomes </w:t>
      </w:r>
    </w:p>
    <w:p w:rsidR="001D2F05" w:rsidRPr="00A51D20" w:rsidRDefault="001D2F05" w:rsidP="001D2F05">
      <w:pPr>
        <w:spacing w:before="0" w:after="0"/>
        <w:ind w:left="1980" w:hanging="1260"/>
        <w:rPr>
          <w:b/>
          <w:sz w:val="22"/>
          <w:szCs w:val="22"/>
        </w:rPr>
      </w:pPr>
      <w:r w:rsidRPr="00A51D20">
        <w:rPr>
          <w:b/>
          <w:sz w:val="22"/>
          <w:szCs w:val="22"/>
        </w:rPr>
        <w:t xml:space="preserve">Objective 2e. By 2021, increase number of clinics screening for HIV associated comorbidities by 20%. </w:t>
      </w:r>
    </w:p>
    <w:p w:rsidR="001D2F05" w:rsidRPr="00A51D20" w:rsidRDefault="001D2F05" w:rsidP="007B027A">
      <w:pPr>
        <w:spacing w:before="0" w:after="0"/>
        <w:ind w:left="2970" w:hanging="1530"/>
        <w:rPr>
          <w:sz w:val="22"/>
          <w:szCs w:val="22"/>
        </w:rPr>
      </w:pPr>
      <w:r w:rsidRPr="00A51D20">
        <w:rPr>
          <w:sz w:val="22"/>
          <w:szCs w:val="22"/>
        </w:rPr>
        <w:t>O2e. Strategy 1</w:t>
      </w:r>
      <w:r w:rsidR="00091B93">
        <w:rPr>
          <w:sz w:val="22"/>
          <w:szCs w:val="22"/>
        </w:rPr>
        <w:t>:</w:t>
      </w:r>
      <w:r w:rsidRPr="00A51D20">
        <w:rPr>
          <w:sz w:val="22"/>
          <w:szCs w:val="22"/>
        </w:rPr>
        <w:t xml:space="preserve">   Conduct </w:t>
      </w:r>
      <w:r w:rsidR="00091B93">
        <w:rPr>
          <w:sz w:val="22"/>
          <w:szCs w:val="22"/>
        </w:rPr>
        <w:t>p</w:t>
      </w:r>
      <w:r w:rsidRPr="00A51D20">
        <w:rPr>
          <w:sz w:val="22"/>
          <w:szCs w:val="22"/>
        </w:rPr>
        <w:t>rovider education and recommendations regarding routine screenings for comorbidities</w:t>
      </w:r>
    </w:p>
    <w:p w:rsidR="001D2F05" w:rsidRPr="00A51D20" w:rsidRDefault="001D2F05" w:rsidP="007B027A">
      <w:pPr>
        <w:spacing w:before="0" w:after="0"/>
        <w:ind w:left="2970" w:hanging="1530"/>
        <w:rPr>
          <w:sz w:val="22"/>
          <w:szCs w:val="22"/>
        </w:rPr>
      </w:pPr>
      <w:r w:rsidRPr="00A51D20">
        <w:rPr>
          <w:sz w:val="22"/>
          <w:szCs w:val="22"/>
        </w:rPr>
        <w:t>O2e. Strategy 2</w:t>
      </w:r>
      <w:r w:rsidR="00091B93">
        <w:rPr>
          <w:sz w:val="22"/>
          <w:szCs w:val="22"/>
        </w:rPr>
        <w:t>:</w:t>
      </w:r>
      <w:r w:rsidRPr="00A51D20">
        <w:rPr>
          <w:sz w:val="22"/>
          <w:szCs w:val="22"/>
        </w:rPr>
        <w:t xml:space="preserve">   Conduct </w:t>
      </w:r>
      <w:r w:rsidR="00091B93">
        <w:rPr>
          <w:sz w:val="22"/>
          <w:szCs w:val="22"/>
        </w:rPr>
        <w:t>p</w:t>
      </w:r>
      <w:r w:rsidRPr="00A51D20">
        <w:rPr>
          <w:sz w:val="22"/>
          <w:szCs w:val="22"/>
        </w:rPr>
        <w:t>ublic and individual education for PLWH and newly diagnosed regarding common HIV comorbidities</w:t>
      </w:r>
    </w:p>
    <w:p w:rsidR="001D2F05" w:rsidRPr="00A51D20" w:rsidRDefault="001D2F05" w:rsidP="007B027A">
      <w:pPr>
        <w:spacing w:before="0" w:after="0"/>
        <w:ind w:left="2970" w:hanging="1530"/>
        <w:rPr>
          <w:sz w:val="22"/>
          <w:szCs w:val="22"/>
        </w:rPr>
      </w:pPr>
      <w:r w:rsidRPr="00A51D20">
        <w:rPr>
          <w:sz w:val="22"/>
          <w:szCs w:val="22"/>
        </w:rPr>
        <w:t>O2e. Strategy 3</w:t>
      </w:r>
      <w:r w:rsidR="00091B93">
        <w:rPr>
          <w:sz w:val="22"/>
          <w:szCs w:val="22"/>
        </w:rPr>
        <w:t>:</w:t>
      </w:r>
      <w:r w:rsidRPr="00A51D20">
        <w:rPr>
          <w:sz w:val="22"/>
          <w:szCs w:val="22"/>
        </w:rPr>
        <w:t xml:space="preserve">   Develop quality control measures to improve clinical care and outcomes </w:t>
      </w:r>
    </w:p>
    <w:p w:rsidR="0096628E" w:rsidRPr="00B94CA9" w:rsidRDefault="0096628E" w:rsidP="00091B93">
      <w:pPr>
        <w:spacing w:before="240" w:after="0"/>
        <w:rPr>
          <w:b/>
          <w:sz w:val="22"/>
          <w:szCs w:val="22"/>
        </w:rPr>
      </w:pPr>
      <w:r w:rsidRPr="00B94CA9">
        <w:rPr>
          <w:b/>
          <w:sz w:val="22"/>
          <w:szCs w:val="22"/>
        </w:rPr>
        <w:t>Goal 3: Reducing HIV related disparities and health inequities</w:t>
      </w:r>
    </w:p>
    <w:p w:rsidR="0096628E" w:rsidRPr="00B94CA9" w:rsidRDefault="0096628E" w:rsidP="00B94CA9">
      <w:pPr>
        <w:spacing w:before="0" w:after="0"/>
        <w:ind w:left="720"/>
        <w:jc w:val="both"/>
        <w:rPr>
          <w:b/>
          <w:sz w:val="22"/>
          <w:szCs w:val="22"/>
        </w:rPr>
      </w:pPr>
      <w:r w:rsidRPr="00B94CA9">
        <w:rPr>
          <w:b/>
          <w:sz w:val="22"/>
          <w:szCs w:val="22"/>
        </w:rPr>
        <w:t>Objective 3a. By 2021, reduce disparities in the rate of new diagnoses by at least 15 percent among Nevada’s priority populations.</w:t>
      </w:r>
    </w:p>
    <w:p w:rsidR="0096628E" w:rsidRPr="00B94CA9" w:rsidRDefault="0096628E" w:rsidP="007B027A">
      <w:pPr>
        <w:spacing w:before="0" w:after="0"/>
        <w:ind w:left="2970" w:hanging="1530"/>
        <w:rPr>
          <w:sz w:val="22"/>
          <w:szCs w:val="22"/>
        </w:rPr>
      </w:pPr>
      <w:r w:rsidRPr="00B94CA9">
        <w:rPr>
          <w:sz w:val="22"/>
          <w:szCs w:val="22"/>
        </w:rPr>
        <w:t>O3a. Strategy 1</w:t>
      </w:r>
      <w:r w:rsidR="007B027A">
        <w:rPr>
          <w:sz w:val="22"/>
          <w:szCs w:val="22"/>
        </w:rPr>
        <w:t>:</w:t>
      </w:r>
      <w:r w:rsidRPr="00B94CA9">
        <w:rPr>
          <w:sz w:val="22"/>
          <w:szCs w:val="22"/>
        </w:rPr>
        <w:t xml:space="preserve">  Engage the community in order to find out how to best reach priority populations</w:t>
      </w:r>
    </w:p>
    <w:p w:rsidR="0096628E" w:rsidRPr="00B94CA9" w:rsidRDefault="0096628E" w:rsidP="007B027A">
      <w:pPr>
        <w:spacing w:before="0" w:after="0"/>
        <w:ind w:left="2970" w:hanging="1530"/>
        <w:rPr>
          <w:sz w:val="22"/>
          <w:szCs w:val="22"/>
        </w:rPr>
      </w:pPr>
      <w:r w:rsidRPr="00B94CA9">
        <w:rPr>
          <w:sz w:val="22"/>
          <w:szCs w:val="22"/>
        </w:rPr>
        <w:t>O3a. Strategy 2:  Implement HIV prevention public education through media campaigns and social network st</w:t>
      </w:r>
      <w:r w:rsidR="00091B93">
        <w:rPr>
          <w:sz w:val="22"/>
          <w:szCs w:val="22"/>
        </w:rPr>
        <w:t>rategies to target populations</w:t>
      </w:r>
    </w:p>
    <w:p w:rsidR="0096628E" w:rsidRPr="00B94CA9" w:rsidRDefault="0096628E" w:rsidP="007B027A">
      <w:pPr>
        <w:spacing w:before="0" w:after="0"/>
        <w:ind w:left="2970" w:hanging="1530"/>
        <w:rPr>
          <w:sz w:val="22"/>
          <w:szCs w:val="22"/>
        </w:rPr>
      </w:pPr>
      <w:r w:rsidRPr="00B94CA9">
        <w:rPr>
          <w:sz w:val="22"/>
          <w:szCs w:val="22"/>
        </w:rPr>
        <w:t>O3a. Strategy 3:  Increase provider and organization capacity to test at sites in their communities</w:t>
      </w:r>
    </w:p>
    <w:p w:rsidR="0096628E" w:rsidRPr="00B94CA9" w:rsidRDefault="0096628E" w:rsidP="00B94CA9">
      <w:pPr>
        <w:spacing w:before="0" w:after="0"/>
        <w:ind w:left="720"/>
        <w:jc w:val="both"/>
        <w:rPr>
          <w:b/>
          <w:sz w:val="22"/>
          <w:szCs w:val="22"/>
        </w:rPr>
      </w:pPr>
      <w:r w:rsidRPr="00B94CA9">
        <w:rPr>
          <w:b/>
          <w:sz w:val="22"/>
          <w:szCs w:val="22"/>
        </w:rPr>
        <w:t>Objective 3b. By 20</w:t>
      </w:r>
      <w:r w:rsidR="007F2D44">
        <w:rPr>
          <w:b/>
          <w:sz w:val="22"/>
          <w:szCs w:val="22"/>
        </w:rPr>
        <w:t>21</w:t>
      </w:r>
      <w:r w:rsidRPr="00B94CA9">
        <w:rPr>
          <w:b/>
          <w:sz w:val="22"/>
          <w:szCs w:val="22"/>
        </w:rPr>
        <w:t>, increase to 85% the percentage of newly diagnosed with HIV among Nevada’s priority populations who have been linked to a provider within the first 30 days.</w:t>
      </w:r>
    </w:p>
    <w:p w:rsidR="0096628E" w:rsidRPr="00B94CA9" w:rsidRDefault="0096628E" w:rsidP="007B027A">
      <w:pPr>
        <w:spacing w:before="0" w:after="0"/>
        <w:ind w:left="2970" w:hanging="1530"/>
        <w:rPr>
          <w:sz w:val="22"/>
          <w:szCs w:val="22"/>
        </w:rPr>
      </w:pPr>
      <w:r w:rsidRPr="00B94CA9">
        <w:rPr>
          <w:sz w:val="22"/>
          <w:szCs w:val="22"/>
        </w:rPr>
        <w:t>O3b. Strategy 1: Improve first contact and point of access to care for PLWH who experience multiple “layers” of stigma (e</w:t>
      </w:r>
      <w:r w:rsidR="00B94CA9">
        <w:rPr>
          <w:sz w:val="22"/>
          <w:szCs w:val="22"/>
        </w:rPr>
        <w:t>.</w:t>
      </w:r>
      <w:r w:rsidRPr="00B94CA9">
        <w:rPr>
          <w:sz w:val="22"/>
          <w:szCs w:val="22"/>
        </w:rPr>
        <w:t>g</w:t>
      </w:r>
      <w:r w:rsidR="00B94CA9">
        <w:rPr>
          <w:sz w:val="22"/>
          <w:szCs w:val="22"/>
        </w:rPr>
        <w:t xml:space="preserve">., </w:t>
      </w:r>
      <w:r w:rsidRPr="00B94CA9">
        <w:rPr>
          <w:sz w:val="22"/>
          <w:szCs w:val="22"/>
        </w:rPr>
        <w:t xml:space="preserve">HIV infected, gay, minority, female, transgender, IV drug user, etc.) </w:t>
      </w:r>
    </w:p>
    <w:p w:rsidR="00B94CA9" w:rsidRPr="00B94CA9" w:rsidRDefault="00B94CA9" w:rsidP="007B027A">
      <w:pPr>
        <w:spacing w:before="0" w:after="0"/>
        <w:ind w:left="2970" w:hanging="1530"/>
        <w:rPr>
          <w:sz w:val="22"/>
          <w:szCs w:val="22"/>
        </w:rPr>
      </w:pPr>
      <w:r w:rsidRPr="00B94CA9">
        <w:rPr>
          <w:sz w:val="22"/>
          <w:szCs w:val="22"/>
        </w:rPr>
        <w:t>O3b. Strategy 2: Improve the ability of PLWH in underserved or high risk groups to navigate the HIV syst</w:t>
      </w:r>
      <w:r w:rsidR="00091B93">
        <w:rPr>
          <w:sz w:val="22"/>
          <w:szCs w:val="22"/>
        </w:rPr>
        <w:t>em of care</w:t>
      </w:r>
    </w:p>
    <w:p w:rsidR="00B94CA9" w:rsidRPr="00B94CA9" w:rsidRDefault="00B94CA9" w:rsidP="007B027A">
      <w:pPr>
        <w:spacing w:before="0" w:after="0"/>
        <w:ind w:left="2970" w:hanging="1530"/>
        <w:rPr>
          <w:sz w:val="22"/>
          <w:szCs w:val="22"/>
        </w:rPr>
      </w:pPr>
      <w:r w:rsidRPr="00B94CA9">
        <w:rPr>
          <w:sz w:val="22"/>
          <w:szCs w:val="22"/>
        </w:rPr>
        <w:t xml:space="preserve">O3b. Strategy 3: Improve the accessibility of information for PLWH in </w:t>
      </w:r>
      <w:r w:rsidR="00091B93">
        <w:rPr>
          <w:sz w:val="22"/>
          <w:szCs w:val="22"/>
        </w:rPr>
        <w:t>underserved or high risk groups</w:t>
      </w:r>
    </w:p>
    <w:p w:rsidR="001C41E2" w:rsidRDefault="00144EFD" w:rsidP="00144EFD">
      <w:pPr>
        <w:widowControl w:val="0"/>
        <w:jc w:val="both"/>
        <w:rPr>
          <w:rFonts w:cs="Calibri Light"/>
          <w:sz w:val="22"/>
          <w:szCs w:val="22"/>
        </w:rPr>
      </w:pPr>
      <w:r w:rsidRPr="00627076">
        <w:rPr>
          <w:rFonts w:cs="Calibri Light"/>
          <w:sz w:val="22"/>
          <w:szCs w:val="22"/>
        </w:rPr>
        <w:t>The HIV Prevention and Care Integrated Plan</w:t>
      </w:r>
      <w:r>
        <w:rPr>
          <w:rFonts w:cs="Calibri Light"/>
          <w:sz w:val="22"/>
          <w:szCs w:val="22"/>
        </w:rPr>
        <w:t xml:space="preserve"> includes strategies for ongoing monitoring and improvement. </w:t>
      </w:r>
      <w:r w:rsidRPr="00627076">
        <w:rPr>
          <w:rFonts w:cs="Calibri Light"/>
          <w:sz w:val="22"/>
          <w:szCs w:val="22"/>
        </w:rPr>
        <w:t>The HIV Prevention and Care Integrated Plan Internal Workgroup will meet every six months to review progress on plan implementation.</w:t>
      </w:r>
      <w:r>
        <w:rPr>
          <w:rFonts w:cs="Calibri Light"/>
          <w:sz w:val="22"/>
          <w:szCs w:val="22"/>
        </w:rPr>
        <w:t xml:space="preserve"> </w:t>
      </w:r>
      <w:r w:rsidRPr="00627076">
        <w:rPr>
          <w:rFonts w:cs="Calibri Light"/>
          <w:sz w:val="22"/>
          <w:szCs w:val="22"/>
        </w:rPr>
        <w:t xml:space="preserve">The </w:t>
      </w:r>
      <w:r w:rsidR="00091B93">
        <w:rPr>
          <w:rFonts w:cs="Calibri Light"/>
          <w:sz w:val="22"/>
          <w:szCs w:val="22"/>
        </w:rPr>
        <w:t>RWPA</w:t>
      </w:r>
      <w:r w:rsidRPr="00627076">
        <w:rPr>
          <w:rFonts w:cs="Calibri Light"/>
          <w:sz w:val="22"/>
          <w:szCs w:val="22"/>
        </w:rPr>
        <w:t xml:space="preserve">, </w:t>
      </w:r>
      <w:r w:rsidR="00091B93">
        <w:rPr>
          <w:rFonts w:cs="Calibri Light"/>
          <w:sz w:val="22"/>
          <w:szCs w:val="22"/>
        </w:rPr>
        <w:t>RWPB</w:t>
      </w:r>
      <w:r w:rsidRPr="00627076">
        <w:rPr>
          <w:rFonts w:cs="Calibri Light"/>
          <w:sz w:val="22"/>
          <w:szCs w:val="22"/>
        </w:rPr>
        <w:t xml:space="preserve"> and </w:t>
      </w:r>
      <w:r w:rsidR="007F2D44">
        <w:rPr>
          <w:rFonts w:cs="Calibri Light"/>
          <w:sz w:val="22"/>
          <w:szCs w:val="22"/>
        </w:rPr>
        <w:t>HIV</w:t>
      </w:r>
      <w:r w:rsidR="00091B93">
        <w:rPr>
          <w:rFonts w:cs="Calibri Light"/>
          <w:sz w:val="22"/>
          <w:szCs w:val="22"/>
        </w:rPr>
        <w:t xml:space="preserve"> </w:t>
      </w:r>
      <w:r w:rsidRPr="00627076">
        <w:rPr>
          <w:rFonts w:cs="Calibri Light"/>
          <w:sz w:val="22"/>
          <w:szCs w:val="22"/>
        </w:rPr>
        <w:t xml:space="preserve">Prevention programs have contracted the </w:t>
      </w:r>
      <w:r w:rsidR="00091B93">
        <w:rPr>
          <w:rFonts w:cs="Calibri Light"/>
          <w:sz w:val="22"/>
          <w:szCs w:val="22"/>
        </w:rPr>
        <w:t>School of Community</w:t>
      </w:r>
      <w:r w:rsidRPr="00627076">
        <w:rPr>
          <w:rFonts w:cs="Calibri Light"/>
          <w:sz w:val="22"/>
          <w:szCs w:val="22"/>
        </w:rPr>
        <w:t xml:space="preserve"> </w:t>
      </w:r>
      <w:r w:rsidR="00091B93">
        <w:rPr>
          <w:rFonts w:cs="Calibri Light"/>
          <w:sz w:val="22"/>
          <w:szCs w:val="22"/>
        </w:rPr>
        <w:t xml:space="preserve">Health Sciences (SCHS) </w:t>
      </w:r>
      <w:r w:rsidRPr="00627076">
        <w:rPr>
          <w:rFonts w:cs="Calibri Light"/>
          <w:sz w:val="22"/>
          <w:szCs w:val="22"/>
        </w:rPr>
        <w:t xml:space="preserve">at the University of Nevada, Reno to oversee the evaluation and monitoring of the plan. </w:t>
      </w:r>
      <w:r w:rsidR="00091B93">
        <w:rPr>
          <w:rFonts w:cs="Calibri Light"/>
          <w:sz w:val="22"/>
          <w:szCs w:val="22"/>
        </w:rPr>
        <w:t xml:space="preserve">SCHS </w:t>
      </w:r>
      <w:r w:rsidRPr="00627076">
        <w:rPr>
          <w:rFonts w:cs="Calibri Light"/>
          <w:sz w:val="22"/>
          <w:szCs w:val="22"/>
        </w:rPr>
        <w:t xml:space="preserve">will collaborate with the workgroup and planning bodies throughout the evaluation and monitoring process. An </w:t>
      </w:r>
      <w:r w:rsidR="00091B93">
        <w:rPr>
          <w:rFonts w:cs="Calibri Light"/>
          <w:sz w:val="22"/>
          <w:szCs w:val="22"/>
        </w:rPr>
        <w:t>e</w:t>
      </w:r>
      <w:r w:rsidRPr="00627076">
        <w:rPr>
          <w:rFonts w:cs="Calibri Light"/>
          <w:sz w:val="22"/>
          <w:szCs w:val="22"/>
        </w:rPr>
        <w:t>valuation report will be produced annually to document the implementation process as well as progress towards the plan goals and objectives.</w:t>
      </w:r>
      <w:r>
        <w:rPr>
          <w:rFonts w:cs="Calibri Light"/>
          <w:sz w:val="22"/>
          <w:szCs w:val="22"/>
        </w:rPr>
        <w:t xml:space="preserve"> The workgroup, community planning groups</w:t>
      </w:r>
      <w:r w:rsidR="00091B93">
        <w:rPr>
          <w:rFonts w:cs="Calibri Light"/>
          <w:sz w:val="22"/>
          <w:szCs w:val="22"/>
        </w:rPr>
        <w:t>,</w:t>
      </w:r>
      <w:r>
        <w:rPr>
          <w:rFonts w:cs="Calibri Light"/>
          <w:sz w:val="22"/>
          <w:szCs w:val="22"/>
        </w:rPr>
        <w:t xml:space="preserve"> and Part A Planning Council will review current epidemiological data on an annual basis and use it to make adjustments to the plan as needed. </w:t>
      </w:r>
    </w:p>
    <w:p w:rsidR="001C41E2" w:rsidRDefault="001C41E2">
      <w:pPr>
        <w:rPr>
          <w:rFonts w:cs="Calibri Light"/>
          <w:sz w:val="22"/>
          <w:szCs w:val="22"/>
        </w:rPr>
      </w:pPr>
      <w:r>
        <w:rPr>
          <w:rFonts w:cs="Calibri Light"/>
          <w:sz w:val="22"/>
          <w:szCs w:val="22"/>
        </w:rPr>
        <w:br w:type="page"/>
      </w:r>
    </w:p>
    <w:p w:rsidR="00F91892" w:rsidRDefault="00DE7943" w:rsidP="00F91892">
      <w:pPr>
        <w:pStyle w:val="Heading1"/>
      </w:pPr>
      <w:bookmarkStart w:id="4" w:name="_Toc461188570"/>
      <w:r>
        <w:lastRenderedPageBreak/>
        <w:t>Introduction</w:t>
      </w:r>
      <w:bookmarkEnd w:id="4"/>
    </w:p>
    <w:p w:rsidR="00F91892" w:rsidRDefault="00F91892" w:rsidP="00564B2F">
      <w:pPr>
        <w:widowControl w:val="0"/>
        <w:autoSpaceDE w:val="0"/>
        <w:autoSpaceDN w:val="0"/>
        <w:adjustRightInd w:val="0"/>
        <w:spacing w:before="0" w:after="0"/>
        <w:jc w:val="center"/>
        <w:rPr>
          <w:rFonts w:cs="Calibri Light"/>
          <w:b/>
          <w:bCs/>
          <w:sz w:val="28"/>
          <w:szCs w:val="28"/>
        </w:rPr>
      </w:pPr>
    </w:p>
    <w:p w:rsidR="009236D2" w:rsidRDefault="00DE7943" w:rsidP="00DE7943">
      <w:pPr>
        <w:widowControl w:val="0"/>
        <w:autoSpaceDE w:val="0"/>
        <w:autoSpaceDN w:val="0"/>
        <w:adjustRightInd w:val="0"/>
        <w:spacing w:before="0" w:after="0"/>
        <w:jc w:val="both"/>
        <w:rPr>
          <w:rFonts w:cs="Calibri Light"/>
          <w:bCs/>
          <w:sz w:val="22"/>
          <w:szCs w:val="22"/>
        </w:rPr>
      </w:pPr>
      <w:r>
        <w:rPr>
          <w:rFonts w:cs="Calibri Light"/>
          <w:bCs/>
          <w:sz w:val="22"/>
          <w:szCs w:val="22"/>
        </w:rPr>
        <w:t>Following the guidance provided by the Centers for Disease Control and Prevention (CDC) and the Health Resources and Services Administration (HRSA) in June 2015, t</w:t>
      </w:r>
      <w:r w:rsidRPr="00DE7943">
        <w:rPr>
          <w:rFonts w:cs="Calibri Light"/>
          <w:bCs/>
          <w:sz w:val="22"/>
          <w:szCs w:val="22"/>
        </w:rPr>
        <w:t>he Nevada Integrat</w:t>
      </w:r>
      <w:r>
        <w:rPr>
          <w:rFonts w:cs="Calibri Light"/>
          <w:bCs/>
          <w:sz w:val="22"/>
          <w:szCs w:val="22"/>
        </w:rPr>
        <w:t>ed HIV Prevention and Care Plan</w:t>
      </w:r>
      <w:r w:rsidR="00751740">
        <w:rPr>
          <w:rFonts w:cs="Calibri Light"/>
          <w:bCs/>
          <w:sz w:val="22"/>
          <w:szCs w:val="22"/>
        </w:rPr>
        <w:t xml:space="preserve"> 2017-2021</w:t>
      </w:r>
      <w:r>
        <w:rPr>
          <w:rFonts w:cs="Calibri Light"/>
          <w:bCs/>
          <w:sz w:val="22"/>
          <w:szCs w:val="22"/>
        </w:rPr>
        <w:t xml:space="preserve">, including the Statewide Coordinated Statement of Need, was developed in collaboration with a wide variety of stakeholders involved with HIV prevention and care in Nevada. The needs assessment and plan development process began in 2014 as the administrators of </w:t>
      </w:r>
      <w:r w:rsidR="00751740">
        <w:rPr>
          <w:rFonts w:cs="Calibri Light"/>
          <w:bCs/>
          <w:sz w:val="22"/>
          <w:szCs w:val="22"/>
        </w:rPr>
        <w:t xml:space="preserve">Ryan White HIV/AIDS Part </w:t>
      </w:r>
      <w:r>
        <w:rPr>
          <w:rFonts w:cs="Calibri Light"/>
          <w:bCs/>
          <w:sz w:val="22"/>
          <w:szCs w:val="22"/>
        </w:rPr>
        <w:t>A</w:t>
      </w:r>
      <w:r w:rsidR="00751740">
        <w:rPr>
          <w:rFonts w:cs="Calibri Light"/>
          <w:bCs/>
          <w:sz w:val="22"/>
          <w:szCs w:val="22"/>
        </w:rPr>
        <w:t xml:space="preserve"> Program (RWPA)</w:t>
      </w:r>
      <w:r>
        <w:rPr>
          <w:rFonts w:cs="Calibri Light"/>
          <w:bCs/>
          <w:sz w:val="22"/>
          <w:szCs w:val="22"/>
        </w:rPr>
        <w:t xml:space="preserve">, </w:t>
      </w:r>
      <w:r w:rsidR="00751740">
        <w:rPr>
          <w:rFonts w:cs="Calibri Light"/>
          <w:bCs/>
          <w:sz w:val="22"/>
          <w:szCs w:val="22"/>
        </w:rPr>
        <w:t xml:space="preserve">Ryan White HIV/AIDS Part </w:t>
      </w:r>
      <w:r>
        <w:rPr>
          <w:rFonts w:cs="Calibri Light"/>
          <w:bCs/>
          <w:sz w:val="22"/>
          <w:szCs w:val="22"/>
        </w:rPr>
        <w:t>B</w:t>
      </w:r>
      <w:r w:rsidR="00751740">
        <w:rPr>
          <w:rFonts w:cs="Calibri Light"/>
          <w:bCs/>
          <w:sz w:val="22"/>
          <w:szCs w:val="22"/>
        </w:rPr>
        <w:t xml:space="preserve"> Program (RWPB),</w:t>
      </w:r>
      <w:r>
        <w:rPr>
          <w:rFonts w:cs="Calibri Light"/>
          <w:bCs/>
          <w:sz w:val="22"/>
          <w:szCs w:val="22"/>
        </w:rPr>
        <w:t xml:space="preserve"> and HIV </w:t>
      </w:r>
      <w:r w:rsidR="00751740">
        <w:rPr>
          <w:rFonts w:cs="Calibri Light"/>
          <w:bCs/>
          <w:sz w:val="22"/>
          <w:szCs w:val="22"/>
        </w:rPr>
        <w:t>P</w:t>
      </w:r>
      <w:r>
        <w:rPr>
          <w:rFonts w:cs="Calibri Light"/>
          <w:bCs/>
          <w:sz w:val="22"/>
          <w:szCs w:val="22"/>
        </w:rPr>
        <w:t xml:space="preserve">revention </w:t>
      </w:r>
      <w:r w:rsidR="00751740">
        <w:rPr>
          <w:rFonts w:cs="Calibri Light"/>
          <w:bCs/>
          <w:sz w:val="22"/>
          <w:szCs w:val="22"/>
        </w:rPr>
        <w:t xml:space="preserve">Program </w:t>
      </w:r>
      <w:r>
        <w:rPr>
          <w:rFonts w:cs="Calibri Light"/>
          <w:bCs/>
          <w:sz w:val="22"/>
          <w:szCs w:val="22"/>
        </w:rPr>
        <w:t xml:space="preserve">in Nevada chose to work together to submit one Integrated HIV Prevention and Care Plan on behalf of the HRSA and CDC-funded jurisdictions in the state. The State Office of HIV/AIDS and the Las Vegas TGA </w:t>
      </w:r>
      <w:r w:rsidR="00751740">
        <w:rPr>
          <w:rFonts w:cs="Calibri Light"/>
          <w:bCs/>
          <w:sz w:val="22"/>
          <w:szCs w:val="22"/>
        </w:rPr>
        <w:t>RWPA</w:t>
      </w:r>
      <w:r>
        <w:rPr>
          <w:rFonts w:cs="Calibri Light"/>
          <w:bCs/>
          <w:sz w:val="22"/>
          <w:szCs w:val="22"/>
        </w:rPr>
        <w:t xml:space="preserve"> program formed an internal workgroup to guide the planning process. </w:t>
      </w:r>
      <w:r w:rsidR="009236D2">
        <w:rPr>
          <w:rFonts w:cs="Calibri Light"/>
          <w:bCs/>
          <w:sz w:val="22"/>
          <w:szCs w:val="22"/>
        </w:rPr>
        <w:t xml:space="preserve">The Integrated HIV Prevention and Care Plan Internal Workgroup included representatives from </w:t>
      </w:r>
      <w:r w:rsidR="005A7C49">
        <w:rPr>
          <w:rFonts w:cs="Calibri Light"/>
          <w:bCs/>
          <w:sz w:val="22"/>
          <w:szCs w:val="22"/>
        </w:rPr>
        <w:t xml:space="preserve">RWPB program, the HIV </w:t>
      </w:r>
      <w:r w:rsidR="009236D2">
        <w:rPr>
          <w:rFonts w:cs="Calibri Light"/>
          <w:bCs/>
          <w:sz w:val="22"/>
          <w:szCs w:val="22"/>
        </w:rPr>
        <w:t xml:space="preserve">Prevention program, the Las Vegas TGA </w:t>
      </w:r>
      <w:r w:rsidR="005A7C49">
        <w:rPr>
          <w:rFonts w:cs="Calibri Light"/>
          <w:bCs/>
          <w:sz w:val="22"/>
          <w:szCs w:val="22"/>
        </w:rPr>
        <w:t>RWPA program</w:t>
      </w:r>
      <w:r w:rsidR="009236D2">
        <w:rPr>
          <w:rFonts w:cs="Calibri Light"/>
          <w:bCs/>
          <w:sz w:val="22"/>
          <w:szCs w:val="22"/>
        </w:rPr>
        <w:t xml:space="preserve">, the </w:t>
      </w:r>
      <w:r w:rsidR="005A7C49">
        <w:rPr>
          <w:rFonts w:cs="Calibri Light"/>
          <w:bCs/>
          <w:sz w:val="22"/>
          <w:szCs w:val="22"/>
        </w:rPr>
        <w:t xml:space="preserve">Southern Nevada Health District (SNHD), and </w:t>
      </w:r>
      <w:r w:rsidR="009236D2">
        <w:rPr>
          <w:rFonts w:cs="Calibri Light"/>
          <w:bCs/>
          <w:sz w:val="22"/>
          <w:szCs w:val="22"/>
        </w:rPr>
        <w:t>the Washoe County Health District</w:t>
      </w:r>
      <w:r w:rsidR="005A7C49">
        <w:rPr>
          <w:rFonts w:cs="Calibri Light"/>
          <w:bCs/>
          <w:sz w:val="22"/>
          <w:szCs w:val="22"/>
        </w:rPr>
        <w:t xml:space="preserve"> (WCHD). </w:t>
      </w:r>
      <w:r>
        <w:rPr>
          <w:rFonts w:cs="Calibri Light"/>
          <w:bCs/>
          <w:sz w:val="22"/>
          <w:szCs w:val="22"/>
        </w:rPr>
        <w:t>The School of Community Health Sciences</w:t>
      </w:r>
      <w:r w:rsidR="005A7C49">
        <w:rPr>
          <w:rFonts w:cs="Calibri Light"/>
          <w:bCs/>
          <w:sz w:val="22"/>
          <w:szCs w:val="22"/>
        </w:rPr>
        <w:t xml:space="preserve"> (SCHS)</w:t>
      </w:r>
      <w:r>
        <w:rPr>
          <w:rFonts w:cs="Calibri Light"/>
          <w:bCs/>
          <w:sz w:val="22"/>
          <w:szCs w:val="22"/>
        </w:rPr>
        <w:t xml:space="preserve"> at the University of Nevada, Reno </w:t>
      </w:r>
      <w:r w:rsidR="00F17D4F">
        <w:rPr>
          <w:rFonts w:cs="Calibri Light"/>
          <w:bCs/>
          <w:sz w:val="22"/>
          <w:szCs w:val="22"/>
        </w:rPr>
        <w:t xml:space="preserve">(UNR) </w:t>
      </w:r>
      <w:r>
        <w:rPr>
          <w:rFonts w:cs="Calibri Light"/>
          <w:bCs/>
          <w:sz w:val="22"/>
          <w:szCs w:val="22"/>
        </w:rPr>
        <w:t xml:space="preserve">was contracted to conduct the needs assessment and write the plan in coordination with the workgroup.  </w:t>
      </w:r>
    </w:p>
    <w:p w:rsidR="009236D2" w:rsidRDefault="009236D2" w:rsidP="00DE7943">
      <w:pPr>
        <w:widowControl w:val="0"/>
        <w:autoSpaceDE w:val="0"/>
        <w:autoSpaceDN w:val="0"/>
        <w:adjustRightInd w:val="0"/>
        <w:spacing w:before="0" w:after="0"/>
        <w:jc w:val="both"/>
        <w:rPr>
          <w:rFonts w:cs="Calibri Light"/>
          <w:bCs/>
          <w:sz w:val="22"/>
          <w:szCs w:val="22"/>
        </w:rPr>
      </w:pPr>
    </w:p>
    <w:p w:rsidR="00F17D4F" w:rsidRDefault="00F17D4F" w:rsidP="00DE7943">
      <w:pPr>
        <w:widowControl w:val="0"/>
        <w:autoSpaceDE w:val="0"/>
        <w:autoSpaceDN w:val="0"/>
        <w:adjustRightInd w:val="0"/>
        <w:spacing w:before="0" w:after="0"/>
        <w:jc w:val="both"/>
        <w:rPr>
          <w:rFonts w:cs="Calibri Light"/>
          <w:bCs/>
          <w:sz w:val="22"/>
          <w:szCs w:val="22"/>
        </w:rPr>
      </w:pPr>
      <w:r>
        <w:rPr>
          <w:rFonts w:cs="Calibri Light"/>
          <w:bCs/>
          <w:sz w:val="22"/>
          <w:szCs w:val="22"/>
        </w:rPr>
        <w:t xml:space="preserve">The workgroup solicited input on the needs assessment and integrated plan throughout the process from a wide variety of stakeholders including providers, community </w:t>
      </w:r>
      <w:r w:rsidR="005A7C49">
        <w:rPr>
          <w:rFonts w:cs="Calibri Light"/>
          <w:bCs/>
          <w:sz w:val="22"/>
          <w:szCs w:val="22"/>
        </w:rPr>
        <w:t xml:space="preserve">based </w:t>
      </w:r>
      <w:r>
        <w:rPr>
          <w:rFonts w:cs="Calibri Light"/>
          <w:bCs/>
          <w:sz w:val="22"/>
          <w:szCs w:val="22"/>
        </w:rPr>
        <w:t>organiz</w:t>
      </w:r>
      <w:r w:rsidR="005A7C49">
        <w:rPr>
          <w:rFonts w:cs="Calibri Light"/>
          <w:bCs/>
          <w:sz w:val="22"/>
          <w:szCs w:val="22"/>
        </w:rPr>
        <w:t xml:space="preserve">ations, people living with HIV (PLWH), </w:t>
      </w:r>
      <w:r>
        <w:rPr>
          <w:rFonts w:cs="Calibri Light"/>
          <w:bCs/>
          <w:sz w:val="22"/>
          <w:szCs w:val="22"/>
        </w:rPr>
        <w:t xml:space="preserve">people at risk for HIV infection, the HIV community planning groups in the north and south, and the Part A Planning Council. </w:t>
      </w:r>
      <w:r w:rsidR="009236D2">
        <w:rPr>
          <w:rFonts w:cs="Calibri Light"/>
          <w:bCs/>
          <w:sz w:val="22"/>
          <w:szCs w:val="22"/>
        </w:rPr>
        <w:t xml:space="preserve">Many stakeholders were actively involved in the process and were instrumental in the development of the plan’s objectives and strategies. </w:t>
      </w:r>
      <w:r w:rsidR="00C639D5">
        <w:rPr>
          <w:rFonts w:cs="Calibri Light"/>
          <w:bCs/>
          <w:sz w:val="22"/>
          <w:szCs w:val="22"/>
        </w:rPr>
        <w:t>As a result of this compreh</w:t>
      </w:r>
      <w:r w:rsidR="009236D2">
        <w:rPr>
          <w:rFonts w:cs="Calibri Light"/>
          <w:bCs/>
          <w:sz w:val="22"/>
          <w:szCs w:val="22"/>
        </w:rPr>
        <w:t>ensive planning process, Nevada has developed a collaborative statewide plan for HIV prevention and care that will guide the state forward as we work towards reducing new HIV infections, i</w:t>
      </w:r>
      <w:r w:rsidR="00D97B3E">
        <w:rPr>
          <w:rFonts w:cs="Calibri Light"/>
          <w:bCs/>
          <w:sz w:val="22"/>
          <w:szCs w:val="22"/>
        </w:rPr>
        <w:t>ncreasing</w:t>
      </w:r>
      <w:r w:rsidR="009236D2">
        <w:rPr>
          <w:rFonts w:cs="Calibri Light"/>
          <w:bCs/>
          <w:sz w:val="22"/>
          <w:szCs w:val="22"/>
        </w:rPr>
        <w:t xml:space="preserve"> access to care and </w:t>
      </w:r>
      <w:r w:rsidR="00D97B3E">
        <w:rPr>
          <w:rFonts w:cs="Calibri Light"/>
          <w:bCs/>
          <w:sz w:val="22"/>
          <w:szCs w:val="22"/>
        </w:rPr>
        <w:t xml:space="preserve">improving </w:t>
      </w:r>
      <w:r w:rsidR="009236D2">
        <w:rPr>
          <w:rFonts w:cs="Calibri Light"/>
          <w:bCs/>
          <w:sz w:val="22"/>
          <w:szCs w:val="22"/>
        </w:rPr>
        <w:t>health outcomes for people living with HIV, and reducing</w:t>
      </w:r>
      <w:r w:rsidR="00D97B3E">
        <w:rPr>
          <w:rFonts w:cs="Calibri Light"/>
          <w:bCs/>
          <w:sz w:val="22"/>
          <w:szCs w:val="22"/>
        </w:rPr>
        <w:t xml:space="preserve"> HIV related</w:t>
      </w:r>
      <w:r w:rsidR="009236D2">
        <w:rPr>
          <w:rFonts w:cs="Calibri Light"/>
          <w:bCs/>
          <w:sz w:val="22"/>
          <w:szCs w:val="22"/>
        </w:rPr>
        <w:t xml:space="preserve"> disparities</w:t>
      </w:r>
      <w:r w:rsidR="00D97B3E">
        <w:rPr>
          <w:rFonts w:cs="Calibri Light"/>
          <w:bCs/>
          <w:sz w:val="22"/>
          <w:szCs w:val="22"/>
        </w:rPr>
        <w:t xml:space="preserve"> and health inequities</w:t>
      </w:r>
      <w:r w:rsidR="009236D2">
        <w:rPr>
          <w:rFonts w:cs="Calibri Light"/>
          <w:bCs/>
          <w:sz w:val="22"/>
          <w:szCs w:val="22"/>
        </w:rPr>
        <w:t xml:space="preserve">. </w:t>
      </w:r>
    </w:p>
    <w:p w:rsidR="00F17D4F" w:rsidRDefault="00F17D4F" w:rsidP="00DE7943">
      <w:pPr>
        <w:widowControl w:val="0"/>
        <w:autoSpaceDE w:val="0"/>
        <w:autoSpaceDN w:val="0"/>
        <w:adjustRightInd w:val="0"/>
        <w:spacing w:before="0" w:after="0"/>
        <w:jc w:val="both"/>
        <w:rPr>
          <w:rFonts w:cs="Calibri Light"/>
          <w:bCs/>
          <w:sz w:val="22"/>
          <w:szCs w:val="22"/>
        </w:rPr>
      </w:pPr>
    </w:p>
    <w:p w:rsidR="00D97B3E" w:rsidRDefault="00D97B3E" w:rsidP="00DE7943">
      <w:pPr>
        <w:widowControl w:val="0"/>
        <w:autoSpaceDE w:val="0"/>
        <w:autoSpaceDN w:val="0"/>
        <w:adjustRightInd w:val="0"/>
        <w:spacing w:before="0" w:after="0"/>
        <w:jc w:val="both"/>
        <w:rPr>
          <w:rFonts w:cs="Calibri Light"/>
          <w:bCs/>
          <w:sz w:val="22"/>
          <w:szCs w:val="22"/>
        </w:rPr>
      </w:pPr>
      <w:r>
        <w:rPr>
          <w:rFonts w:cs="Calibri Light"/>
          <w:bCs/>
          <w:sz w:val="22"/>
          <w:szCs w:val="22"/>
        </w:rPr>
        <w:t xml:space="preserve">This plan is divided into three sections. Section I contains the Statewide Coordinated State of Need/Needs Assessment and includes the Epidemiologic Overview; the HIV Care Continuum; the Financial and Human Resources Inventory; the Assessment of Needs, Gaps, and Barriers; and Data Access, Sources and Systems. Section II is the Integrated HIV Prevention and Care Plan, including the description of the plan Goals, Objectives, Strategies, Activities and Resources; Collaborations, Partnerships, and Stakeholder Involvement; and People Living with HIV and Community Engagement.  Finally, Section III discusses Monitoring and Improvement. </w:t>
      </w:r>
    </w:p>
    <w:p w:rsidR="00555C0F" w:rsidRDefault="00555C0F">
      <w:pPr>
        <w:rPr>
          <w:rFonts w:cs="Calibri Light"/>
          <w:bCs/>
          <w:sz w:val="22"/>
          <w:szCs w:val="22"/>
        </w:rPr>
      </w:pPr>
      <w:r>
        <w:rPr>
          <w:rFonts w:cs="Calibri Light"/>
          <w:bCs/>
          <w:sz w:val="22"/>
          <w:szCs w:val="22"/>
        </w:rPr>
        <w:br w:type="page"/>
      </w:r>
    </w:p>
    <w:p w:rsidR="00512FE8" w:rsidRDefault="00512FE8" w:rsidP="00564B2F">
      <w:pPr>
        <w:pStyle w:val="Heading1"/>
      </w:pPr>
      <w:bookmarkStart w:id="5" w:name="_Toc461188571"/>
      <w:r>
        <w:lastRenderedPageBreak/>
        <w:t>Section I: Statewide Coordinated Statement of Need/Needs Assessment</w:t>
      </w:r>
      <w:bookmarkEnd w:id="5"/>
      <w:r>
        <w:t xml:space="preserve"> </w:t>
      </w:r>
    </w:p>
    <w:p w:rsidR="00512FE8" w:rsidRDefault="00512FE8" w:rsidP="00564B2F">
      <w:pPr>
        <w:pStyle w:val="Heading2"/>
      </w:pPr>
      <w:bookmarkStart w:id="6" w:name="_Toc461188572"/>
      <w:r>
        <w:rPr>
          <w:b/>
          <w:bCs/>
        </w:rPr>
        <w:t>A. Epidemiologic Overview</w:t>
      </w:r>
      <w:bookmarkEnd w:id="6"/>
      <w:r>
        <w:rPr>
          <w:b/>
          <w:bCs/>
        </w:rPr>
        <w:t xml:space="preserve"> </w:t>
      </w:r>
    </w:p>
    <w:p w:rsidR="00107A4C" w:rsidRPr="00107A4C" w:rsidRDefault="00F103A5" w:rsidP="00107A4C">
      <w:pPr>
        <w:pStyle w:val="Heading3"/>
      </w:pPr>
      <w:bookmarkStart w:id="7" w:name="_Toc461188573"/>
      <w:r>
        <w:t>D</w:t>
      </w:r>
      <w:r w:rsidR="00107A4C">
        <w:t>escription of Nevada</w:t>
      </w:r>
      <w:bookmarkEnd w:id="7"/>
    </w:p>
    <w:p w:rsidR="00512FE8" w:rsidRDefault="00512FE8" w:rsidP="003317C9">
      <w:pPr>
        <w:pStyle w:val="ListParagraph"/>
        <w:widowControl w:val="0"/>
        <w:numPr>
          <w:ilvl w:val="0"/>
          <w:numId w:val="1"/>
        </w:numPr>
        <w:tabs>
          <w:tab w:val="left" w:pos="220"/>
          <w:tab w:val="left" w:pos="720"/>
        </w:tabs>
        <w:autoSpaceDE w:val="0"/>
        <w:autoSpaceDN w:val="0"/>
        <w:adjustRightInd w:val="0"/>
        <w:spacing w:before="120" w:after="0" w:line="240" w:lineRule="auto"/>
        <w:rPr>
          <w:rFonts w:cs="Calibri Light"/>
          <w:i/>
          <w:sz w:val="22"/>
          <w:szCs w:val="22"/>
        </w:rPr>
      </w:pPr>
      <w:r>
        <w:rPr>
          <w:rFonts w:cs="Calibri Light"/>
          <w:i/>
          <w:sz w:val="22"/>
          <w:szCs w:val="22"/>
        </w:rPr>
        <w:t xml:space="preserve">Describe (map and/or narrative) the geographical region of the jurisdiction (i.e., </w:t>
      </w:r>
      <w:r>
        <w:rPr>
          <w:rFonts w:ascii="MS Gothic" w:eastAsia="MS Gothic" w:hAnsi="MS Gothic" w:cs="MS Gothic" w:hint="eastAsia"/>
          <w:i/>
          <w:sz w:val="22"/>
          <w:szCs w:val="22"/>
        </w:rPr>
        <w:t> </w:t>
      </w:r>
      <w:r>
        <w:rPr>
          <w:rFonts w:cs="Calibri Light"/>
          <w:i/>
          <w:sz w:val="22"/>
          <w:szCs w:val="22"/>
        </w:rPr>
        <w:t xml:space="preserve">Metropolitan Statistical Area/Metropolitan Division, Transitional Grant Area/Eligible Metropolitan Area, and States/Territories) with regard to communities affected by HIV infection. </w:t>
      </w:r>
      <w:r>
        <w:rPr>
          <w:rFonts w:ascii="MS Gothic" w:eastAsia="MS Gothic" w:hAnsi="MS Gothic" w:cs="MS Gothic" w:hint="eastAsia"/>
          <w:i/>
          <w:sz w:val="22"/>
          <w:szCs w:val="22"/>
        </w:rPr>
        <w:t> </w:t>
      </w:r>
    </w:p>
    <w:p w:rsidR="00512FE8" w:rsidRPr="00107A4C" w:rsidRDefault="00512FE8" w:rsidP="00F103A5">
      <w:pPr>
        <w:pStyle w:val="Heading5"/>
      </w:pPr>
      <w:r w:rsidRPr="00107A4C">
        <w:t>Demographic Characteristics</w:t>
      </w:r>
    </w:p>
    <w:p w:rsidR="00512FE8" w:rsidRDefault="00512FE8" w:rsidP="00F23788">
      <w:pPr>
        <w:widowControl w:val="0"/>
        <w:jc w:val="both"/>
        <w:rPr>
          <w:color w:val="000000"/>
          <w:sz w:val="22"/>
          <w:szCs w:val="22"/>
        </w:rPr>
      </w:pPr>
      <w:r>
        <w:rPr>
          <w:sz w:val="22"/>
          <w:szCs w:val="22"/>
        </w:rPr>
        <w:t>Nevada is the seventh largest state (geographically) in the nation</w:t>
      </w:r>
      <w:r w:rsidR="00753BCD">
        <w:rPr>
          <w:sz w:val="22"/>
          <w:szCs w:val="22"/>
        </w:rPr>
        <w:t>. I</w:t>
      </w:r>
      <w:r>
        <w:rPr>
          <w:sz w:val="22"/>
          <w:szCs w:val="22"/>
        </w:rPr>
        <w:t>t is comprised of 17 counties spread across 110,540 square miles. Nevada is a frontier state with a 2013 population estimate of almost 2.8 million (Nevada State Demographer) and is traditionally divided into three regions: Clark County (72.3% of the population), Washoe County (15.2</w:t>
      </w:r>
      <w:r w:rsidR="00753BCD">
        <w:rPr>
          <w:sz w:val="22"/>
          <w:szCs w:val="22"/>
        </w:rPr>
        <w:t>% of the population), and all other counties</w:t>
      </w:r>
      <w:r>
        <w:rPr>
          <w:sz w:val="22"/>
          <w:szCs w:val="22"/>
        </w:rPr>
        <w:t xml:space="preserve"> (12.5% of the population). </w:t>
      </w:r>
      <w:r>
        <w:rPr>
          <w:sz w:val="22"/>
          <w:szCs w:val="22"/>
          <w:vertAlign w:val="superscript"/>
        </w:rPr>
        <w:t xml:space="preserve"> </w:t>
      </w:r>
      <w:r>
        <w:rPr>
          <w:sz w:val="22"/>
          <w:szCs w:val="22"/>
        </w:rPr>
        <w:t>It is the fifth fastest growing state in the nation. Approximately 81.1% of Nevada’s land area is owned by the federal government</w:t>
      </w:r>
      <w:r w:rsidR="00753BCD">
        <w:rPr>
          <w:sz w:val="22"/>
          <w:szCs w:val="22"/>
        </w:rPr>
        <w:t>,</w:t>
      </w:r>
      <w:r>
        <w:rPr>
          <w:sz w:val="22"/>
          <w:szCs w:val="22"/>
        </w:rPr>
        <w:t xml:space="preserve"> with 67% administered by the Bureau of Land Management. The remaining 18.9% is under private ownership or state/local jurisdiction. </w:t>
      </w:r>
    </w:p>
    <w:p w:rsidR="003C3AD0" w:rsidRDefault="00512FE8" w:rsidP="00F23788">
      <w:pPr>
        <w:widowControl w:val="0"/>
        <w:jc w:val="both"/>
        <w:rPr>
          <w:sz w:val="22"/>
          <w:szCs w:val="22"/>
          <w:vertAlign w:val="superscript"/>
        </w:rPr>
      </w:pPr>
      <w:r>
        <w:rPr>
          <w:sz w:val="22"/>
          <w:szCs w:val="22"/>
        </w:rPr>
        <w:t> In 2013, the race/ethnicity composition of Nevada was 58.3% White, 26.5% Hispanic, 7.2% Black, 6.7% Asian/Pacific Islander, and 1.3% Nat</w:t>
      </w:r>
      <w:r w:rsidR="00753BCD">
        <w:rPr>
          <w:sz w:val="22"/>
          <w:szCs w:val="22"/>
        </w:rPr>
        <w:t xml:space="preserve">ive American or Alaska Native. </w:t>
      </w:r>
      <w:r>
        <w:rPr>
          <w:sz w:val="22"/>
          <w:szCs w:val="22"/>
        </w:rPr>
        <w:t>Nevada is one of nine states to potentially become a minority-majority state as Nevada has a minority population of 41.7%.  Over one-half of the population in Nevada was betwee</w:t>
      </w:r>
      <w:r w:rsidR="00753BCD">
        <w:rPr>
          <w:sz w:val="22"/>
          <w:szCs w:val="22"/>
        </w:rPr>
        <w:t>n the ages of 25 and 64 (52.8%);</w:t>
      </w:r>
      <w:r>
        <w:rPr>
          <w:sz w:val="22"/>
          <w:szCs w:val="22"/>
        </w:rPr>
        <w:t xml:space="preserve"> another one-third was between the ages of 0 and 24 (35.5)</w:t>
      </w:r>
      <w:r w:rsidR="00753BCD">
        <w:rPr>
          <w:sz w:val="22"/>
          <w:szCs w:val="22"/>
        </w:rPr>
        <w:t>;</w:t>
      </w:r>
      <w:r>
        <w:rPr>
          <w:sz w:val="22"/>
          <w:szCs w:val="22"/>
        </w:rPr>
        <w:t xml:space="preserve"> while the remaining 12.7% of population was age 65 and older.  Just over half of the population (50.5%) is male with the remaining 49.5% female.</w:t>
      </w:r>
      <w:r w:rsidR="003C3AD0">
        <w:rPr>
          <w:rStyle w:val="EndnoteReference"/>
          <w:sz w:val="22"/>
          <w:szCs w:val="22"/>
        </w:rPr>
        <w:endnoteReference w:id="1"/>
      </w:r>
    </w:p>
    <w:p w:rsidR="003C3AD0" w:rsidRDefault="003C3AD0" w:rsidP="00F103A5">
      <w:pPr>
        <w:pStyle w:val="Heading5"/>
      </w:pPr>
      <w:r>
        <w:t> Socioeconomic Status</w:t>
      </w:r>
    </w:p>
    <w:p w:rsidR="003C3AD0" w:rsidRDefault="003C3AD0" w:rsidP="00F23788">
      <w:pPr>
        <w:widowControl w:val="0"/>
        <w:jc w:val="both"/>
        <w:rPr>
          <w:sz w:val="22"/>
          <w:szCs w:val="22"/>
          <w:vertAlign w:val="superscript"/>
        </w:rPr>
      </w:pPr>
      <w:r>
        <w:rPr>
          <w:sz w:val="22"/>
          <w:szCs w:val="22"/>
        </w:rPr>
        <w:t>In 2012, the average annual pay in Nevada was $46,716, ranking 32</w:t>
      </w:r>
      <w:r>
        <w:rPr>
          <w:sz w:val="22"/>
          <w:szCs w:val="22"/>
          <w:vertAlign w:val="superscript"/>
        </w:rPr>
        <w:t>nd</w:t>
      </w:r>
      <w:r>
        <w:rPr>
          <w:sz w:val="22"/>
          <w:szCs w:val="22"/>
        </w:rPr>
        <w:t xml:space="preserve"> in the nation. The median household income was $54,083, ranking 32</w:t>
      </w:r>
      <w:r>
        <w:rPr>
          <w:sz w:val="22"/>
          <w:szCs w:val="22"/>
          <w:vertAlign w:val="superscript"/>
        </w:rPr>
        <w:t>nd</w:t>
      </w:r>
      <w:r>
        <w:rPr>
          <w:sz w:val="22"/>
          <w:szCs w:val="22"/>
        </w:rPr>
        <w:t xml:space="preserve"> in the nation.</w:t>
      </w:r>
      <w:r>
        <w:rPr>
          <w:rStyle w:val="EndnoteReference"/>
          <w:sz w:val="22"/>
          <w:szCs w:val="22"/>
        </w:rPr>
        <w:endnoteReference w:id="2"/>
      </w:r>
      <w:r>
        <w:rPr>
          <w:sz w:val="22"/>
          <w:szCs w:val="22"/>
        </w:rPr>
        <w:t xml:space="preserve"> Nevada ranks 31</w:t>
      </w:r>
      <w:r>
        <w:rPr>
          <w:sz w:val="22"/>
          <w:szCs w:val="22"/>
          <w:vertAlign w:val="superscript"/>
        </w:rPr>
        <w:t>st</w:t>
      </w:r>
      <w:r>
        <w:rPr>
          <w:sz w:val="22"/>
          <w:szCs w:val="22"/>
        </w:rPr>
        <w:t xml:space="preserve"> in the country for persons living below the poverty level. Just over sixteen percent of Nevada's population was living below the poverty level in 2012. The poverty rates per county ranged from 8.6 in Storey County to 20.5 in Pershing County.</w:t>
      </w:r>
      <w:r>
        <w:rPr>
          <w:sz w:val="22"/>
          <w:szCs w:val="22"/>
          <w:vertAlign w:val="superscript"/>
        </w:rPr>
        <w:t>5</w:t>
      </w:r>
      <w:r>
        <w:rPr>
          <w:sz w:val="22"/>
          <w:szCs w:val="22"/>
        </w:rPr>
        <w:t xml:space="preserve"> According to the U.S. Census Bureau, 22.2% of Nevada’s population of 25 years and older has a bachelor’s degree or higher</w:t>
      </w:r>
      <w:r w:rsidR="00753BCD">
        <w:rPr>
          <w:sz w:val="22"/>
          <w:szCs w:val="22"/>
        </w:rPr>
        <w:t>;</w:t>
      </w:r>
      <w:r>
        <w:rPr>
          <w:sz w:val="22"/>
          <w:szCs w:val="22"/>
        </w:rPr>
        <w:t xml:space="preserve"> and 84.4 % of Nevada’s population is a high school graduate or higher.</w:t>
      </w:r>
      <w:r>
        <w:rPr>
          <w:rStyle w:val="EndnoteReference"/>
          <w:sz w:val="22"/>
          <w:szCs w:val="22"/>
        </w:rPr>
        <w:endnoteReference w:id="3"/>
      </w:r>
      <w:r>
        <w:rPr>
          <w:sz w:val="22"/>
          <w:szCs w:val="22"/>
        </w:rPr>
        <w:t xml:space="preserve"> According to the 2012 American Community Family Survey, 57% of Nevada’s population </w:t>
      </w:r>
      <w:r w:rsidR="00753BCD">
        <w:rPr>
          <w:sz w:val="22"/>
          <w:szCs w:val="22"/>
        </w:rPr>
        <w:t xml:space="preserve">aged </w:t>
      </w:r>
      <w:r>
        <w:rPr>
          <w:sz w:val="22"/>
          <w:szCs w:val="22"/>
        </w:rPr>
        <w:t>16</w:t>
      </w:r>
      <w:r w:rsidR="00753BCD">
        <w:rPr>
          <w:sz w:val="22"/>
          <w:szCs w:val="22"/>
        </w:rPr>
        <w:t xml:space="preserve"> years</w:t>
      </w:r>
      <w:r>
        <w:rPr>
          <w:sz w:val="22"/>
          <w:szCs w:val="22"/>
        </w:rPr>
        <w:t xml:space="preserve"> and o</w:t>
      </w:r>
      <w:r w:rsidR="00753BCD">
        <w:rPr>
          <w:sz w:val="22"/>
          <w:szCs w:val="22"/>
        </w:rPr>
        <w:t>lder</w:t>
      </w:r>
      <w:r>
        <w:rPr>
          <w:sz w:val="22"/>
          <w:szCs w:val="22"/>
        </w:rPr>
        <w:t xml:space="preserve"> were employed.  Also, an estimated 24% of children under 18 </w:t>
      </w:r>
      <w:r w:rsidR="00753BCD">
        <w:rPr>
          <w:sz w:val="22"/>
          <w:szCs w:val="22"/>
        </w:rPr>
        <w:t xml:space="preserve">years </w:t>
      </w:r>
      <w:r>
        <w:rPr>
          <w:sz w:val="22"/>
          <w:szCs w:val="22"/>
        </w:rPr>
        <w:t>were below poverty level.</w:t>
      </w:r>
      <w:r>
        <w:rPr>
          <w:rStyle w:val="EndnoteReference"/>
          <w:sz w:val="22"/>
          <w:szCs w:val="22"/>
        </w:rPr>
        <w:endnoteReference w:id="4"/>
      </w:r>
    </w:p>
    <w:p w:rsidR="003C3AD0" w:rsidRDefault="003C3AD0" w:rsidP="00F103A5">
      <w:pPr>
        <w:pStyle w:val="Heading5"/>
      </w:pPr>
      <w:r>
        <w:t> Health Status</w:t>
      </w:r>
    </w:p>
    <w:p w:rsidR="003C3AD0" w:rsidRDefault="003C3AD0" w:rsidP="00F23788">
      <w:pPr>
        <w:widowControl w:val="0"/>
        <w:jc w:val="both"/>
        <w:rPr>
          <w:color w:val="000000"/>
          <w:sz w:val="22"/>
          <w:szCs w:val="22"/>
          <w:vertAlign w:val="superscript"/>
        </w:rPr>
      </w:pPr>
      <w:r>
        <w:rPr>
          <w:sz w:val="22"/>
          <w:szCs w:val="22"/>
        </w:rPr>
        <w:t>In 2013, the United Health Foundation ranked Nevada 37</w:t>
      </w:r>
      <w:r>
        <w:rPr>
          <w:sz w:val="22"/>
          <w:szCs w:val="22"/>
          <w:vertAlign w:val="superscript"/>
        </w:rPr>
        <w:t xml:space="preserve">th </w:t>
      </w:r>
      <w:r>
        <w:rPr>
          <w:sz w:val="22"/>
          <w:szCs w:val="22"/>
        </w:rPr>
        <w:t xml:space="preserve">in the nation based on 15 health indicators. Nevada’s strengths are low levels of air pollution at 9.1 micrograms of fine particulate per cubic meter, a low rate of preventable hospitalizations with 57.3 discharges per 1,000 Medicare enrollees, and a low </w:t>
      </w:r>
      <w:r>
        <w:rPr>
          <w:sz w:val="22"/>
          <w:szCs w:val="22"/>
        </w:rPr>
        <w:lastRenderedPageBreak/>
        <w:t>infant mortality rate at 5.7 deaths per 1,000 live births. Some of the challenges are low immunization coverage with 65.3% of children ages 19 to 35 months receiving complete immunizations.</w:t>
      </w:r>
      <w:r>
        <w:rPr>
          <w:rStyle w:val="EndnoteReference"/>
          <w:sz w:val="22"/>
          <w:szCs w:val="22"/>
        </w:rPr>
        <w:endnoteReference w:id="5"/>
      </w:r>
      <w:r>
        <w:rPr>
          <w:sz w:val="22"/>
          <w:szCs w:val="22"/>
          <w:vertAlign w:val="superscript"/>
        </w:rPr>
        <w:t xml:space="preserve"> </w:t>
      </w:r>
      <w:r>
        <w:rPr>
          <w:sz w:val="22"/>
          <w:szCs w:val="22"/>
        </w:rPr>
        <w:t>Nevada also had the lowest rate (50%) of adults receiving the flu vaccine in the country.</w:t>
      </w:r>
      <w:r>
        <w:rPr>
          <w:sz w:val="22"/>
          <w:szCs w:val="22"/>
          <w:vertAlign w:val="superscript"/>
        </w:rPr>
        <w:t xml:space="preserve">7 </w:t>
      </w:r>
      <w:r>
        <w:rPr>
          <w:sz w:val="22"/>
          <w:szCs w:val="22"/>
        </w:rPr>
        <w:t>Nevada has low public health funding at $37 per person and high geographic disparity in public health funding within the state at 19.1%. Nevada ranks 32</w:t>
      </w:r>
      <w:r>
        <w:rPr>
          <w:sz w:val="22"/>
          <w:szCs w:val="22"/>
          <w:vertAlign w:val="superscript"/>
        </w:rPr>
        <w:t>nd</w:t>
      </w:r>
      <w:r>
        <w:rPr>
          <w:sz w:val="22"/>
          <w:szCs w:val="22"/>
        </w:rPr>
        <w:t xml:space="preserve"> among states for premature death (years lost per 100,000 population).</w:t>
      </w:r>
      <w:r>
        <w:rPr>
          <w:rStyle w:val="EndnoteReference"/>
          <w:sz w:val="22"/>
          <w:szCs w:val="22"/>
        </w:rPr>
        <w:endnoteReference w:id="6"/>
      </w:r>
    </w:p>
    <w:p w:rsidR="003C3AD0" w:rsidRPr="006A67FF" w:rsidRDefault="003C3AD0" w:rsidP="00F23788">
      <w:pPr>
        <w:widowControl w:val="0"/>
        <w:jc w:val="both"/>
        <w:rPr>
          <w:sz w:val="22"/>
          <w:szCs w:val="22"/>
        </w:rPr>
      </w:pPr>
      <w:r>
        <w:rPr>
          <w:sz w:val="22"/>
          <w:szCs w:val="22"/>
        </w:rPr>
        <w:t> In 2013, Nevada had a higher rate of uninsured residents than the national average, at 23.0% compared to 15.6%. The percentage of government funded insurance is lower in Nevada than the national average. By race/ethnicity, Hispanics had the highest uninsured rate at 35%</w:t>
      </w:r>
      <w:r w:rsidR="00753BCD">
        <w:rPr>
          <w:sz w:val="22"/>
          <w:szCs w:val="22"/>
        </w:rPr>
        <w:t>,</w:t>
      </w:r>
      <w:r>
        <w:rPr>
          <w:sz w:val="22"/>
          <w:szCs w:val="22"/>
        </w:rPr>
        <w:t xml:space="preserve"> according to the Kaiser State Health Facts report. According to the United State</w:t>
      </w:r>
      <w:r w:rsidR="00753BCD">
        <w:rPr>
          <w:sz w:val="22"/>
          <w:szCs w:val="22"/>
        </w:rPr>
        <w:t>s</w:t>
      </w:r>
      <w:r>
        <w:rPr>
          <w:sz w:val="22"/>
          <w:szCs w:val="22"/>
        </w:rPr>
        <w:t xml:space="preserve"> Census 2012 Statistical Abstract, Nevada ranked 47</w:t>
      </w:r>
      <w:r>
        <w:rPr>
          <w:sz w:val="22"/>
          <w:szCs w:val="22"/>
          <w:vertAlign w:val="superscript"/>
        </w:rPr>
        <w:t>th</w:t>
      </w:r>
      <w:r>
        <w:rPr>
          <w:sz w:val="22"/>
          <w:szCs w:val="22"/>
        </w:rPr>
        <w:t xml:space="preserve"> in the nation for doctors per 100,000 resident population in 2009 (most recent data).</w:t>
      </w:r>
      <w:r>
        <w:rPr>
          <w:rStyle w:val="EndnoteReference"/>
          <w:sz w:val="22"/>
          <w:szCs w:val="22"/>
        </w:rPr>
        <w:endnoteReference w:id="7"/>
      </w:r>
      <w:r>
        <w:rPr>
          <w:sz w:val="22"/>
          <w:szCs w:val="22"/>
          <w:vertAlign w:val="superscript"/>
        </w:rPr>
        <w:t xml:space="preserve"> </w:t>
      </w:r>
      <w:r>
        <w:rPr>
          <w:sz w:val="22"/>
          <w:szCs w:val="22"/>
        </w:rPr>
        <w:t>Twelve of Nevada’s counties have areas or population groups within county lines that are considered to be Primary Medical Care Health Professional Shortage areas.</w:t>
      </w:r>
      <w:r>
        <w:rPr>
          <w:rStyle w:val="EndnoteReference"/>
          <w:sz w:val="22"/>
          <w:szCs w:val="22"/>
        </w:rPr>
        <w:endnoteReference w:id="8"/>
      </w:r>
    </w:p>
    <w:p w:rsidR="003C3AD0" w:rsidRPr="00107A4C" w:rsidRDefault="003C3AD0" w:rsidP="00F103A5">
      <w:pPr>
        <w:pStyle w:val="Heading5"/>
      </w:pPr>
      <w:r w:rsidRPr="00107A4C">
        <w:t> Nevada’s Ryan White Part A, Part B and HIV Prevention Programs</w:t>
      </w:r>
    </w:p>
    <w:p w:rsidR="003C3AD0" w:rsidRDefault="003C3AD0" w:rsidP="004F017E">
      <w:pPr>
        <w:widowControl w:val="0"/>
        <w:jc w:val="both"/>
        <w:rPr>
          <w:sz w:val="22"/>
          <w:szCs w:val="22"/>
        </w:rPr>
      </w:pPr>
      <w:r w:rsidRPr="003F61BC">
        <w:rPr>
          <w:sz w:val="22"/>
          <w:szCs w:val="22"/>
        </w:rPr>
        <w:t xml:space="preserve">Nevada’s Office of HIV/AIDS within the Division of Public and Behavioral Health </w:t>
      </w:r>
      <w:r w:rsidR="00753BCD">
        <w:rPr>
          <w:sz w:val="22"/>
          <w:szCs w:val="22"/>
        </w:rPr>
        <w:t xml:space="preserve">(DPBH) </w:t>
      </w:r>
      <w:r w:rsidRPr="003F61BC">
        <w:rPr>
          <w:sz w:val="22"/>
          <w:szCs w:val="22"/>
        </w:rPr>
        <w:t>manages the state’s Ryan White Part B Program and the HIV</w:t>
      </w:r>
      <w:r w:rsidR="00591764">
        <w:rPr>
          <w:sz w:val="22"/>
          <w:szCs w:val="22"/>
        </w:rPr>
        <w:t xml:space="preserve"> </w:t>
      </w:r>
      <w:r w:rsidRPr="003F61BC">
        <w:rPr>
          <w:sz w:val="22"/>
          <w:szCs w:val="22"/>
        </w:rPr>
        <w:t xml:space="preserve">Prevention Program. RWPB provides medications and services to eligible Nevadans living with HIV/AIDS. Part B of the Ryan White HIV/AIDS Treatment Modernization Act provides grants to all 50 States, the District of Columbia, Puerto Rico, Guam, the U.S. Virgin Islands, and 5 U.S. Pacific Territories or Associated Jurisdictions. HIV Prevention Program staff coordinates its efforts in collaboration with the local health districts, HIV Prevention Planning Groups, HIV-infected and affected communities, state and local HIV prevention providers, and other concerned and committed citizens to improve HIV Prevention service delivery in Nevada. </w:t>
      </w:r>
    </w:p>
    <w:p w:rsidR="003C3AD0" w:rsidRDefault="003C3AD0" w:rsidP="004F017E">
      <w:pPr>
        <w:widowControl w:val="0"/>
        <w:jc w:val="both"/>
        <w:rPr>
          <w:rFonts w:cs="Arial"/>
          <w:color w:val="000000"/>
          <w:sz w:val="22"/>
          <w:szCs w:val="22"/>
        </w:rPr>
      </w:pPr>
      <w:r>
        <w:rPr>
          <w:sz w:val="22"/>
          <w:szCs w:val="22"/>
        </w:rPr>
        <w:t>Clark County Social Service</w:t>
      </w:r>
      <w:r w:rsidRPr="003F61BC">
        <w:rPr>
          <w:rFonts w:cs="Arial"/>
          <w:bCs/>
          <w:color w:val="000000"/>
          <w:sz w:val="22"/>
          <w:szCs w:val="22"/>
          <w:shd w:val="clear" w:color="auto" w:fill="FFFFFF"/>
        </w:rPr>
        <w:t xml:space="preserve"> </w:t>
      </w:r>
      <w:r>
        <w:rPr>
          <w:rFonts w:cs="Arial"/>
          <w:bCs/>
          <w:color w:val="000000"/>
          <w:sz w:val="22"/>
          <w:szCs w:val="22"/>
          <w:shd w:val="clear" w:color="auto" w:fill="FFFFFF"/>
        </w:rPr>
        <w:t xml:space="preserve">manages the </w:t>
      </w:r>
      <w:r w:rsidRPr="003F61BC">
        <w:rPr>
          <w:rFonts w:cs="Arial"/>
          <w:bCs/>
          <w:color w:val="000000"/>
          <w:sz w:val="22"/>
          <w:szCs w:val="22"/>
          <w:shd w:val="clear" w:color="auto" w:fill="FFFFFF"/>
        </w:rPr>
        <w:t>Las Vegas TGA Part A HIV/AIDS Program</w:t>
      </w:r>
      <w:r>
        <w:rPr>
          <w:sz w:val="22"/>
          <w:szCs w:val="22"/>
        </w:rPr>
        <w:t xml:space="preserve">. </w:t>
      </w:r>
      <w:r w:rsidRPr="003F61BC">
        <w:rPr>
          <w:sz w:val="22"/>
          <w:szCs w:val="22"/>
        </w:rPr>
        <w:t>The Las Vegas Transitional Grant Area (TGA) consists of three counties that cover two conjoining states. The three counties in the TGA are Clark County, Nevada, Nye County, Nevada and Mohave County, Arizona.</w:t>
      </w:r>
      <w:r>
        <w:rPr>
          <w:sz w:val="22"/>
          <w:szCs w:val="22"/>
        </w:rPr>
        <w:t xml:space="preserve"> </w:t>
      </w:r>
      <w:r w:rsidR="00753BCD">
        <w:rPr>
          <w:rFonts w:cs="Arial"/>
          <w:color w:val="000000"/>
          <w:sz w:val="22"/>
          <w:szCs w:val="22"/>
        </w:rPr>
        <w:t>RWPA</w:t>
      </w:r>
      <w:r w:rsidRPr="003F61BC">
        <w:rPr>
          <w:rFonts w:cs="Arial"/>
          <w:color w:val="000000"/>
          <w:sz w:val="22"/>
          <w:szCs w:val="22"/>
        </w:rPr>
        <w:t xml:space="preserve"> funds go to local areas that have been hit hardest by the HIV epidemic.</w:t>
      </w:r>
      <w:r>
        <w:rPr>
          <w:rFonts w:cs="Arial"/>
          <w:color w:val="000000"/>
          <w:sz w:val="22"/>
          <w:szCs w:val="22"/>
        </w:rPr>
        <w:t xml:space="preserve"> Las Vegas is a TGA, </w:t>
      </w:r>
      <w:r w:rsidRPr="003F61BC">
        <w:rPr>
          <w:rFonts w:cs="Arial"/>
          <w:color w:val="000000"/>
          <w:sz w:val="22"/>
          <w:szCs w:val="22"/>
        </w:rPr>
        <w:t xml:space="preserve">meaning it is a metropolitan area with between 1,000 and 1,999 new cases of AIDS reported in the past five years and at least 1,500 cumulative living cases of AIDS as of the most recent calendar year. The grantee works with the Part A </w:t>
      </w:r>
      <w:r w:rsidR="00753BCD">
        <w:rPr>
          <w:rFonts w:cs="Arial"/>
          <w:color w:val="000000"/>
          <w:sz w:val="22"/>
          <w:szCs w:val="22"/>
        </w:rPr>
        <w:t>P</w:t>
      </w:r>
      <w:r w:rsidRPr="003F61BC">
        <w:rPr>
          <w:rFonts w:cs="Arial"/>
          <w:color w:val="000000"/>
          <w:sz w:val="22"/>
          <w:szCs w:val="22"/>
        </w:rPr>
        <w:t xml:space="preserve">lanning </w:t>
      </w:r>
      <w:r w:rsidR="00753BCD">
        <w:rPr>
          <w:rFonts w:cs="Arial"/>
          <w:color w:val="000000"/>
          <w:sz w:val="22"/>
          <w:szCs w:val="22"/>
        </w:rPr>
        <w:t>C</w:t>
      </w:r>
      <w:r w:rsidRPr="003F61BC">
        <w:rPr>
          <w:rFonts w:cs="Arial"/>
          <w:color w:val="000000"/>
          <w:sz w:val="22"/>
          <w:szCs w:val="22"/>
        </w:rPr>
        <w:t>ouncil in making decisions about how to use the funds.</w:t>
      </w:r>
    </w:p>
    <w:p w:rsidR="003C3AD0" w:rsidRDefault="003C3AD0" w:rsidP="00107A4C">
      <w:pPr>
        <w:pStyle w:val="Heading3"/>
      </w:pPr>
      <w:bookmarkStart w:id="8" w:name="_Toc461188574"/>
      <w:r>
        <w:t xml:space="preserve">Socio-Demographic Characteristics </w:t>
      </w:r>
      <w:r w:rsidR="00E434EF">
        <w:t>o</w:t>
      </w:r>
      <w:r>
        <w:t xml:space="preserve">f Populations </w:t>
      </w:r>
      <w:r w:rsidR="00E434EF">
        <w:t>A</w:t>
      </w:r>
      <w:r>
        <w:t xml:space="preserve">t </w:t>
      </w:r>
      <w:r w:rsidR="00E434EF">
        <w:t>R</w:t>
      </w:r>
      <w:r>
        <w:t xml:space="preserve">isk </w:t>
      </w:r>
      <w:r w:rsidR="00E434EF">
        <w:t>f</w:t>
      </w:r>
      <w:r>
        <w:t xml:space="preserve">or HIV, </w:t>
      </w:r>
      <w:r w:rsidR="00E434EF">
        <w:t>N</w:t>
      </w:r>
      <w:r>
        <w:t xml:space="preserve">ewly </w:t>
      </w:r>
      <w:r w:rsidR="00E434EF">
        <w:t>D</w:t>
      </w:r>
      <w:r>
        <w:t xml:space="preserve">iagnosed, </w:t>
      </w:r>
      <w:r w:rsidR="00E434EF">
        <w:t>o</w:t>
      </w:r>
      <w:r>
        <w:t xml:space="preserve">r </w:t>
      </w:r>
      <w:r w:rsidR="00E434EF">
        <w:t>L</w:t>
      </w:r>
      <w:r>
        <w:t xml:space="preserve">iving </w:t>
      </w:r>
      <w:r w:rsidR="00E434EF">
        <w:t>w</w:t>
      </w:r>
      <w:r>
        <w:t>ith HIV</w:t>
      </w:r>
      <w:bookmarkEnd w:id="8"/>
    </w:p>
    <w:p w:rsidR="00555C0F" w:rsidRPr="00555C0F" w:rsidRDefault="00555C0F" w:rsidP="003317C9">
      <w:pPr>
        <w:pStyle w:val="ListParagraph"/>
        <w:widowControl w:val="0"/>
        <w:numPr>
          <w:ilvl w:val="0"/>
          <w:numId w:val="1"/>
        </w:numPr>
        <w:tabs>
          <w:tab w:val="left" w:pos="220"/>
          <w:tab w:val="left" w:pos="720"/>
        </w:tabs>
        <w:autoSpaceDE w:val="0"/>
        <w:autoSpaceDN w:val="0"/>
        <w:adjustRightInd w:val="0"/>
        <w:spacing w:before="120" w:after="0" w:line="240" w:lineRule="auto"/>
        <w:rPr>
          <w:rFonts w:cs="Calibri Light"/>
          <w:i/>
          <w:sz w:val="22"/>
          <w:szCs w:val="22"/>
        </w:rPr>
      </w:pPr>
      <w:r w:rsidRPr="00555C0F">
        <w:rPr>
          <w:rFonts w:cs="Calibri Light"/>
          <w:i/>
          <w:sz w:val="22"/>
          <w:szCs w:val="22"/>
        </w:rPr>
        <w:t xml:space="preserve">Describe (table, graph, and/or narrative) the socio-demographic characteristics of persons newly diagnosed, PLWH, and persons at higher risk for HIV infection in the service area, including the following, as available in the geographical region of the jurisdiction: </w:t>
      </w:r>
    </w:p>
    <w:p w:rsidR="00555C0F" w:rsidRDefault="00555C0F" w:rsidP="003317C9">
      <w:pPr>
        <w:widowControl w:val="0"/>
        <w:numPr>
          <w:ilvl w:val="2"/>
          <w:numId w:val="1"/>
        </w:numPr>
        <w:tabs>
          <w:tab w:val="left" w:pos="940"/>
          <w:tab w:val="left" w:pos="1440"/>
        </w:tabs>
        <w:autoSpaceDE w:val="0"/>
        <w:autoSpaceDN w:val="0"/>
        <w:adjustRightInd w:val="0"/>
        <w:spacing w:before="0" w:after="0" w:line="240" w:lineRule="auto"/>
        <w:ind w:left="1440" w:hanging="1440"/>
        <w:rPr>
          <w:rFonts w:cs="Calibri Light"/>
          <w:i/>
          <w:sz w:val="22"/>
          <w:szCs w:val="22"/>
        </w:rPr>
      </w:pPr>
      <w:r>
        <w:rPr>
          <w:rFonts w:cs="Calibri Light"/>
          <w:i/>
          <w:sz w:val="22"/>
          <w:szCs w:val="22"/>
        </w:rPr>
        <w:t xml:space="preserve">i. Demographic data (e.g., race, age, sex, transmission category, current gender identity) </w:t>
      </w:r>
      <w:r>
        <w:rPr>
          <w:rFonts w:ascii="MS Gothic" w:eastAsia="MS Gothic" w:hAnsi="MS Gothic" w:cs="MS Gothic" w:hint="eastAsia"/>
          <w:i/>
          <w:sz w:val="22"/>
          <w:szCs w:val="22"/>
        </w:rPr>
        <w:t> </w:t>
      </w:r>
    </w:p>
    <w:p w:rsidR="00555C0F" w:rsidRPr="00753BCD" w:rsidRDefault="00555C0F" w:rsidP="003317C9">
      <w:pPr>
        <w:widowControl w:val="0"/>
        <w:numPr>
          <w:ilvl w:val="5"/>
          <w:numId w:val="1"/>
        </w:numPr>
        <w:tabs>
          <w:tab w:val="left" w:pos="940"/>
          <w:tab w:val="left" w:pos="1440"/>
        </w:tabs>
        <w:autoSpaceDE w:val="0"/>
        <w:autoSpaceDN w:val="0"/>
        <w:adjustRightInd w:val="0"/>
        <w:spacing w:before="0" w:after="0" w:line="240" w:lineRule="auto"/>
        <w:ind w:left="1440" w:hanging="1440"/>
        <w:rPr>
          <w:rFonts w:ascii="Calibri" w:eastAsia="Times New Roman" w:hAnsi="Calibri" w:cs="Calibri Light"/>
          <w:i/>
          <w:sz w:val="22"/>
          <w:szCs w:val="22"/>
        </w:rPr>
      </w:pPr>
      <w:r>
        <w:rPr>
          <w:rFonts w:cs="Calibri Light"/>
          <w:i/>
          <w:sz w:val="22"/>
          <w:szCs w:val="22"/>
        </w:rPr>
        <w:t xml:space="preserve">ii. Socioeconomic data (e.g., percentage of federal poverty level, income, education, health insurance status, etc.). </w:t>
      </w:r>
      <w:r>
        <w:rPr>
          <w:rFonts w:ascii="MS Gothic" w:eastAsia="MS Gothic" w:hAnsi="MS Gothic" w:cs="MS Gothic" w:hint="eastAsia"/>
          <w:i/>
          <w:sz w:val="22"/>
          <w:szCs w:val="22"/>
        </w:rPr>
        <w:t> </w:t>
      </w:r>
    </w:p>
    <w:p w:rsidR="00753BCD" w:rsidRPr="00C001D8" w:rsidRDefault="00753BCD" w:rsidP="003317C9">
      <w:pPr>
        <w:widowControl w:val="0"/>
        <w:numPr>
          <w:ilvl w:val="5"/>
          <w:numId w:val="1"/>
        </w:numPr>
        <w:tabs>
          <w:tab w:val="left" w:pos="940"/>
          <w:tab w:val="left" w:pos="1440"/>
        </w:tabs>
        <w:autoSpaceDE w:val="0"/>
        <w:autoSpaceDN w:val="0"/>
        <w:adjustRightInd w:val="0"/>
        <w:spacing w:before="0" w:after="0" w:line="240" w:lineRule="auto"/>
        <w:ind w:left="1440" w:hanging="1440"/>
        <w:rPr>
          <w:rFonts w:ascii="Calibri" w:eastAsia="Times New Roman" w:hAnsi="Calibri" w:cs="Calibri Light"/>
          <w:i/>
          <w:sz w:val="22"/>
          <w:szCs w:val="22"/>
        </w:rPr>
      </w:pPr>
    </w:p>
    <w:p w:rsidR="003C3AD0" w:rsidRDefault="003C3AD0" w:rsidP="00DB09E7">
      <w:pPr>
        <w:widowControl w:val="0"/>
        <w:tabs>
          <w:tab w:val="left" w:pos="940"/>
          <w:tab w:val="left" w:pos="1440"/>
        </w:tabs>
        <w:autoSpaceDE w:val="0"/>
        <w:autoSpaceDN w:val="0"/>
        <w:adjustRightInd w:val="0"/>
        <w:jc w:val="both"/>
        <w:rPr>
          <w:sz w:val="22"/>
          <w:szCs w:val="22"/>
        </w:rPr>
      </w:pPr>
      <w:r>
        <w:rPr>
          <w:sz w:val="22"/>
          <w:szCs w:val="22"/>
        </w:rPr>
        <w:lastRenderedPageBreak/>
        <w:t>In 2014, 87% of persons newly diagnosed with HIV were male; and 74% of newly diagnosed males reported a transmission category of male-to-male sexual contact. Among newly diagnosed females, 52% reported no identified risk/no reported risk (NIR/NRR)</w:t>
      </w:r>
      <w:r w:rsidRPr="003C3AD0">
        <w:rPr>
          <w:sz w:val="22"/>
          <w:szCs w:val="22"/>
        </w:rPr>
        <w:t>,</w:t>
      </w:r>
      <w:r>
        <w:rPr>
          <w:sz w:val="22"/>
          <w:szCs w:val="22"/>
        </w:rPr>
        <w:t xml:space="preserve"> while 36% reported a transmission category of heterosexual contact. In 2014, 88% of newly diagnosed persons resided in Clark County (Table 1). White, non-Hispanics represented 37% of newly diagnosed persons; Hispanics comprised 31%; and black, non-Hispanics represented 24%. In 2014, 34% of newly diagnos</w:t>
      </w:r>
      <w:r w:rsidR="00753BCD">
        <w:rPr>
          <w:sz w:val="22"/>
          <w:szCs w:val="22"/>
        </w:rPr>
        <w:t xml:space="preserve">ed persons were 25-34 years old; </w:t>
      </w:r>
      <w:r>
        <w:rPr>
          <w:sz w:val="22"/>
          <w:szCs w:val="22"/>
        </w:rPr>
        <w:t xml:space="preserve">and 23% were 13-24 years old. </w:t>
      </w:r>
    </w:p>
    <w:p w:rsidR="003C3AD0" w:rsidRPr="00362476" w:rsidRDefault="003C3AD0" w:rsidP="00DB09E7">
      <w:pPr>
        <w:spacing w:before="0" w:after="0"/>
        <w:rPr>
          <w:b/>
          <w:sz w:val="22"/>
        </w:rPr>
      </w:pPr>
      <w:bookmarkStart w:id="9" w:name="_Toc456247495"/>
      <w:bookmarkStart w:id="10" w:name="_Toc456157041"/>
      <w:r w:rsidRPr="00362476">
        <w:rPr>
          <w:b/>
          <w:sz w:val="22"/>
        </w:rPr>
        <w:t>Table 1. New HIV Diagnoses by Sex in Nevada, 2014</w:t>
      </w:r>
      <w:bookmarkEnd w:id="9"/>
      <w:bookmarkEnd w:id="10"/>
    </w:p>
    <w:tbl>
      <w:tblPr>
        <w:tblW w:w="0" w:type="auto"/>
        <w:tblLook w:val="04A0" w:firstRow="1" w:lastRow="0" w:firstColumn="1" w:lastColumn="0" w:noHBand="0" w:noVBand="1"/>
      </w:tblPr>
      <w:tblGrid>
        <w:gridCol w:w="3011"/>
        <w:gridCol w:w="596"/>
        <w:gridCol w:w="748"/>
        <w:gridCol w:w="805"/>
        <w:gridCol w:w="596"/>
        <w:gridCol w:w="748"/>
        <w:gridCol w:w="805"/>
        <w:gridCol w:w="488"/>
        <w:gridCol w:w="748"/>
        <w:gridCol w:w="805"/>
      </w:tblGrid>
      <w:tr w:rsidR="003C3AD0" w:rsidRPr="00E260BE" w:rsidTr="00AC3CFB">
        <w:tc>
          <w:tcPr>
            <w:tcW w:w="0" w:type="auto"/>
            <w:tcBorders>
              <w:top w:val="single" w:sz="4" w:space="0" w:color="auto"/>
              <w:left w:val="single" w:sz="4" w:space="0" w:color="auto"/>
              <w:bottom w:val="nil"/>
              <w:right w:val="single" w:sz="4" w:space="0" w:color="auto"/>
            </w:tcBorders>
            <w:shd w:val="clear" w:color="000000" w:fill="4F81BD"/>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gridSpan w:val="3"/>
            <w:tcBorders>
              <w:top w:val="single" w:sz="4" w:space="0" w:color="auto"/>
              <w:left w:val="nil"/>
              <w:bottom w:val="nil"/>
              <w:right w:val="single" w:sz="4" w:space="0" w:color="000000"/>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Total</w:t>
            </w:r>
          </w:p>
        </w:tc>
        <w:tc>
          <w:tcPr>
            <w:tcW w:w="0" w:type="auto"/>
            <w:gridSpan w:val="3"/>
            <w:tcBorders>
              <w:top w:val="single" w:sz="4" w:space="0" w:color="auto"/>
              <w:left w:val="nil"/>
              <w:bottom w:val="nil"/>
              <w:right w:val="single" w:sz="4" w:space="0" w:color="000000"/>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Male</w:t>
            </w:r>
          </w:p>
        </w:tc>
        <w:tc>
          <w:tcPr>
            <w:tcW w:w="0" w:type="auto"/>
            <w:gridSpan w:val="3"/>
            <w:tcBorders>
              <w:top w:val="single" w:sz="4" w:space="0" w:color="auto"/>
              <w:left w:val="nil"/>
              <w:bottom w:val="nil"/>
              <w:right w:val="single" w:sz="4" w:space="0" w:color="000000"/>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Female</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N</w:t>
            </w:r>
          </w:p>
        </w:tc>
        <w:tc>
          <w:tcPr>
            <w:tcW w:w="0" w:type="auto"/>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w:t>
            </w:r>
          </w:p>
        </w:tc>
        <w:tc>
          <w:tcPr>
            <w:tcW w:w="0" w:type="auto"/>
            <w:tcBorders>
              <w:top w:val="nil"/>
              <w:left w:val="nil"/>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xml:space="preserve"> Rate*</w:t>
            </w:r>
          </w:p>
        </w:tc>
        <w:tc>
          <w:tcPr>
            <w:tcW w:w="0" w:type="auto"/>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n</w:t>
            </w:r>
          </w:p>
        </w:tc>
        <w:tc>
          <w:tcPr>
            <w:tcW w:w="0" w:type="auto"/>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w:t>
            </w:r>
          </w:p>
        </w:tc>
        <w:tc>
          <w:tcPr>
            <w:tcW w:w="0" w:type="auto"/>
            <w:tcBorders>
              <w:top w:val="nil"/>
              <w:left w:val="nil"/>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xml:space="preserve"> Rate*</w:t>
            </w:r>
          </w:p>
        </w:tc>
        <w:tc>
          <w:tcPr>
            <w:tcW w:w="0" w:type="auto"/>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n</w:t>
            </w:r>
          </w:p>
        </w:tc>
        <w:tc>
          <w:tcPr>
            <w:tcW w:w="0" w:type="auto"/>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w:t>
            </w:r>
          </w:p>
        </w:tc>
        <w:tc>
          <w:tcPr>
            <w:tcW w:w="0" w:type="auto"/>
            <w:tcBorders>
              <w:top w:val="nil"/>
              <w:left w:val="nil"/>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xml:space="preserve"> Rate*</w:t>
            </w:r>
          </w:p>
        </w:tc>
      </w:tr>
      <w:tr w:rsidR="003C3AD0" w:rsidRPr="00E260BE" w:rsidTr="00AC3CFB">
        <w:tc>
          <w:tcPr>
            <w:tcW w:w="0" w:type="auto"/>
            <w:tcBorders>
              <w:top w:val="nil"/>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County of Residence</w:t>
            </w:r>
          </w:p>
        </w:tc>
        <w:tc>
          <w:tcPr>
            <w:tcW w:w="0" w:type="auto"/>
            <w:tcBorders>
              <w:top w:val="nil"/>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Clark County</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386</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88%</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18.7</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336</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88%</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32.3</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50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89%</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4.9</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Washoe County</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40</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9%</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9.2</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36</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9%</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16.4</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7%</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All Other Counties**</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12</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3.6</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Race/Ethnicity</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White, non-Hispanic</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161</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37%</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10.5</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143</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37%</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18.5</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18</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32%</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2.4</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Black, non-Hispanic</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104</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43.6</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80</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66.5</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24</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43%</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20.2</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Hispanic</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137</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31%</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17.3</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129</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31.9</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8</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Asian/Hawaiian/ Pacific Islander</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23</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5%</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9.2</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17</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14.6</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6</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American Indian/ Alaska Native</w:t>
            </w:r>
          </w:p>
        </w:tc>
        <w:tc>
          <w:tcPr>
            <w:tcW w:w="0" w:type="auto"/>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0.0</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Multi-race/Other</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NA</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Age at Diagnosis</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 </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&lt; 13</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0.0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13 to 24</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99</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23%</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23.8</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91</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42.4</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8</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25 to 34</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150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39.3</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130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34%</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66.8</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20</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36%</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10.7</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35 to 44</w:t>
            </w:r>
          </w:p>
        </w:tc>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82</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19%</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20.5</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72</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19%</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35.2</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10</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45 to 54</w:t>
            </w:r>
          </w:p>
        </w:tc>
        <w:tc>
          <w:tcPr>
            <w:tcW w:w="0" w:type="auto"/>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77</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20.0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63</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16%</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31.9</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14</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25%</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7.4</w:t>
            </w:r>
          </w:p>
        </w:tc>
      </w:tr>
      <w:tr w:rsidR="003C3AD0" w:rsidRPr="00E260BE" w:rsidTr="00AC3CFB">
        <w:tc>
          <w:tcPr>
            <w:tcW w:w="0" w:type="auto"/>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55 to 64</w:t>
            </w:r>
          </w:p>
        </w:tc>
        <w:tc>
          <w:tcPr>
            <w:tcW w:w="0" w:type="auto"/>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25</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6%</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7.4</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24</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6%</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14.4</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65 +</w:t>
            </w:r>
          </w:p>
        </w:tc>
        <w:tc>
          <w:tcPr>
            <w:tcW w:w="0" w:type="auto"/>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3</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1</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2%</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color w:val="000000"/>
              </w:rPr>
            </w:pPr>
            <w:r w:rsidRPr="00E260BE">
              <w:rPr>
                <w:rFonts w:eastAsia="Times New Roman"/>
                <w:color w:val="000000"/>
              </w:rPr>
              <w:t>~</w:t>
            </w:r>
          </w:p>
        </w:tc>
      </w:tr>
      <w:tr w:rsidR="003C3AD0" w:rsidRPr="00E260BE" w:rsidTr="00AC3CFB">
        <w:tc>
          <w:tcPr>
            <w:tcW w:w="0" w:type="auto"/>
            <w:tcBorders>
              <w:top w:val="single" w:sz="4" w:space="0" w:color="auto"/>
              <w:left w:val="single" w:sz="4" w:space="0" w:color="auto"/>
              <w:bottom w:val="single" w:sz="4" w:space="0" w:color="auto"/>
              <w:right w:val="nil"/>
            </w:tcBorders>
            <w:shd w:val="clear" w:color="000000" w:fill="D9D9D9"/>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Transmission Category</w:t>
            </w:r>
          </w:p>
        </w:tc>
        <w:tc>
          <w:tcPr>
            <w:tcW w:w="0" w:type="auto"/>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nil"/>
              <w:left w:val="nil"/>
              <w:bottom w:val="nil"/>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nil"/>
              <w:left w:val="nil"/>
              <w:bottom w:val="nil"/>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c>
          <w:tcPr>
            <w:tcW w:w="0" w:type="auto"/>
            <w:tcBorders>
              <w:top w:val="nil"/>
              <w:left w:val="nil"/>
              <w:bottom w:val="nil"/>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 </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FFFFFF"/>
            <w:vAlign w:val="center"/>
            <w:hideMark/>
          </w:tcPr>
          <w:p w:rsidR="003C3AD0" w:rsidRPr="00E260BE" w:rsidRDefault="003C3AD0" w:rsidP="00AC3CFB">
            <w:pPr>
              <w:spacing w:before="0" w:after="0" w:line="240" w:lineRule="auto"/>
              <w:rPr>
                <w:rFonts w:eastAsia="Times New Roman"/>
              </w:rPr>
            </w:pPr>
            <w:r w:rsidRPr="00E260BE">
              <w:rPr>
                <w:rFonts w:eastAsia="Times New Roman"/>
              </w:rPr>
              <w:t>MSM</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284</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65%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284</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74%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FFFFFF"/>
            <w:vAlign w:val="center"/>
            <w:hideMark/>
          </w:tcPr>
          <w:p w:rsidR="003C3AD0" w:rsidRPr="00E260BE" w:rsidRDefault="003C3AD0" w:rsidP="00AC3CFB">
            <w:pPr>
              <w:spacing w:before="0" w:after="0" w:line="240" w:lineRule="auto"/>
              <w:rPr>
                <w:rFonts w:eastAsia="Times New Roman"/>
              </w:rPr>
            </w:pPr>
            <w:r w:rsidRPr="00E260BE">
              <w:rPr>
                <w:rFonts w:eastAsia="Times New Roman"/>
              </w:rPr>
              <w:t>IDU</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18</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4%</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13</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3%</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5</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9%</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FFFFFF"/>
            <w:vAlign w:val="center"/>
            <w:hideMark/>
          </w:tcPr>
          <w:p w:rsidR="003C3AD0" w:rsidRPr="00E260BE" w:rsidRDefault="003C3AD0" w:rsidP="00AC3CFB">
            <w:pPr>
              <w:spacing w:before="0" w:after="0" w:line="240" w:lineRule="auto"/>
              <w:rPr>
                <w:rFonts w:eastAsia="Times New Roman"/>
              </w:rPr>
            </w:pPr>
            <w:r w:rsidRPr="00E260BE">
              <w:rPr>
                <w:rFonts w:eastAsia="Times New Roman"/>
              </w:rPr>
              <w:t>MSM+IDU</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26</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26</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7%</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FFFFFF"/>
            <w:vAlign w:val="center"/>
            <w:hideMark/>
          </w:tcPr>
          <w:p w:rsidR="003C3AD0" w:rsidRPr="00E260BE" w:rsidRDefault="003C3AD0" w:rsidP="00AC3CFB">
            <w:pPr>
              <w:spacing w:before="0" w:after="0" w:line="240" w:lineRule="auto"/>
              <w:rPr>
                <w:rFonts w:eastAsia="Times New Roman"/>
              </w:rPr>
            </w:pPr>
            <w:r w:rsidRPr="00E260BE">
              <w:rPr>
                <w:rFonts w:eastAsia="Times New Roman"/>
              </w:rPr>
              <w:t>Heterosexual contact</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32</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7%</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12</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3%</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36%</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FFFFFF"/>
            <w:vAlign w:val="center"/>
            <w:hideMark/>
          </w:tcPr>
          <w:p w:rsidR="003C3AD0" w:rsidRPr="00E260BE" w:rsidRDefault="003C3AD0" w:rsidP="00AC3CFB">
            <w:pPr>
              <w:spacing w:before="0" w:after="0" w:line="240" w:lineRule="auto"/>
              <w:rPr>
                <w:rFonts w:eastAsia="Times New Roman"/>
              </w:rPr>
            </w:pPr>
            <w:r w:rsidRPr="00E260BE">
              <w:rPr>
                <w:rFonts w:eastAsia="Times New Roman"/>
              </w:rPr>
              <w:t>Perinatal exposure</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FFFFFF"/>
            <w:vAlign w:val="center"/>
            <w:hideMark/>
          </w:tcPr>
          <w:p w:rsidR="003C3AD0" w:rsidRPr="00E260BE" w:rsidRDefault="003C3AD0" w:rsidP="00AC3CFB">
            <w:pPr>
              <w:spacing w:before="0" w:after="0" w:line="240" w:lineRule="auto"/>
              <w:rPr>
                <w:rFonts w:eastAsia="Times New Roman"/>
              </w:rPr>
            </w:pPr>
            <w:r w:rsidRPr="00E260BE">
              <w:rPr>
                <w:rFonts w:eastAsia="Times New Roman"/>
              </w:rPr>
              <w:t>Hemophilia/Blood Transfusion</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r>
      <w:tr w:rsidR="003C3AD0" w:rsidRPr="00E260BE" w:rsidTr="00AC3CFB">
        <w:tc>
          <w:tcPr>
            <w:tcW w:w="0" w:type="auto"/>
            <w:tcBorders>
              <w:top w:val="nil"/>
              <w:left w:val="single" w:sz="4" w:space="0" w:color="auto"/>
              <w:bottom w:val="single" w:sz="4" w:space="0" w:color="auto"/>
              <w:right w:val="single" w:sz="4" w:space="0" w:color="auto"/>
            </w:tcBorders>
            <w:shd w:val="clear" w:color="000000" w:fill="FFFFFF"/>
            <w:vAlign w:val="center"/>
            <w:hideMark/>
          </w:tcPr>
          <w:p w:rsidR="003C3AD0" w:rsidRPr="00E260BE" w:rsidRDefault="003C3AD0" w:rsidP="00AC3CFB">
            <w:pPr>
              <w:spacing w:before="0" w:after="0" w:line="240" w:lineRule="auto"/>
              <w:rPr>
                <w:rFonts w:eastAsia="Times New Roman"/>
              </w:rPr>
            </w:pPr>
            <w:r w:rsidRPr="00E260BE">
              <w:rPr>
                <w:rFonts w:eastAsia="Times New Roman"/>
              </w:rPr>
              <w:t>NIR/NRR</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76</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17%</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47</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12%</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c>
          <w:tcPr>
            <w:tcW w:w="0" w:type="auto"/>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29</w:t>
            </w:r>
          </w:p>
        </w:tc>
        <w:tc>
          <w:tcPr>
            <w:tcW w:w="0" w:type="auto"/>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52%</w:t>
            </w:r>
          </w:p>
        </w:tc>
        <w:tc>
          <w:tcPr>
            <w:tcW w:w="0" w:type="auto"/>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rPr>
                <w:rFonts w:eastAsia="Times New Roman"/>
              </w:rPr>
            </w:pPr>
            <w:r w:rsidRPr="00E260BE">
              <w:rPr>
                <w:rFonts w:eastAsia="Times New Roman"/>
              </w:rPr>
              <w:t>NA</w:t>
            </w:r>
          </w:p>
        </w:tc>
      </w:tr>
      <w:tr w:rsidR="003C3AD0" w:rsidRPr="00E260BE" w:rsidTr="00AC3CFB">
        <w:tc>
          <w:tcPr>
            <w:tcW w:w="0" w:type="auto"/>
            <w:tcBorders>
              <w:top w:val="nil"/>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Total</w:t>
            </w:r>
          </w:p>
        </w:tc>
        <w:tc>
          <w:tcPr>
            <w:tcW w:w="0" w:type="auto"/>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438</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100%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15.4</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382</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100%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26.7</w:t>
            </w:r>
          </w:p>
        </w:tc>
        <w:tc>
          <w:tcPr>
            <w:tcW w:w="0" w:type="auto"/>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56</w:t>
            </w:r>
          </w:p>
        </w:tc>
        <w:tc>
          <w:tcPr>
            <w:tcW w:w="0" w:type="auto"/>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100%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rPr>
                <w:rFonts w:eastAsia="Times New Roman"/>
                <w:b/>
                <w:bCs/>
              </w:rPr>
            </w:pPr>
            <w:r w:rsidRPr="00E260BE">
              <w:rPr>
                <w:rFonts w:eastAsia="Times New Roman"/>
                <w:b/>
                <w:bCs/>
              </w:rPr>
              <w:t>4.0</w:t>
            </w:r>
          </w:p>
        </w:tc>
      </w:tr>
      <w:tr w:rsidR="003C3AD0" w:rsidRPr="00E260BE" w:rsidTr="00AC3CFB">
        <w:tc>
          <w:tcPr>
            <w:tcW w:w="0" w:type="auto"/>
            <w:gridSpan w:val="10"/>
            <w:tcBorders>
              <w:top w:val="single" w:sz="4" w:space="0" w:color="auto"/>
              <w:left w:val="nil"/>
              <w:bottom w:val="nil"/>
              <w:right w:val="nil"/>
            </w:tcBorders>
            <w:shd w:val="clear" w:color="000000" w:fill="FFFFFF"/>
            <w:vAlign w:val="bottom"/>
            <w:hideMark/>
          </w:tcPr>
          <w:p w:rsidR="003C3AD0" w:rsidRPr="00E260BE" w:rsidRDefault="003C3AD0" w:rsidP="00AC3CFB">
            <w:pPr>
              <w:spacing w:before="0" w:after="0" w:line="240" w:lineRule="auto"/>
              <w:rPr>
                <w:rFonts w:eastAsia="Times New Roman"/>
                <w:i/>
                <w:iCs/>
                <w:sz w:val="16"/>
                <w:szCs w:val="16"/>
              </w:rPr>
            </w:pPr>
            <w:r w:rsidRPr="00E260BE">
              <w:rPr>
                <w:rFonts w:eastAsia="Times New Roman"/>
                <w:i/>
                <w:iCs/>
                <w:sz w:val="16"/>
                <w:szCs w:val="16"/>
              </w:rPr>
              <w:t xml:space="preserve">Source: Nevada State Health Division HIV/AIDS Reporting System (eHARS), (March 2016) </w:t>
            </w:r>
          </w:p>
        </w:tc>
      </w:tr>
      <w:tr w:rsidR="003C3AD0" w:rsidRPr="00E260BE" w:rsidTr="00AC3CFB">
        <w:tc>
          <w:tcPr>
            <w:tcW w:w="0" w:type="auto"/>
            <w:gridSpan w:val="10"/>
            <w:tcBorders>
              <w:top w:val="nil"/>
              <w:left w:val="nil"/>
              <w:bottom w:val="nil"/>
              <w:right w:val="nil"/>
            </w:tcBorders>
            <w:shd w:val="clear" w:color="000000" w:fill="FFFFFF"/>
            <w:noWrap/>
            <w:vAlign w:val="bottom"/>
            <w:hideMark/>
          </w:tcPr>
          <w:p w:rsidR="003C3AD0" w:rsidRPr="00E260BE" w:rsidRDefault="003C3AD0" w:rsidP="00AC3CFB">
            <w:pPr>
              <w:spacing w:before="0" w:after="0" w:line="240" w:lineRule="auto"/>
              <w:rPr>
                <w:rFonts w:eastAsia="Times New Roman"/>
                <w:i/>
                <w:iCs/>
                <w:color w:val="000000"/>
                <w:sz w:val="16"/>
                <w:szCs w:val="16"/>
              </w:rPr>
            </w:pPr>
            <w:r w:rsidRPr="00E260BE">
              <w:rPr>
                <w:rFonts w:eastAsia="Times New Roman"/>
                <w:i/>
                <w:iCs/>
                <w:color w:val="000000"/>
                <w:sz w:val="16"/>
                <w:szCs w:val="16"/>
              </w:rPr>
              <w:t>* Rates per 100,000 population were calculated using 2014 population projections from the Nevada State Demographer vintage 2015 data.</w:t>
            </w:r>
          </w:p>
        </w:tc>
      </w:tr>
      <w:tr w:rsidR="003C3AD0" w:rsidRPr="00E260BE" w:rsidTr="00AC3CFB">
        <w:tc>
          <w:tcPr>
            <w:tcW w:w="0" w:type="auto"/>
            <w:gridSpan w:val="10"/>
            <w:tcBorders>
              <w:top w:val="nil"/>
              <w:left w:val="nil"/>
              <w:bottom w:val="nil"/>
              <w:right w:val="nil"/>
            </w:tcBorders>
            <w:shd w:val="clear" w:color="000000" w:fill="FFFFFF"/>
            <w:noWrap/>
            <w:vAlign w:val="bottom"/>
            <w:hideMark/>
          </w:tcPr>
          <w:p w:rsidR="003C3AD0" w:rsidRPr="00E260BE" w:rsidRDefault="003C3AD0" w:rsidP="00AC3CFB">
            <w:pPr>
              <w:spacing w:before="0" w:after="0" w:line="240" w:lineRule="auto"/>
              <w:rPr>
                <w:rFonts w:eastAsia="Times New Roman"/>
                <w:i/>
                <w:iCs/>
                <w:color w:val="000000"/>
                <w:sz w:val="16"/>
                <w:szCs w:val="16"/>
              </w:rPr>
            </w:pPr>
            <w:r w:rsidRPr="00E260BE">
              <w:rPr>
                <w:rFonts w:eastAsia="Times New Roman"/>
                <w:i/>
                <w:iCs/>
                <w:color w:val="000000"/>
                <w:sz w:val="16"/>
                <w:szCs w:val="16"/>
              </w:rPr>
              <w:t>**All other counties include Carson City, Churchill, Douglas, Elko, Esmeralda, Eureka, Humboldt, Lander, Lincoln, Lyon, Mineral, Nye, Pershing, Storey, and White Pine counties.</w:t>
            </w:r>
          </w:p>
        </w:tc>
      </w:tr>
    </w:tbl>
    <w:p w:rsidR="003C3AD0" w:rsidRDefault="003C3AD0" w:rsidP="00DB09E7">
      <w:pPr>
        <w:widowControl w:val="0"/>
        <w:jc w:val="both"/>
        <w:rPr>
          <w:sz w:val="22"/>
          <w:szCs w:val="22"/>
        </w:rPr>
      </w:pPr>
      <w:r>
        <w:rPr>
          <w:color w:val="221E1F"/>
          <w:sz w:val="22"/>
          <w:szCs w:val="22"/>
        </w:rPr>
        <w:t> </w:t>
      </w:r>
      <w:r w:rsidRPr="00564B2F">
        <w:rPr>
          <w:color w:val="221E1F"/>
          <w:sz w:val="22"/>
          <w:szCs w:val="22"/>
        </w:rPr>
        <w:t xml:space="preserve">In 2014, there were 4,689 </w:t>
      </w:r>
      <w:r w:rsidR="00753BCD">
        <w:rPr>
          <w:color w:val="221E1F"/>
          <w:sz w:val="22"/>
          <w:szCs w:val="22"/>
        </w:rPr>
        <w:t>PLWH</w:t>
      </w:r>
      <w:r w:rsidRPr="00564B2F">
        <w:rPr>
          <w:color w:val="221E1F"/>
          <w:sz w:val="22"/>
          <w:szCs w:val="22"/>
        </w:rPr>
        <w:t xml:space="preserve"> (not HIV stage 3 (AIDS))</w:t>
      </w:r>
      <w:r>
        <w:rPr>
          <w:color w:val="221E1F"/>
          <w:sz w:val="22"/>
          <w:szCs w:val="22"/>
        </w:rPr>
        <w:t xml:space="preserve"> and</w:t>
      </w:r>
      <w:r w:rsidRPr="00564B2F">
        <w:rPr>
          <w:color w:val="221E1F"/>
          <w:sz w:val="22"/>
          <w:szCs w:val="22"/>
        </w:rPr>
        <w:t xml:space="preserve"> 5,044 persons living with HIV stage 3</w:t>
      </w:r>
      <w:r>
        <w:rPr>
          <w:color w:val="221E1F"/>
          <w:sz w:val="22"/>
          <w:szCs w:val="22"/>
        </w:rPr>
        <w:t xml:space="preserve"> for</w:t>
      </w:r>
      <w:r w:rsidRPr="00564B2F">
        <w:rPr>
          <w:color w:val="221E1F"/>
          <w:sz w:val="22"/>
          <w:szCs w:val="22"/>
        </w:rPr>
        <w:t xml:space="preserve"> a total of 9,733 </w:t>
      </w:r>
      <w:r w:rsidR="00753BCD">
        <w:rPr>
          <w:color w:val="221E1F"/>
          <w:sz w:val="22"/>
          <w:szCs w:val="22"/>
        </w:rPr>
        <w:t>PLWH.</w:t>
      </w:r>
      <w:r w:rsidRPr="00564B2F">
        <w:rPr>
          <w:color w:val="221E1F"/>
          <w:sz w:val="22"/>
          <w:szCs w:val="22"/>
        </w:rPr>
        <w:t xml:space="preserve"> Of the</w:t>
      </w:r>
      <w:r>
        <w:rPr>
          <w:color w:val="221E1F"/>
          <w:sz w:val="22"/>
          <w:szCs w:val="22"/>
        </w:rPr>
        <w:t>se</w:t>
      </w:r>
      <w:r w:rsidRPr="00564B2F">
        <w:rPr>
          <w:color w:val="221E1F"/>
          <w:sz w:val="22"/>
          <w:szCs w:val="22"/>
        </w:rPr>
        <w:t xml:space="preserve"> 9,733 persons, 35% were diagnosed with HIV infection </w:t>
      </w:r>
      <w:r>
        <w:rPr>
          <w:color w:val="221E1F"/>
          <w:sz w:val="22"/>
          <w:szCs w:val="22"/>
        </w:rPr>
        <w:t xml:space="preserve">before coming </w:t>
      </w:r>
      <w:r w:rsidR="00FF35F5">
        <w:rPr>
          <w:color w:val="221E1F"/>
          <w:sz w:val="22"/>
          <w:szCs w:val="22"/>
        </w:rPr>
        <w:t xml:space="preserve">to </w:t>
      </w:r>
      <w:r w:rsidR="00FF35F5" w:rsidRPr="00564B2F">
        <w:rPr>
          <w:color w:val="221E1F"/>
          <w:sz w:val="22"/>
          <w:szCs w:val="22"/>
        </w:rPr>
        <w:t>Nevada</w:t>
      </w:r>
      <w:r w:rsidR="00753BCD">
        <w:rPr>
          <w:color w:val="221E1F"/>
          <w:sz w:val="22"/>
          <w:szCs w:val="22"/>
        </w:rPr>
        <w:t>;</w:t>
      </w:r>
      <w:r>
        <w:rPr>
          <w:color w:val="221E1F"/>
          <w:sz w:val="22"/>
          <w:szCs w:val="22"/>
        </w:rPr>
        <w:t xml:space="preserve"> and </w:t>
      </w:r>
      <w:r>
        <w:rPr>
          <w:sz w:val="22"/>
          <w:szCs w:val="22"/>
        </w:rPr>
        <w:t xml:space="preserve">84% were male. The highest proportion of PLWH (86%) resided in Clark County (Table 2). Nearly half of PLWH were white (47%), while 24% were black, non-Hispanics, and 23% were Hispanics. For males living with HIV, 76% reported male-to-male sexual contact as the transmissions category. Among </w:t>
      </w:r>
      <w:r>
        <w:rPr>
          <w:sz w:val="22"/>
          <w:szCs w:val="22"/>
        </w:rPr>
        <w:lastRenderedPageBreak/>
        <w:t xml:space="preserve">females living with HIV, 60% reported heterosexual contact as the transmission category. Persons between the ages of 45 and 54 years represented 24% of PLWH, while 22% were 35 to 44 years old. </w:t>
      </w:r>
    </w:p>
    <w:p w:rsidR="003C3AD0" w:rsidRPr="00362476" w:rsidRDefault="003C3AD0" w:rsidP="00DB09E7">
      <w:pPr>
        <w:widowControl w:val="0"/>
        <w:tabs>
          <w:tab w:val="left" w:pos="940"/>
          <w:tab w:val="left" w:pos="1440"/>
        </w:tabs>
        <w:autoSpaceDE w:val="0"/>
        <w:autoSpaceDN w:val="0"/>
        <w:adjustRightInd w:val="0"/>
        <w:spacing w:before="0" w:after="0"/>
        <w:jc w:val="both"/>
        <w:rPr>
          <w:b/>
          <w:sz w:val="24"/>
          <w:szCs w:val="22"/>
        </w:rPr>
      </w:pPr>
      <w:r w:rsidRPr="00362476">
        <w:rPr>
          <w:b/>
          <w:sz w:val="22"/>
        </w:rPr>
        <w:t>Table 2. Persons Living with HIV by Sex in Nevada, 2014</w:t>
      </w:r>
    </w:p>
    <w:tbl>
      <w:tblPr>
        <w:tblW w:w="9365" w:type="dxa"/>
        <w:tblInd w:w="-40" w:type="dxa"/>
        <w:tblLayout w:type="fixed"/>
        <w:tblLook w:val="04A0" w:firstRow="1" w:lastRow="0" w:firstColumn="1" w:lastColumn="0" w:noHBand="0" w:noVBand="1"/>
      </w:tblPr>
      <w:tblGrid>
        <w:gridCol w:w="2735"/>
        <w:gridCol w:w="710"/>
        <w:gridCol w:w="715"/>
        <w:gridCol w:w="849"/>
        <w:gridCol w:w="766"/>
        <w:gridCol w:w="715"/>
        <w:gridCol w:w="832"/>
        <w:gridCol w:w="676"/>
        <w:gridCol w:w="669"/>
        <w:gridCol w:w="698"/>
      </w:tblGrid>
      <w:tr w:rsidR="003C3AD0" w:rsidRPr="0094368D" w:rsidTr="002A582E">
        <w:tc>
          <w:tcPr>
            <w:tcW w:w="2735" w:type="dxa"/>
            <w:tcBorders>
              <w:top w:val="single" w:sz="4" w:space="0" w:color="auto"/>
              <w:left w:val="single" w:sz="4" w:space="0" w:color="auto"/>
              <w:bottom w:val="nil"/>
              <w:right w:val="single" w:sz="4" w:space="0" w:color="auto"/>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color w:val="FFFFFF"/>
              </w:rPr>
            </w:pPr>
            <w:r w:rsidRPr="00E260BE">
              <w:rPr>
                <w:rFonts w:ascii="Calibri" w:eastAsia="Times New Roman" w:hAnsi="Calibri" w:cs="Times New Roman"/>
                <w:color w:val="FFFFFF"/>
              </w:rPr>
              <w:t> </w:t>
            </w:r>
          </w:p>
        </w:tc>
        <w:tc>
          <w:tcPr>
            <w:tcW w:w="2274" w:type="dxa"/>
            <w:gridSpan w:val="3"/>
            <w:tcBorders>
              <w:top w:val="single" w:sz="4" w:space="0" w:color="auto"/>
              <w:left w:val="nil"/>
              <w:bottom w:val="nil"/>
              <w:right w:val="single" w:sz="4" w:space="0" w:color="000000"/>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Total</w:t>
            </w:r>
          </w:p>
        </w:tc>
        <w:tc>
          <w:tcPr>
            <w:tcW w:w="2313" w:type="dxa"/>
            <w:gridSpan w:val="3"/>
            <w:tcBorders>
              <w:top w:val="single" w:sz="4" w:space="0" w:color="auto"/>
              <w:left w:val="nil"/>
              <w:bottom w:val="nil"/>
              <w:right w:val="single" w:sz="4" w:space="0" w:color="000000"/>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Male</w:t>
            </w:r>
          </w:p>
        </w:tc>
        <w:tc>
          <w:tcPr>
            <w:tcW w:w="2043" w:type="dxa"/>
            <w:gridSpan w:val="3"/>
            <w:tcBorders>
              <w:top w:val="single" w:sz="4" w:space="0" w:color="auto"/>
              <w:left w:val="nil"/>
              <w:bottom w:val="nil"/>
              <w:right w:val="single" w:sz="4" w:space="0" w:color="000000"/>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Female</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jc w:val="center"/>
              <w:rPr>
                <w:rFonts w:ascii="Calibri" w:eastAsia="Times New Roman" w:hAnsi="Calibri" w:cs="Times New Roman"/>
                <w:color w:val="FFFFFF"/>
              </w:rPr>
            </w:pPr>
            <w:r w:rsidRPr="00E260BE">
              <w:rPr>
                <w:rFonts w:ascii="Calibri" w:eastAsia="Times New Roman" w:hAnsi="Calibri" w:cs="Times New Roman"/>
                <w:color w:val="FFFFFF"/>
              </w:rPr>
              <w:t> </w:t>
            </w:r>
          </w:p>
        </w:tc>
        <w:tc>
          <w:tcPr>
            <w:tcW w:w="710" w:type="dxa"/>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N</w:t>
            </w:r>
          </w:p>
        </w:tc>
        <w:tc>
          <w:tcPr>
            <w:tcW w:w="715" w:type="dxa"/>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w:t>
            </w:r>
          </w:p>
        </w:tc>
        <w:tc>
          <w:tcPr>
            <w:tcW w:w="849" w:type="dxa"/>
            <w:tcBorders>
              <w:top w:val="nil"/>
              <w:left w:val="nil"/>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 xml:space="preserve"> Rate*</w:t>
            </w:r>
          </w:p>
        </w:tc>
        <w:tc>
          <w:tcPr>
            <w:tcW w:w="766" w:type="dxa"/>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n</w:t>
            </w:r>
          </w:p>
        </w:tc>
        <w:tc>
          <w:tcPr>
            <w:tcW w:w="715" w:type="dxa"/>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w:t>
            </w:r>
          </w:p>
        </w:tc>
        <w:tc>
          <w:tcPr>
            <w:tcW w:w="832" w:type="dxa"/>
            <w:tcBorders>
              <w:top w:val="nil"/>
              <w:left w:val="nil"/>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 xml:space="preserve"> Rate*</w:t>
            </w:r>
          </w:p>
        </w:tc>
        <w:tc>
          <w:tcPr>
            <w:tcW w:w="676" w:type="dxa"/>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n</w:t>
            </w:r>
          </w:p>
        </w:tc>
        <w:tc>
          <w:tcPr>
            <w:tcW w:w="669" w:type="dxa"/>
            <w:tcBorders>
              <w:top w:val="nil"/>
              <w:left w:val="nil"/>
              <w:bottom w:val="single" w:sz="4" w:space="0" w:color="auto"/>
              <w:right w:val="nil"/>
            </w:tcBorders>
            <w:shd w:val="clear" w:color="000000" w:fill="4F81BD"/>
            <w:noWrap/>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sidRPr="00E260BE">
              <w:rPr>
                <w:rFonts w:ascii="Calibri" w:eastAsia="Times New Roman" w:hAnsi="Calibri" w:cs="Times New Roman"/>
                <w:b/>
                <w:bCs/>
                <w:color w:val="FFFFFF"/>
              </w:rPr>
              <w:t>%</w:t>
            </w:r>
          </w:p>
        </w:tc>
        <w:tc>
          <w:tcPr>
            <w:tcW w:w="698" w:type="dxa"/>
            <w:tcBorders>
              <w:top w:val="nil"/>
              <w:left w:val="nil"/>
              <w:bottom w:val="single" w:sz="4" w:space="0" w:color="auto"/>
              <w:right w:val="single" w:sz="4" w:space="0" w:color="auto"/>
            </w:tcBorders>
            <w:shd w:val="clear" w:color="000000" w:fill="4F81BD"/>
            <w:vAlign w:val="center"/>
            <w:hideMark/>
          </w:tcPr>
          <w:p w:rsidR="003C3AD0" w:rsidRPr="00E260BE" w:rsidRDefault="003C3AD0" w:rsidP="00AC3CFB">
            <w:pPr>
              <w:spacing w:before="0"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R</w:t>
            </w:r>
            <w:r w:rsidRPr="00E260BE">
              <w:rPr>
                <w:rFonts w:ascii="Calibri" w:eastAsia="Times New Roman" w:hAnsi="Calibri" w:cs="Times New Roman"/>
                <w:b/>
                <w:bCs/>
                <w:color w:val="FFFFFF"/>
              </w:rPr>
              <w:t>ate</w:t>
            </w:r>
            <w:r>
              <w:rPr>
                <w:rFonts w:ascii="Calibri" w:eastAsia="Times New Roman" w:hAnsi="Calibri" w:cs="Times New Roman"/>
                <w:b/>
                <w:bCs/>
                <w:color w:val="FFFFFF"/>
              </w:rPr>
              <w:t>*</w:t>
            </w:r>
          </w:p>
        </w:tc>
      </w:tr>
      <w:tr w:rsidR="003C3AD0" w:rsidRPr="0094368D" w:rsidTr="002A582E">
        <w:tc>
          <w:tcPr>
            <w:tcW w:w="2735" w:type="dxa"/>
            <w:tcBorders>
              <w:top w:val="nil"/>
              <w:left w:val="single" w:sz="4" w:space="0" w:color="auto"/>
              <w:bottom w:val="single" w:sz="4" w:space="0" w:color="auto"/>
              <w:right w:val="nil"/>
            </w:tcBorders>
            <w:shd w:val="clear" w:color="000000" w:fill="D9D9D9"/>
            <w:noWrap/>
            <w:vAlign w:val="bottom"/>
            <w:hideMark/>
          </w:tcPr>
          <w:p w:rsidR="003C3AD0" w:rsidRPr="00E260BE" w:rsidRDefault="003C3AD0" w:rsidP="00AC3CFB">
            <w:pPr>
              <w:spacing w:before="0" w:after="0" w:line="240" w:lineRule="auto"/>
              <w:rPr>
                <w:rFonts w:ascii="Calibri" w:eastAsia="Times New Roman" w:hAnsi="Calibri" w:cs="Times New Roman"/>
                <w:b/>
                <w:bCs/>
              </w:rPr>
            </w:pPr>
            <w:r w:rsidRPr="00E260BE">
              <w:rPr>
                <w:rFonts w:ascii="Calibri" w:eastAsia="Times New Roman" w:hAnsi="Calibri" w:cs="Times New Roman"/>
                <w:b/>
                <w:bCs/>
              </w:rPr>
              <w:t>County of Residence</w:t>
            </w:r>
          </w:p>
        </w:tc>
        <w:tc>
          <w:tcPr>
            <w:tcW w:w="710" w:type="dxa"/>
            <w:tcBorders>
              <w:top w:val="nil"/>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715"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849" w:type="dxa"/>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766"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715"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832"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676" w:type="dxa"/>
            <w:tcBorders>
              <w:top w:val="nil"/>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669"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c>
          <w:tcPr>
            <w:tcW w:w="698" w:type="dxa"/>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center"/>
              <w:rPr>
                <w:rFonts w:ascii="Calibri" w:eastAsia="Times New Roman" w:hAnsi="Calibri" w:cs="Times New Roman"/>
                <w:b/>
                <w:bCs/>
              </w:rPr>
            </w:pPr>
            <w:r w:rsidRPr="00E260BE">
              <w:rPr>
                <w:rFonts w:ascii="Calibri" w:eastAsia="Times New Roman" w:hAnsi="Calibri" w:cs="Times New Roman"/>
                <w:b/>
                <w:bCs/>
              </w:rPr>
              <w:t> </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Clark County</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8,373</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86%</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404.6</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7,056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86%</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678.5</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1,317</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86%</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127.9</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Washoe County</w:t>
            </w:r>
          </w:p>
        </w:tc>
        <w:tc>
          <w:tcPr>
            <w:tcW w:w="710" w:type="dxa"/>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946</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10%</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216.6</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806 </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366.2</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140</w:t>
            </w:r>
          </w:p>
        </w:tc>
        <w:tc>
          <w:tcPr>
            <w:tcW w:w="669"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9%</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64.6</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All Other Counties**</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413</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122.5</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ascii="Calibri" w:eastAsia="Times New Roman" w:hAnsi="Calibri" w:cs="Times New Roman"/>
                <w:color w:val="000000"/>
              </w:rPr>
            </w:pPr>
            <w:r>
              <w:rPr>
                <w:rFonts w:ascii="Calibri" w:eastAsia="Times New Roman" w:hAnsi="Calibri" w:cs="Times New Roman"/>
                <w:color w:val="000000"/>
              </w:rPr>
              <w:t xml:space="preserve">     3</w:t>
            </w:r>
            <w:r w:rsidRPr="00E260BE">
              <w:rPr>
                <w:rFonts w:ascii="Calibri" w:eastAsia="Times New Roman" w:hAnsi="Calibri" w:cs="Times New Roman"/>
                <w:color w:val="000000"/>
              </w:rPr>
              <w:t xml:space="preserve">34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193.8</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79</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48.0</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D9D9D9"/>
            <w:noWrap/>
            <w:vAlign w:val="bottom"/>
            <w:hideMark/>
          </w:tcPr>
          <w:p w:rsidR="003C3AD0" w:rsidRPr="00E260BE" w:rsidRDefault="003C3AD0" w:rsidP="00AC3CFB">
            <w:pPr>
              <w:spacing w:before="0" w:after="0" w:line="240" w:lineRule="auto"/>
              <w:rPr>
                <w:rFonts w:ascii="Calibri" w:eastAsia="Times New Roman" w:hAnsi="Calibri" w:cs="Times New Roman"/>
                <w:b/>
                <w:bCs/>
              </w:rPr>
            </w:pPr>
            <w:r w:rsidRPr="00E260BE">
              <w:rPr>
                <w:rFonts w:ascii="Calibri" w:eastAsia="Times New Roman" w:hAnsi="Calibri" w:cs="Times New Roman"/>
                <w:b/>
                <w:bCs/>
              </w:rPr>
              <w:t>Race/Ethnicity</w:t>
            </w:r>
          </w:p>
        </w:tc>
        <w:tc>
          <w:tcPr>
            <w:tcW w:w="710" w:type="dxa"/>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715"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849" w:type="dxa"/>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766"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715"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832" w:type="dxa"/>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676"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669"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698" w:type="dxa"/>
            <w:tcBorders>
              <w:top w:val="nil"/>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White, non-Hispanic</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4,592</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47%</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300.4</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 xml:space="preserve">  4,059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50%</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524.2</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533</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35%</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70.7</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Black, non-Hispanic</w:t>
            </w:r>
          </w:p>
        </w:tc>
        <w:tc>
          <w:tcPr>
            <w:tcW w:w="710" w:type="dxa"/>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2,411</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25%</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1,009.7</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1,725 </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21%</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1,434.9</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686</w:t>
            </w:r>
          </w:p>
        </w:tc>
        <w:tc>
          <w:tcPr>
            <w:tcW w:w="669"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45%</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578.6</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Hispanic</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2,195</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23%</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277.0</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 xml:space="preserve">  1,953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24%</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482.2</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242</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16%</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62.5</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Pr>
                <w:rFonts w:ascii="Calibri" w:eastAsia="Times New Roman" w:hAnsi="Calibri" w:cs="Times New Roman"/>
                <w:color w:val="000000"/>
              </w:rPr>
              <w:t>Asian/Hawaiian/</w:t>
            </w:r>
            <w:r w:rsidRPr="00E260BE">
              <w:rPr>
                <w:rFonts w:ascii="Calibri" w:eastAsia="Times New Roman" w:hAnsi="Calibri" w:cs="Times New Roman"/>
                <w:color w:val="000000"/>
              </w:rPr>
              <w:t>Pacific Islander</w:t>
            </w:r>
          </w:p>
        </w:tc>
        <w:tc>
          <w:tcPr>
            <w:tcW w:w="710" w:type="dxa"/>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330</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131.5</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 xml:space="preserve">    285 </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244.3</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45</w:t>
            </w:r>
          </w:p>
        </w:tc>
        <w:tc>
          <w:tcPr>
            <w:tcW w:w="669"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33.5</w:t>
            </w:r>
          </w:p>
        </w:tc>
      </w:tr>
      <w:tr w:rsidR="003C3AD0" w:rsidRPr="0094368D" w:rsidTr="002A582E">
        <w:tc>
          <w:tcPr>
            <w:tcW w:w="2735" w:type="dxa"/>
            <w:tcBorders>
              <w:top w:val="nil"/>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American Indian/Alaska Native</w:t>
            </w:r>
          </w:p>
        </w:tc>
        <w:tc>
          <w:tcPr>
            <w:tcW w:w="710" w:type="dxa"/>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78</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240.6</w:t>
            </w:r>
          </w:p>
        </w:tc>
        <w:tc>
          <w:tcPr>
            <w:tcW w:w="76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60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369.2</w:t>
            </w:r>
          </w:p>
        </w:tc>
        <w:tc>
          <w:tcPr>
            <w:tcW w:w="67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18</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111.3</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Multi-race/Other</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127</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w:t>
            </w:r>
          </w:p>
        </w:tc>
        <w:tc>
          <w:tcPr>
            <w:tcW w:w="849"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NA</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115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w:t>
            </w:r>
          </w:p>
        </w:tc>
        <w:tc>
          <w:tcPr>
            <w:tcW w:w="832"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NA</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12</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w:t>
            </w:r>
          </w:p>
        </w:tc>
        <w:tc>
          <w:tcPr>
            <w:tcW w:w="698"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NA</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D9D9D9"/>
            <w:noWrap/>
            <w:vAlign w:val="bottom"/>
            <w:hideMark/>
          </w:tcPr>
          <w:p w:rsidR="003C3AD0" w:rsidRPr="00E260BE" w:rsidRDefault="003C3AD0" w:rsidP="00AC3CFB">
            <w:pPr>
              <w:spacing w:before="0" w:after="0" w:line="240" w:lineRule="auto"/>
              <w:rPr>
                <w:rFonts w:ascii="Calibri" w:eastAsia="Times New Roman" w:hAnsi="Calibri" w:cs="Times New Roman"/>
                <w:b/>
                <w:bCs/>
              </w:rPr>
            </w:pPr>
            <w:r w:rsidRPr="00E260BE">
              <w:rPr>
                <w:rFonts w:ascii="Calibri" w:eastAsia="Times New Roman" w:hAnsi="Calibri" w:cs="Times New Roman"/>
                <w:b/>
                <w:bCs/>
              </w:rPr>
              <w:t>Age at Diagnosis</w:t>
            </w:r>
          </w:p>
        </w:tc>
        <w:tc>
          <w:tcPr>
            <w:tcW w:w="710" w:type="dxa"/>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715"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849" w:type="dxa"/>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766"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715"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832" w:type="dxa"/>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676"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669"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c>
          <w:tcPr>
            <w:tcW w:w="698" w:type="dxa"/>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&lt; 13</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13</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0%</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2.4</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5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0%</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13 to 24</w:t>
            </w:r>
          </w:p>
        </w:tc>
        <w:tc>
          <w:tcPr>
            <w:tcW w:w="710" w:type="dxa"/>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355</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85.2</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300 </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139.6</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55</w:t>
            </w:r>
          </w:p>
        </w:tc>
        <w:tc>
          <w:tcPr>
            <w:tcW w:w="669"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27.3</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25 to 34</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1,552</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16%</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406.7</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ascii="Calibri" w:eastAsia="Times New Roman" w:hAnsi="Calibri" w:cs="Times New Roman"/>
                <w:color w:val="000000"/>
              </w:rPr>
            </w:pPr>
            <w:r>
              <w:rPr>
                <w:rFonts w:ascii="Calibri" w:eastAsia="Times New Roman" w:hAnsi="Calibri" w:cs="Times New Roman"/>
                <w:color w:val="000000"/>
              </w:rPr>
              <w:t xml:space="preserve">  1</w:t>
            </w:r>
            <w:r w:rsidRPr="00E260BE">
              <w:rPr>
                <w:rFonts w:ascii="Calibri" w:eastAsia="Times New Roman" w:hAnsi="Calibri" w:cs="Times New Roman"/>
                <w:color w:val="000000"/>
              </w:rPr>
              <w:t xml:space="preserve">,330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16%</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683.5</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222</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14%</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118.7</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35 to 44</w:t>
            </w:r>
          </w:p>
        </w:tc>
        <w:tc>
          <w:tcPr>
            <w:tcW w:w="710" w:type="dxa"/>
            <w:tcBorders>
              <w:top w:val="single" w:sz="4" w:space="0" w:color="auto"/>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2,157</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22%</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539.9</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1,773 </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867.5</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384</w:t>
            </w:r>
          </w:p>
        </w:tc>
        <w:tc>
          <w:tcPr>
            <w:tcW w:w="669"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25%</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196.8</w:t>
            </w:r>
          </w:p>
        </w:tc>
      </w:tr>
      <w:tr w:rsidR="003C3AD0" w:rsidRPr="0094368D" w:rsidTr="002A582E">
        <w:tc>
          <w:tcPr>
            <w:tcW w:w="2735" w:type="dxa"/>
            <w:tcBorders>
              <w:top w:val="nil"/>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45 to 54</w:t>
            </w:r>
          </w:p>
        </w:tc>
        <w:tc>
          <w:tcPr>
            <w:tcW w:w="710" w:type="dxa"/>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3,340</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34%</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865.7</w:t>
            </w:r>
          </w:p>
        </w:tc>
        <w:tc>
          <w:tcPr>
            <w:tcW w:w="76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2,843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35%</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1,440.2</w:t>
            </w:r>
          </w:p>
        </w:tc>
        <w:tc>
          <w:tcPr>
            <w:tcW w:w="67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497</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32%</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263.8</w:t>
            </w:r>
          </w:p>
        </w:tc>
      </w:tr>
      <w:tr w:rsidR="003C3AD0" w:rsidRPr="0094368D" w:rsidTr="002A582E">
        <w:tc>
          <w:tcPr>
            <w:tcW w:w="2735" w:type="dxa"/>
            <w:tcBorders>
              <w:top w:val="nil"/>
              <w:left w:val="single" w:sz="4" w:space="0" w:color="auto"/>
              <w:bottom w:val="single" w:sz="4" w:space="0" w:color="auto"/>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55 to 64</w:t>
            </w:r>
          </w:p>
        </w:tc>
        <w:tc>
          <w:tcPr>
            <w:tcW w:w="710" w:type="dxa"/>
            <w:tcBorders>
              <w:top w:val="nil"/>
              <w:left w:val="single" w:sz="4" w:space="0" w:color="auto"/>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1,728</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18%</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511.1</w:t>
            </w:r>
          </w:p>
        </w:tc>
        <w:tc>
          <w:tcPr>
            <w:tcW w:w="76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1,455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18%</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874.2</w:t>
            </w:r>
          </w:p>
        </w:tc>
        <w:tc>
          <w:tcPr>
            <w:tcW w:w="67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273</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18%</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159.1</w:t>
            </w:r>
          </w:p>
        </w:tc>
      </w:tr>
      <w:tr w:rsidR="003C3AD0" w:rsidRPr="0094368D" w:rsidTr="002A582E">
        <w:tc>
          <w:tcPr>
            <w:tcW w:w="2735" w:type="dxa"/>
            <w:tcBorders>
              <w:top w:val="nil"/>
              <w:left w:val="single" w:sz="4" w:space="0" w:color="auto"/>
              <w:bottom w:val="nil"/>
              <w:right w:val="nil"/>
            </w:tcBorders>
            <w:shd w:val="clear" w:color="000000" w:fill="FFFFFF"/>
            <w:noWrap/>
            <w:vAlign w:val="bottom"/>
            <w:hideMark/>
          </w:tcPr>
          <w:p w:rsidR="003C3AD0" w:rsidRPr="00E260BE" w:rsidRDefault="003C3AD0" w:rsidP="00AC3CFB">
            <w:pPr>
              <w:spacing w:before="0" w:after="0" w:line="240" w:lineRule="auto"/>
              <w:rPr>
                <w:rFonts w:ascii="Calibri" w:eastAsia="Times New Roman" w:hAnsi="Calibri" w:cs="Times New Roman"/>
                <w:color w:val="000000"/>
              </w:rPr>
            </w:pPr>
            <w:r w:rsidRPr="00E260BE">
              <w:rPr>
                <w:rFonts w:ascii="Calibri" w:eastAsia="Times New Roman" w:hAnsi="Calibri" w:cs="Times New Roman"/>
                <w:color w:val="000000"/>
              </w:rPr>
              <w:t>65 +</w:t>
            </w:r>
          </w:p>
        </w:tc>
        <w:tc>
          <w:tcPr>
            <w:tcW w:w="710" w:type="dxa"/>
            <w:tcBorders>
              <w:top w:val="nil"/>
              <w:left w:val="single" w:sz="4" w:space="0" w:color="auto"/>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531</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137.2</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 xml:space="preserve">     442 </w:t>
            </w:r>
          </w:p>
        </w:tc>
        <w:tc>
          <w:tcPr>
            <w:tcW w:w="715"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5%</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245.1</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89</w:t>
            </w:r>
          </w:p>
        </w:tc>
        <w:tc>
          <w:tcPr>
            <w:tcW w:w="669"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6%</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color w:val="000000"/>
              </w:rPr>
            </w:pPr>
            <w:r w:rsidRPr="00E260BE">
              <w:rPr>
                <w:rFonts w:ascii="Calibri" w:eastAsia="Times New Roman" w:hAnsi="Calibri" w:cs="Times New Roman"/>
                <w:color w:val="000000"/>
              </w:rPr>
              <w:t>43.1</w:t>
            </w:r>
          </w:p>
        </w:tc>
      </w:tr>
      <w:tr w:rsidR="003C3AD0" w:rsidRPr="0094368D" w:rsidTr="002A582E">
        <w:tc>
          <w:tcPr>
            <w:tcW w:w="2735" w:type="dxa"/>
            <w:tcBorders>
              <w:top w:val="single" w:sz="4" w:space="0" w:color="auto"/>
              <w:left w:val="single" w:sz="4" w:space="0" w:color="auto"/>
              <w:bottom w:val="single" w:sz="4" w:space="0" w:color="auto"/>
              <w:right w:val="nil"/>
            </w:tcBorders>
            <w:shd w:val="clear" w:color="000000" w:fill="D9D9D9"/>
            <w:hideMark/>
          </w:tcPr>
          <w:p w:rsidR="003C3AD0" w:rsidRPr="00E260BE" w:rsidRDefault="003C3AD0" w:rsidP="00AC3CFB">
            <w:pPr>
              <w:spacing w:before="0" w:after="0" w:line="240" w:lineRule="auto"/>
              <w:rPr>
                <w:rFonts w:ascii="Calibri" w:eastAsia="Times New Roman" w:hAnsi="Calibri" w:cs="Times New Roman"/>
                <w:b/>
                <w:bCs/>
              </w:rPr>
            </w:pPr>
            <w:r w:rsidRPr="00E260BE">
              <w:rPr>
                <w:rFonts w:ascii="Calibri" w:eastAsia="Times New Roman" w:hAnsi="Calibri" w:cs="Times New Roman"/>
                <w:b/>
                <w:bCs/>
              </w:rPr>
              <w:t>Transmission Category</w:t>
            </w:r>
          </w:p>
        </w:tc>
        <w:tc>
          <w:tcPr>
            <w:tcW w:w="710" w:type="dxa"/>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715" w:type="dxa"/>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849" w:type="dxa"/>
            <w:tcBorders>
              <w:top w:val="nil"/>
              <w:left w:val="nil"/>
              <w:bottom w:val="nil"/>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766" w:type="dxa"/>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715" w:type="dxa"/>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832" w:type="dxa"/>
            <w:tcBorders>
              <w:top w:val="nil"/>
              <w:left w:val="nil"/>
              <w:bottom w:val="nil"/>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676" w:type="dxa"/>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669" w:type="dxa"/>
            <w:tcBorders>
              <w:top w:val="single" w:sz="4" w:space="0" w:color="auto"/>
              <w:left w:val="nil"/>
              <w:bottom w:val="nil"/>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c>
          <w:tcPr>
            <w:tcW w:w="698" w:type="dxa"/>
            <w:tcBorders>
              <w:top w:val="nil"/>
              <w:left w:val="nil"/>
              <w:bottom w:val="nil"/>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FFFFFF"/>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MSM</w:t>
            </w:r>
          </w:p>
        </w:tc>
        <w:tc>
          <w:tcPr>
            <w:tcW w:w="710"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6,242 </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64%</w:t>
            </w:r>
          </w:p>
        </w:tc>
        <w:tc>
          <w:tcPr>
            <w:tcW w:w="849"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6,242 </w:t>
            </w:r>
          </w:p>
        </w:tc>
        <w:tc>
          <w:tcPr>
            <w:tcW w:w="715"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76%</w:t>
            </w:r>
          </w:p>
        </w:tc>
        <w:tc>
          <w:tcPr>
            <w:tcW w:w="832"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669"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698"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FFFFFF"/>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IDU</w:t>
            </w:r>
          </w:p>
        </w:tc>
        <w:tc>
          <w:tcPr>
            <w:tcW w:w="710"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735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8%</w:t>
            </w:r>
          </w:p>
        </w:tc>
        <w:tc>
          <w:tcPr>
            <w:tcW w:w="849"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489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6%</w:t>
            </w:r>
          </w:p>
        </w:tc>
        <w:tc>
          <w:tcPr>
            <w:tcW w:w="832"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246</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16%</w:t>
            </w:r>
          </w:p>
        </w:tc>
        <w:tc>
          <w:tcPr>
            <w:tcW w:w="698"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FFFFFF"/>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MSM+IDU</w:t>
            </w:r>
          </w:p>
        </w:tc>
        <w:tc>
          <w:tcPr>
            <w:tcW w:w="710"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633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7%</w:t>
            </w:r>
          </w:p>
        </w:tc>
        <w:tc>
          <w:tcPr>
            <w:tcW w:w="849"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633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8%</w:t>
            </w:r>
          </w:p>
        </w:tc>
        <w:tc>
          <w:tcPr>
            <w:tcW w:w="832"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698"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FFFFFF"/>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Heterosexual contact</w:t>
            </w:r>
          </w:p>
        </w:tc>
        <w:tc>
          <w:tcPr>
            <w:tcW w:w="710"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1,219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13%</w:t>
            </w:r>
          </w:p>
        </w:tc>
        <w:tc>
          <w:tcPr>
            <w:tcW w:w="849"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291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4%</w:t>
            </w:r>
          </w:p>
        </w:tc>
        <w:tc>
          <w:tcPr>
            <w:tcW w:w="832"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928</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60%</w:t>
            </w:r>
          </w:p>
        </w:tc>
        <w:tc>
          <w:tcPr>
            <w:tcW w:w="698"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FFFFFF"/>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Perinatal exposure</w:t>
            </w:r>
          </w:p>
        </w:tc>
        <w:tc>
          <w:tcPr>
            <w:tcW w:w="710"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73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1%</w:t>
            </w:r>
          </w:p>
        </w:tc>
        <w:tc>
          <w:tcPr>
            <w:tcW w:w="849"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76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33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832"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676" w:type="dxa"/>
            <w:tcBorders>
              <w:top w:val="single" w:sz="4" w:space="0" w:color="auto"/>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40</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3%</w:t>
            </w:r>
          </w:p>
        </w:tc>
        <w:tc>
          <w:tcPr>
            <w:tcW w:w="698" w:type="dxa"/>
            <w:tcBorders>
              <w:top w:val="single" w:sz="4" w:space="0" w:color="auto"/>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FFFFFF"/>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Hemophilia/Blood Transfusion</w:t>
            </w:r>
          </w:p>
        </w:tc>
        <w:tc>
          <w:tcPr>
            <w:tcW w:w="710" w:type="dxa"/>
            <w:tcBorders>
              <w:top w:val="nil"/>
              <w:left w:val="nil"/>
              <w:bottom w:val="single" w:sz="4" w:space="0" w:color="auto"/>
              <w:right w:val="nil"/>
            </w:tcBorders>
            <w:shd w:val="clear" w:color="000000" w:fill="FFFFFF"/>
            <w:noWrap/>
            <w:vAlign w:val="center"/>
            <w:hideMark/>
          </w:tcPr>
          <w:p w:rsidR="003C3AD0" w:rsidRPr="00E260BE" w:rsidRDefault="003C3AD0" w:rsidP="002A582E">
            <w:pPr>
              <w:spacing w:before="0" w:after="0" w:line="240" w:lineRule="auto"/>
              <w:rPr>
                <w:rFonts w:ascii="Calibri" w:eastAsia="Times New Roman" w:hAnsi="Calibri" w:cs="Times New Roman"/>
              </w:rPr>
            </w:pPr>
            <w:r>
              <w:rPr>
                <w:rFonts w:ascii="Calibri" w:eastAsia="Times New Roman" w:hAnsi="Calibri" w:cs="Times New Roman"/>
              </w:rPr>
              <w:t xml:space="preserve">      </w:t>
            </w:r>
            <w:r w:rsidRPr="00E260BE">
              <w:rPr>
                <w:rFonts w:ascii="Calibri" w:eastAsia="Times New Roman" w:hAnsi="Calibri" w:cs="Times New Roman"/>
              </w:rPr>
              <w:t xml:space="preserve">10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849"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76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 xml:space="preserve">         7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832"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676"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3</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0%</w:t>
            </w:r>
          </w:p>
        </w:tc>
        <w:tc>
          <w:tcPr>
            <w:tcW w:w="698" w:type="dxa"/>
            <w:tcBorders>
              <w:top w:val="nil"/>
              <w:left w:val="nil"/>
              <w:bottom w:val="single" w:sz="4" w:space="0" w:color="auto"/>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r>
      <w:tr w:rsidR="003C3AD0" w:rsidRPr="0094368D" w:rsidTr="002A582E">
        <w:tc>
          <w:tcPr>
            <w:tcW w:w="2735" w:type="dxa"/>
            <w:tcBorders>
              <w:top w:val="nil"/>
              <w:left w:val="single" w:sz="4" w:space="0" w:color="auto"/>
              <w:bottom w:val="single" w:sz="4" w:space="0" w:color="auto"/>
              <w:right w:val="single" w:sz="4" w:space="0" w:color="auto"/>
            </w:tcBorders>
            <w:shd w:val="clear" w:color="000000" w:fill="FFFFFF"/>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NIR/NRR</w:t>
            </w:r>
          </w:p>
        </w:tc>
        <w:tc>
          <w:tcPr>
            <w:tcW w:w="710" w:type="dxa"/>
            <w:tcBorders>
              <w:top w:val="nil"/>
              <w:left w:val="nil"/>
              <w:bottom w:val="nil"/>
              <w:right w:val="nil"/>
            </w:tcBorders>
            <w:shd w:val="clear" w:color="000000" w:fill="FFFFFF"/>
            <w:noWrap/>
            <w:vAlign w:val="center"/>
            <w:hideMark/>
          </w:tcPr>
          <w:p w:rsidR="003C3AD0" w:rsidRPr="00E260BE" w:rsidRDefault="003C3AD0" w:rsidP="002A582E">
            <w:pPr>
              <w:spacing w:before="0" w:after="0" w:line="240" w:lineRule="auto"/>
              <w:rPr>
                <w:rFonts w:ascii="Calibri" w:eastAsia="Times New Roman" w:hAnsi="Calibri" w:cs="Times New Roman"/>
              </w:rPr>
            </w:pPr>
            <w:r w:rsidRPr="00E260BE">
              <w:rPr>
                <w:rFonts w:ascii="Calibri" w:eastAsia="Times New Roman" w:hAnsi="Calibri" w:cs="Times New Roman"/>
              </w:rPr>
              <w:t xml:space="preserve">    821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8%</w:t>
            </w:r>
          </w:p>
        </w:tc>
        <w:tc>
          <w:tcPr>
            <w:tcW w:w="849"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76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rPr>
                <w:rFonts w:ascii="Calibri" w:eastAsia="Times New Roman" w:hAnsi="Calibri" w:cs="Times New Roman"/>
              </w:rPr>
            </w:pPr>
            <w:r w:rsidRPr="00E260BE">
              <w:rPr>
                <w:rFonts w:ascii="Calibri" w:eastAsia="Times New Roman" w:hAnsi="Calibri" w:cs="Times New Roman"/>
              </w:rPr>
              <w:t xml:space="preserve">   502 </w:t>
            </w:r>
          </w:p>
        </w:tc>
        <w:tc>
          <w:tcPr>
            <w:tcW w:w="715"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6%</w:t>
            </w:r>
          </w:p>
        </w:tc>
        <w:tc>
          <w:tcPr>
            <w:tcW w:w="832"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c>
          <w:tcPr>
            <w:tcW w:w="676" w:type="dxa"/>
            <w:tcBorders>
              <w:top w:val="nil"/>
              <w:left w:val="nil"/>
              <w:bottom w:val="nil"/>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319</w:t>
            </w:r>
          </w:p>
        </w:tc>
        <w:tc>
          <w:tcPr>
            <w:tcW w:w="669" w:type="dxa"/>
            <w:tcBorders>
              <w:top w:val="nil"/>
              <w:left w:val="nil"/>
              <w:bottom w:val="single" w:sz="4" w:space="0" w:color="auto"/>
              <w:right w:val="nil"/>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21%</w:t>
            </w:r>
          </w:p>
        </w:tc>
        <w:tc>
          <w:tcPr>
            <w:tcW w:w="698" w:type="dxa"/>
            <w:tcBorders>
              <w:top w:val="nil"/>
              <w:left w:val="nil"/>
              <w:bottom w:val="nil"/>
              <w:right w:val="single" w:sz="4" w:space="0" w:color="auto"/>
            </w:tcBorders>
            <w:shd w:val="clear" w:color="000000" w:fill="FFFFFF"/>
            <w:noWrap/>
            <w:vAlign w:val="center"/>
            <w:hideMark/>
          </w:tcPr>
          <w:p w:rsidR="003C3AD0" w:rsidRPr="00E260BE" w:rsidRDefault="003C3AD0" w:rsidP="00AC3CFB">
            <w:pPr>
              <w:spacing w:before="0" w:after="0" w:line="240" w:lineRule="auto"/>
              <w:jc w:val="right"/>
              <w:rPr>
                <w:rFonts w:ascii="Calibri" w:eastAsia="Times New Roman" w:hAnsi="Calibri" w:cs="Times New Roman"/>
              </w:rPr>
            </w:pPr>
            <w:r w:rsidRPr="00E260BE">
              <w:rPr>
                <w:rFonts w:ascii="Calibri" w:eastAsia="Times New Roman" w:hAnsi="Calibri" w:cs="Times New Roman"/>
              </w:rPr>
              <w:t>NA</w:t>
            </w:r>
          </w:p>
        </w:tc>
      </w:tr>
      <w:tr w:rsidR="003C3AD0" w:rsidRPr="0094368D" w:rsidTr="002A582E">
        <w:tc>
          <w:tcPr>
            <w:tcW w:w="2735" w:type="dxa"/>
            <w:tcBorders>
              <w:top w:val="nil"/>
              <w:left w:val="single" w:sz="4" w:space="0" w:color="auto"/>
              <w:bottom w:val="single" w:sz="4" w:space="0" w:color="auto"/>
              <w:right w:val="nil"/>
            </w:tcBorders>
            <w:shd w:val="clear" w:color="000000" w:fill="D9D9D9"/>
            <w:noWrap/>
            <w:vAlign w:val="bottom"/>
            <w:hideMark/>
          </w:tcPr>
          <w:p w:rsidR="003C3AD0" w:rsidRPr="00E260BE" w:rsidRDefault="003C3AD0" w:rsidP="00AC3CFB">
            <w:pPr>
              <w:spacing w:before="0" w:after="0" w:line="240" w:lineRule="auto"/>
              <w:rPr>
                <w:rFonts w:ascii="Calibri" w:eastAsia="Times New Roman" w:hAnsi="Calibri" w:cs="Times New Roman"/>
                <w:b/>
                <w:bCs/>
              </w:rPr>
            </w:pPr>
            <w:r w:rsidRPr="00E260BE">
              <w:rPr>
                <w:rFonts w:ascii="Calibri" w:eastAsia="Times New Roman" w:hAnsi="Calibri" w:cs="Times New Roman"/>
                <w:b/>
                <w:bCs/>
              </w:rPr>
              <w:t>Total</w:t>
            </w:r>
          </w:p>
        </w:tc>
        <w:tc>
          <w:tcPr>
            <w:tcW w:w="710" w:type="dxa"/>
            <w:tcBorders>
              <w:top w:val="single" w:sz="4" w:space="0" w:color="auto"/>
              <w:left w:val="single" w:sz="4" w:space="0" w:color="auto"/>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xml:space="preserve">9,733 </w:t>
            </w:r>
          </w:p>
        </w:tc>
        <w:tc>
          <w:tcPr>
            <w:tcW w:w="715"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100%</w:t>
            </w:r>
          </w:p>
        </w:tc>
        <w:tc>
          <w:tcPr>
            <w:tcW w:w="849" w:type="dxa"/>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342.3</w:t>
            </w:r>
          </w:p>
        </w:tc>
        <w:tc>
          <w:tcPr>
            <w:tcW w:w="766"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 xml:space="preserve">  8,197 </w:t>
            </w:r>
          </w:p>
        </w:tc>
        <w:tc>
          <w:tcPr>
            <w:tcW w:w="715"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100%</w:t>
            </w:r>
          </w:p>
        </w:tc>
        <w:tc>
          <w:tcPr>
            <w:tcW w:w="832" w:type="dxa"/>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572.2</w:t>
            </w:r>
          </w:p>
        </w:tc>
        <w:tc>
          <w:tcPr>
            <w:tcW w:w="676" w:type="dxa"/>
            <w:tcBorders>
              <w:top w:val="single" w:sz="4" w:space="0" w:color="auto"/>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1,536</w:t>
            </w:r>
          </w:p>
        </w:tc>
        <w:tc>
          <w:tcPr>
            <w:tcW w:w="669" w:type="dxa"/>
            <w:tcBorders>
              <w:top w:val="nil"/>
              <w:left w:val="nil"/>
              <w:bottom w:val="single" w:sz="4" w:space="0" w:color="auto"/>
              <w:right w:val="nil"/>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100%</w:t>
            </w:r>
          </w:p>
        </w:tc>
        <w:tc>
          <w:tcPr>
            <w:tcW w:w="698" w:type="dxa"/>
            <w:tcBorders>
              <w:top w:val="single" w:sz="4" w:space="0" w:color="auto"/>
              <w:left w:val="nil"/>
              <w:bottom w:val="single" w:sz="4" w:space="0" w:color="auto"/>
              <w:right w:val="single" w:sz="4" w:space="0" w:color="auto"/>
            </w:tcBorders>
            <w:shd w:val="clear" w:color="000000" w:fill="D9D9D9"/>
            <w:noWrap/>
            <w:vAlign w:val="center"/>
            <w:hideMark/>
          </w:tcPr>
          <w:p w:rsidR="003C3AD0" w:rsidRPr="00E260BE" w:rsidRDefault="003C3AD0" w:rsidP="00AC3CFB">
            <w:pPr>
              <w:spacing w:before="0" w:after="0" w:line="240" w:lineRule="auto"/>
              <w:jc w:val="right"/>
              <w:rPr>
                <w:rFonts w:ascii="Calibri" w:eastAsia="Times New Roman" w:hAnsi="Calibri" w:cs="Times New Roman"/>
                <w:b/>
                <w:bCs/>
              </w:rPr>
            </w:pPr>
            <w:r w:rsidRPr="00E260BE">
              <w:rPr>
                <w:rFonts w:ascii="Calibri" w:eastAsia="Times New Roman" w:hAnsi="Calibri" w:cs="Times New Roman"/>
                <w:b/>
                <w:bCs/>
              </w:rPr>
              <w:t>108.9</w:t>
            </w:r>
          </w:p>
        </w:tc>
      </w:tr>
      <w:tr w:rsidR="003C3AD0" w:rsidRPr="0094368D" w:rsidTr="002A582E">
        <w:tc>
          <w:tcPr>
            <w:tcW w:w="9365" w:type="dxa"/>
            <w:gridSpan w:val="10"/>
            <w:tcBorders>
              <w:top w:val="single" w:sz="4" w:space="0" w:color="auto"/>
              <w:left w:val="nil"/>
              <w:bottom w:val="nil"/>
              <w:right w:val="nil"/>
            </w:tcBorders>
            <w:shd w:val="clear" w:color="000000" w:fill="FFFFFF"/>
            <w:vAlign w:val="bottom"/>
            <w:hideMark/>
          </w:tcPr>
          <w:p w:rsidR="003C3AD0" w:rsidRPr="0094368D" w:rsidRDefault="003C3AD0" w:rsidP="00AC3CFB">
            <w:pPr>
              <w:spacing w:before="0" w:after="0" w:line="240" w:lineRule="auto"/>
              <w:rPr>
                <w:rFonts w:ascii="Calibri" w:eastAsia="Times New Roman" w:hAnsi="Calibri" w:cs="Times New Roman"/>
                <w:i/>
                <w:iCs/>
                <w:sz w:val="16"/>
                <w:szCs w:val="16"/>
              </w:rPr>
            </w:pPr>
            <w:r w:rsidRPr="0094368D">
              <w:rPr>
                <w:rFonts w:ascii="Calibri" w:eastAsia="Times New Roman" w:hAnsi="Calibri" w:cs="Times New Roman"/>
                <w:i/>
                <w:iCs/>
                <w:sz w:val="16"/>
                <w:szCs w:val="16"/>
              </w:rPr>
              <w:t xml:space="preserve">Source: Nevada State Health Division HIV/AIDS Reporting System (eHARS), (March 2016) </w:t>
            </w:r>
          </w:p>
        </w:tc>
      </w:tr>
      <w:tr w:rsidR="003C3AD0" w:rsidRPr="0094368D" w:rsidTr="002A582E">
        <w:tc>
          <w:tcPr>
            <w:tcW w:w="9365" w:type="dxa"/>
            <w:gridSpan w:val="10"/>
            <w:tcBorders>
              <w:top w:val="nil"/>
              <w:left w:val="nil"/>
              <w:bottom w:val="nil"/>
              <w:right w:val="nil"/>
            </w:tcBorders>
            <w:shd w:val="clear" w:color="000000" w:fill="FFFFFF"/>
            <w:noWrap/>
            <w:vAlign w:val="bottom"/>
            <w:hideMark/>
          </w:tcPr>
          <w:p w:rsidR="003C3AD0" w:rsidRPr="0094368D" w:rsidRDefault="003C3AD0" w:rsidP="00AC3CFB">
            <w:pPr>
              <w:spacing w:before="0" w:after="0" w:line="240" w:lineRule="auto"/>
              <w:rPr>
                <w:rFonts w:ascii="Calibri" w:eastAsia="Times New Roman" w:hAnsi="Calibri" w:cs="Times New Roman"/>
                <w:i/>
                <w:iCs/>
                <w:color w:val="000000"/>
                <w:sz w:val="16"/>
                <w:szCs w:val="16"/>
              </w:rPr>
            </w:pPr>
            <w:r w:rsidRPr="0094368D">
              <w:rPr>
                <w:rFonts w:ascii="Calibri" w:eastAsia="Times New Roman" w:hAnsi="Calibri" w:cs="Times New Roman"/>
                <w:i/>
                <w:iCs/>
                <w:color w:val="000000"/>
                <w:sz w:val="16"/>
                <w:szCs w:val="16"/>
              </w:rPr>
              <w:t>* Rates per 100,000 population were calculated using 2014 population projections from the Nevada State Demographer vintage 2015 data.</w:t>
            </w:r>
          </w:p>
        </w:tc>
      </w:tr>
      <w:tr w:rsidR="003C3AD0" w:rsidRPr="0094368D" w:rsidTr="00A0400D">
        <w:trPr>
          <w:trHeight w:val="468"/>
        </w:trPr>
        <w:tc>
          <w:tcPr>
            <w:tcW w:w="9365" w:type="dxa"/>
            <w:gridSpan w:val="10"/>
            <w:tcBorders>
              <w:top w:val="nil"/>
              <w:left w:val="nil"/>
              <w:bottom w:val="nil"/>
              <w:right w:val="nil"/>
            </w:tcBorders>
            <w:shd w:val="clear" w:color="000000" w:fill="FFFFFF"/>
            <w:noWrap/>
            <w:vAlign w:val="bottom"/>
            <w:hideMark/>
          </w:tcPr>
          <w:p w:rsidR="00A0400D" w:rsidRPr="0094368D" w:rsidRDefault="003C3AD0" w:rsidP="00A0400D">
            <w:pPr>
              <w:spacing w:before="0" w:after="0" w:line="240" w:lineRule="auto"/>
              <w:rPr>
                <w:rFonts w:ascii="Calibri" w:eastAsia="Times New Roman" w:hAnsi="Calibri" w:cs="Times New Roman"/>
                <w:i/>
                <w:iCs/>
                <w:color w:val="000000"/>
                <w:sz w:val="16"/>
                <w:szCs w:val="16"/>
              </w:rPr>
            </w:pPr>
            <w:r w:rsidRPr="0094368D">
              <w:rPr>
                <w:rFonts w:ascii="Calibri" w:eastAsia="Times New Roman" w:hAnsi="Calibri" w:cs="Times New Roman"/>
                <w:i/>
                <w:iCs/>
                <w:color w:val="000000"/>
                <w:sz w:val="16"/>
                <w:szCs w:val="16"/>
              </w:rPr>
              <w:t>**All other counties include Carson City, Churchill, Douglas, Elko, Esmeralda, Eureka, Humboldt, Lander, Lincoln, Lyon, Mineral, Nye, Pershing, Storey, and White Pine counties.</w:t>
            </w:r>
            <w:r w:rsidR="00A0400D" w:rsidRPr="0094368D">
              <w:rPr>
                <w:rFonts w:ascii="Calibri" w:eastAsia="Times New Roman" w:hAnsi="Calibri" w:cs="Times New Roman"/>
                <w:i/>
                <w:iCs/>
                <w:color w:val="000000"/>
                <w:sz w:val="16"/>
                <w:szCs w:val="16"/>
              </w:rPr>
              <w:t xml:space="preserve"> </w:t>
            </w:r>
          </w:p>
        </w:tc>
      </w:tr>
    </w:tbl>
    <w:p w:rsidR="00A0400D" w:rsidRDefault="00A0400D" w:rsidP="00A0400D">
      <w:r>
        <w:rPr>
          <w:noProof/>
        </w:rPr>
        <mc:AlternateContent>
          <mc:Choice Requires="wps">
            <w:drawing>
              <wp:anchor distT="91440" distB="91440" distL="114300" distR="114300" simplePos="0" relativeHeight="251771904" behindDoc="0" locked="0" layoutInCell="1" allowOverlap="1" wp14:anchorId="7C9F799E" wp14:editId="0D09A766">
                <wp:simplePos x="0" y="0"/>
                <wp:positionH relativeFrom="page">
                  <wp:posOffset>2052154</wp:posOffset>
                </wp:positionH>
                <wp:positionV relativeFrom="paragraph">
                  <wp:posOffset>254055</wp:posOffset>
                </wp:positionV>
                <wp:extent cx="347472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2E77F2" w:rsidRPr="000E08E2" w:rsidRDefault="002E77F2" w:rsidP="000E08E2">
                            <w:pPr>
                              <w:pBdr>
                                <w:top w:val="single" w:sz="24" w:space="8" w:color="4F81BD" w:themeColor="accent1"/>
                                <w:bottom w:val="single" w:sz="24" w:space="8" w:color="4F81BD" w:themeColor="accent1"/>
                              </w:pBdr>
                              <w:spacing w:after="0"/>
                              <w:jc w:val="center"/>
                              <w:rPr>
                                <w:i/>
                                <w:iCs/>
                                <w:color w:val="4F81BD" w:themeColor="accent1"/>
                                <w:sz w:val="24"/>
                                <w:szCs w:val="24"/>
                              </w:rPr>
                            </w:pPr>
                            <w:r w:rsidRPr="000E08E2">
                              <w:rPr>
                                <w:i/>
                                <w:color w:val="4F81BD" w:themeColor="accent1"/>
                                <w:sz w:val="24"/>
                                <w:szCs w:val="24"/>
                              </w:rPr>
                              <w:t>In 2014, 84% of PLWH in Nevada were male; and, 86% resided in Clark County.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7C9F799E" id="_x0000_t202" coordsize="21600,21600" o:spt="202" path="m,l,21600r21600,l21600,xe">
                <v:stroke joinstyle="miter"/>
                <v:path gradientshapeok="t" o:connecttype="rect"/>
              </v:shapetype>
              <v:shape id="Text Box 2" o:spid="_x0000_s1026" type="#_x0000_t202" style="position:absolute;margin-left:161.6pt;margin-top:20pt;width:273.6pt;height:110.55pt;z-index:25177190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BRyXczhAAAACgEAAA8AAABkcnMvZG93bnJldi54bWxMj8tOwzAQRfdI/IM1SOyonaQqaRqnKo+y&#10;QkIUNt058ZBEjceR7bTh7zErWI7m6N5zy+1sBnZG53tLEpKFAIbUWN1TK+HzY3+XA/NBkVaDJZTw&#10;jR621fVVqQptL/SO50NoWQwhXygJXQhjwblvOjTKL+yIFH9f1hkV4ularp26xHAz8FSIFTeqp9jQ&#10;qREfO2xOh8lIeEV3zNdT/tAfn/bPb6dM1y87LeXtzbzbAAs4hz8YfvWjOlTRqbYTac8GCVmapRGV&#10;sBRxUwTye7EEVktIV0kCvCr5/wnVDwAAAP//AwBQSwECLQAUAAYACAAAACEAtoM4kv4AAADhAQAA&#10;EwAAAAAAAAAAAAAAAAAAAAAAW0NvbnRlbnRfVHlwZXNdLnhtbFBLAQItABQABgAIAAAAIQA4/SH/&#10;1gAAAJQBAAALAAAAAAAAAAAAAAAAAC8BAABfcmVscy8ucmVsc1BLAQItABQABgAIAAAAIQDEb0YW&#10;DQIAAPUDAAAOAAAAAAAAAAAAAAAAAC4CAABkcnMvZTJvRG9jLnhtbFBLAQItABQABgAIAAAAIQAU&#10;cl3M4QAAAAoBAAAPAAAAAAAAAAAAAAAAAGcEAABkcnMvZG93bnJldi54bWxQSwUGAAAAAAQABADz&#10;AAAAdQUAAAAA&#10;" filled="f" stroked="f">
                <v:textbox style="mso-fit-shape-to-text:t">
                  <w:txbxContent>
                    <w:p w:rsidR="002E77F2" w:rsidRPr="000E08E2" w:rsidRDefault="002E77F2" w:rsidP="000E08E2">
                      <w:pPr>
                        <w:pBdr>
                          <w:top w:val="single" w:sz="24" w:space="8" w:color="4F81BD" w:themeColor="accent1"/>
                          <w:bottom w:val="single" w:sz="24" w:space="8" w:color="4F81BD" w:themeColor="accent1"/>
                        </w:pBdr>
                        <w:spacing w:after="0"/>
                        <w:jc w:val="center"/>
                        <w:rPr>
                          <w:i/>
                          <w:iCs/>
                          <w:color w:val="4F81BD" w:themeColor="accent1"/>
                          <w:sz w:val="24"/>
                          <w:szCs w:val="24"/>
                        </w:rPr>
                      </w:pPr>
                      <w:r w:rsidRPr="000E08E2">
                        <w:rPr>
                          <w:i/>
                          <w:color w:val="4F81BD" w:themeColor="accent1"/>
                          <w:sz w:val="24"/>
                          <w:szCs w:val="24"/>
                        </w:rPr>
                        <w:t>In 2014, 84% of PLWH in Nevada were male; and, 86% resided in Clark County.</w:t>
                      </w:r>
                    </w:p>
                  </w:txbxContent>
                </v:textbox>
                <w10:wrap type="square" anchorx="page"/>
              </v:shape>
            </w:pict>
          </mc:Fallback>
        </mc:AlternateContent>
      </w:r>
    </w:p>
    <w:p w:rsidR="00A0400D" w:rsidRDefault="00A0400D">
      <w:pPr>
        <w:rPr>
          <w:caps/>
          <w:color w:val="243F60" w:themeColor="accent1" w:themeShade="7F"/>
          <w:spacing w:val="15"/>
          <w:sz w:val="22"/>
          <w:szCs w:val="22"/>
        </w:rPr>
      </w:pPr>
      <w:r>
        <w:br w:type="page"/>
      </w:r>
    </w:p>
    <w:p w:rsidR="003C3AD0" w:rsidRPr="00564B2F" w:rsidRDefault="003C3AD0" w:rsidP="00235695">
      <w:pPr>
        <w:pStyle w:val="Heading3"/>
      </w:pPr>
      <w:bookmarkStart w:id="11" w:name="_Toc461188575"/>
      <w:r>
        <w:lastRenderedPageBreak/>
        <w:t xml:space="preserve">The </w:t>
      </w:r>
      <w:r w:rsidRPr="00564B2F">
        <w:t>Burden of HIV in Nevada</w:t>
      </w:r>
      <w:bookmarkEnd w:id="11"/>
    </w:p>
    <w:p w:rsidR="00362476" w:rsidRPr="00362476" w:rsidRDefault="00362476" w:rsidP="003317C9">
      <w:pPr>
        <w:pStyle w:val="ListParagraph"/>
        <w:widowControl w:val="0"/>
        <w:numPr>
          <w:ilvl w:val="0"/>
          <w:numId w:val="1"/>
        </w:numPr>
        <w:tabs>
          <w:tab w:val="left" w:pos="220"/>
          <w:tab w:val="left" w:pos="720"/>
        </w:tabs>
        <w:autoSpaceDE w:val="0"/>
        <w:autoSpaceDN w:val="0"/>
        <w:adjustRightInd w:val="0"/>
        <w:spacing w:before="120" w:after="0" w:line="240" w:lineRule="auto"/>
        <w:jc w:val="both"/>
        <w:rPr>
          <w:rFonts w:cs="Calibri Light"/>
          <w:i/>
          <w:sz w:val="22"/>
          <w:szCs w:val="22"/>
        </w:rPr>
      </w:pPr>
      <w:r w:rsidRPr="00362476">
        <w:rPr>
          <w:rFonts w:cs="Calibri Light"/>
          <w:i/>
          <w:sz w:val="22"/>
          <w:szCs w:val="22"/>
        </w:rPr>
        <w:t xml:space="preserve">Describe (table, graph, and/or narrative) the burden of HIV in the service area using HIV surveillance data and the characteristics of the population living with HIV (i.e., number of PLWH, rates, trends, populations most affected, geographic concentrations, deaths, etc.). </w:t>
      </w:r>
      <w:r w:rsidRPr="00362476">
        <w:rPr>
          <w:rFonts w:ascii="MS Gothic" w:eastAsia="MS Gothic" w:hAnsi="MS Gothic" w:cs="MS Gothic" w:hint="eastAsia"/>
          <w:i/>
          <w:sz w:val="22"/>
          <w:szCs w:val="22"/>
        </w:rPr>
        <w:t> </w:t>
      </w:r>
    </w:p>
    <w:p w:rsidR="003C3AD0" w:rsidRDefault="003C3AD0" w:rsidP="00362476">
      <w:pPr>
        <w:widowControl w:val="0"/>
        <w:spacing w:before="120" w:after="0"/>
        <w:jc w:val="both"/>
        <w:rPr>
          <w:sz w:val="22"/>
          <w:szCs w:val="22"/>
        </w:rPr>
      </w:pPr>
      <w:r w:rsidRPr="00564B2F">
        <w:rPr>
          <w:sz w:val="22"/>
          <w:szCs w:val="22"/>
        </w:rPr>
        <w:t>In 1982, the first HIV infection in Nevada was diagnosed. Since the</w:t>
      </w:r>
      <w:r>
        <w:rPr>
          <w:sz w:val="22"/>
          <w:szCs w:val="22"/>
        </w:rPr>
        <w:t xml:space="preserve"> peak in the early to mid-nineties</w:t>
      </w:r>
      <w:r w:rsidRPr="00564B2F">
        <w:rPr>
          <w:sz w:val="22"/>
          <w:szCs w:val="22"/>
        </w:rPr>
        <w:t xml:space="preserve">, the number of </w:t>
      </w:r>
      <w:r w:rsidR="00753BCD">
        <w:rPr>
          <w:sz w:val="22"/>
          <w:szCs w:val="22"/>
        </w:rPr>
        <w:t>PLWH</w:t>
      </w:r>
      <w:r w:rsidRPr="00564B2F">
        <w:rPr>
          <w:sz w:val="22"/>
          <w:szCs w:val="22"/>
        </w:rPr>
        <w:t xml:space="preserve"> has steadily increased</w:t>
      </w:r>
      <w:r w:rsidR="00753BCD">
        <w:rPr>
          <w:sz w:val="22"/>
          <w:szCs w:val="22"/>
        </w:rPr>
        <w:t>,</w:t>
      </w:r>
      <w:r w:rsidRPr="00564B2F">
        <w:rPr>
          <w:sz w:val="22"/>
          <w:szCs w:val="22"/>
        </w:rPr>
        <w:t xml:space="preserve"> while the number of new HIV diagnoses, new HIV stage 3 (AIDS) diagnoses, and deaths has decreased (Figure 1). Few</w:t>
      </w:r>
      <w:r w:rsidR="00753BCD">
        <w:rPr>
          <w:sz w:val="22"/>
          <w:szCs w:val="22"/>
        </w:rPr>
        <w:t>er people are becoming infected;</w:t>
      </w:r>
      <w:r w:rsidRPr="00564B2F">
        <w:rPr>
          <w:sz w:val="22"/>
          <w:szCs w:val="22"/>
        </w:rPr>
        <w:t xml:space="preserve"> and people are living longer once they do become infected.</w:t>
      </w:r>
    </w:p>
    <w:p w:rsidR="003C3AD0" w:rsidRPr="00564B2F" w:rsidRDefault="003C3AD0" w:rsidP="00564B2F">
      <w:pPr>
        <w:widowControl w:val="0"/>
        <w:tabs>
          <w:tab w:val="left" w:pos="220"/>
          <w:tab w:val="left" w:pos="720"/>
        </w:tabs>
        <w:autoSpaceDE w:val="0"/>
        <w:autoSpaceDN w:val="0"/>
        <w:adjustRightInd w:val="0"/>
        <w:ind w:left="360"/>
        <w:rPr>
          <w:rFonts w:cs="Calibri Light"/>
          <w:b/>
        </w:rPr>
      </w:pPr>
      <w:r>
        <w:rPr>
          <w:noProof/>
        </w:rPr>
        <mc:AlternateContent>
          <mc:Choice Requires="wps">
            <w:drawing>
              <wp:anchor distT="0" distB="0" distL="114300" distR="114300" simplePos="0" relativeHeight="251751424" behindDoc="0" locked="0" layoutInCell="1" allowOverlap="1" wp14:anchorId="4667B76A" wp14:editId="13F442AA">
                <wp:simplePos x="0" y="0"/>
                <wp:positionH relativeFrom="margin">
                  <wp:posOffset>0</wp:posOffset>
                </wp:positionH>
                <wp:positionV relativeFrom="paragraph">
                  <wp:posOffset>38100</wp:posOffset>
                </wp:positionV>
                <wp:extent cx="6155055" cy="449580"/>
                <wp:effectExtent l="0" t="0" r="0" b="762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7F2" w:rsidRPr="00AC321D" w:rsidRDefault="002E77F2" w:rsidP="00235695">
                            <w:pPr>
                              <w:spacing w:before="0" w:after="0"/>
                              <w:rPr>
                                <w:b/>
                                <w:sz w:val="22"/>
                              </w:rPr>
                            </w:pPr>
                            <w:bookmarkStart w:id="12" w:name="_Toc456247446"/>
                            <w:bookmarkStart w:id="13" w:name="_Toc456156992"/>
                            <w:bookmarkStart w:id="14" w:name="_Toc454344386"/>
                            <w:r w:rsidRPr="00AC321D">
                              <w:rPr>
                                <w:b/>
                                <w:sz w:val="22"/>
                              </w:rPr>
                              <w:t>Figure 1. Persons Living with HIV, New HIV Diagnoses, New HIV Stage 3 (AIDS) Diagnoses, and Deaths in Nevada, 1982-2014</w:t>
                            </w:r>
                            <w:bookmarkEnd w:id="12"/>
                            <w:bookmarkEnd w:id="13"/>
                            <w:bookmarkEnd w:id="1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67B76A" id="Text Box 273" o:spid="_x0000_s1027" type="#_x0000_t202" style="position:absolute;left:0;text-align:left;margin-left:0;margin-top:3pt;width:484.65pt;height:35.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tI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H8HUaC9tCkR7Y36E7ukT2DCo2DzsDxYQBXswcDdNplq4d7WX3TSMhlS8WG3Solx5bRGhiG9qZ/&#10;cXXC0RZkPX6UNQSiWyMd0L5RvS0fFAQBOnTq6dQdS6aCw1kYx0EcY1SBjZA0Tlz7fJodbw9Km/dM&#10;9sgucqyg+w6d7u61sWxodnSxwYQsedc5BXTi2QE4TicQG65am2XhGvozDdJVskqIR6LZyiNBUXi3&#10;5ZJ4szKcx8W7Yrkswl82bkiyltc1EzbMUVwh+bPmHWQ+yeIkLy07Xls4S0mrzXrZKbSjIO7Sfa7m&#10;YDm7+c9puCJALi9SCiMS3EWpV86SuUdKEnvpPEi8IEzv0llAUlKUz1O654L9e0pozHEaR/EkpjPp&#10;F7kF7nudG816bmB8dLzPcXJyopmV4ErUrrWG8m5aX5TC0j+XAtp9bLQTrNXopFazX+/d63BqtmJe&#10;y/oJFKwkCAxkCqMPFq1UPzAaYYzkWH/fUsUw6j4IeAVpSIidO25D4nkEG3VpWV9aqKgAKscGo2m5&#10;NNOs2g6Kb1qINL07IW/h5TTcifrM6vDeYFS43A5jzc6iy73zOg/fxW8AAAD//wMAUEsDBBQABgAI&#10;AAAAIQDw7A4n2gAAAAUBAAAPAAAAZHJzL2Rvd25yZXYueG1sTI/NTsMwEITvSLyDtUjcqM1f2oRs&#10;KgTiCqJQJG5uvE0i4nUUu014e5YTnFajGc18W65n36sjjbELjHC5MKCI6+A6bhDe354uVqBisuxs&#10;H5gQvinCujo9KW3hwsSvdNykRkkJx8IitCkNhdaxbsnbuAgDsXj7MHqbRI6NdqOdpNz3+sqYTHvb&#10;sSy0dqCHluqvzcEjbJ/3nx835qV59LfDFGaj2eca8fxsvr8DlWhOf2H4xRd0qIRpFw7souoR5JGE&#10;kMkRM8/ya1A7hGW2Al2V+j999QMAAP//AwBQSwECLQAUAAYACAAAACEAtoM4kv4AAADhAQAAEwAA&#10;AAAAAAAAAAAAAAAAAAAAW0NvbnRlbnRfVHlwZXNdLnhtbFBLAQItABQABgAIAAAAIQA4/SH/1gAA&#10;AJQBAAALAAAAAAAAAAAAAAAAAC8BAABfcmVscy8ucmVsc1BLAQItABQABgAIAAAAIQDLzNtIvAIA&#10;AMQFAAAOAAAAAAAAAAAAAAAAAC4CAABkcnMvZTJvRG9jLnhtbFBLAQItABQABgAIAAAAIQDw7A4n&#10;2gAAAAUBAAAPAAAAAAAAAAAAAAAAABYFAABkcnMvZG93bnJldi54bWxQSwUGAAAAAAQABADzAAAA&#10;HQYAAAAA&#10;" filled="f" stroked="f">
                <v:textbox>
                  <w:txbxContent>
                    <w:p w:rsidR="002E77F2" w:rsidRPr="00AC321D" w:rsidRDefault="002E77F2" w:rsidP="00235695">
                      <w:pPr>
                        <w:spacing w:before="0" w:after="0"/>
                        <w:rPr>
                          <w:b/>
                          <w:sz w:val="22"/>
                        </w:rPr>
                      </w:pPr>
                      <w:bookmarkStart w:id="15" w:name="_Toc456247446"/>
                      <w:bookmarkStart w:id="16" w:name="_Toc456156992"/>
                      <w:bookmarkStart w:id="17" w:name="_Toc454344386"/>
                      <w:r w:rsidRPr="00AC321D">
                        <w:rPr>
                          <w:b/>
                          <w:sz w:val="22"/>
                        </w:rPr>
                        <w:t>Figure 1. Persons Living with HIV, New HIV Diagnoses, New HIV Stage 3 (AIDS) Diagnoses, and Deaths in Nevada, 1982-2014</w:t>
                      </w:r>
                      <w:bookmarkEnd w:id="15"/>
                      <w:bookmarkEnd w:id="16"/>
                      <w:bookmarkEnd w:id="17"/>
                    </w:p>
                  </w:txbxContent>
                </v:textbox>
                <w10:wrap anchorx="margin"/>
              </v:shape>
            </w:pict>
          </mc:Fallback>
        </mc:AlternateContent>
      </w:r>
      <w:r w:rsidRPr="00564B2F">
        <w:t> </w:t>
      </w:r>
    </w:p>
    <w:p w:rsidR="003C3AD0" w:rsidRPr="00564B2F" w:rsidRDefault="003C3AD0" w:rsidP="00362476">
      <w:pPr>
        <w:widowControl w:val="0"/>
        <w:tabs>
          <w:tab w:val="left" w:pos="220"/>
          <w:tab w:val="left" w:pos="720"/>
        </w:tabs>
        <w:autoSpaceDE w:val="0"/>
        <w:autoSpaceDN w:val="0"/>
        <w:adjustRightInd w:val="0"/>
        <w:rPr>
          <w:rFonts w:cs="Calibri Light"/>
          <w:b/>
        </w:rPr>
      </w:pPr>
      <w:r>
        <w:rPr>
          <w:noProof/>
        </w:rPr>
        <w:drawing>
          <wp:inline distT="0" distB="0" distL="0" distR="0" wp14:anchorId="1CAE2F7A" wp14:editId="61602C3E">
            <wp:extent cx="5943600" cy="3512820"/>
            <wp:effectExtent l="0" t="0" r="0" b="0"/>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3AD0" w:rsidRDefault="003C3AD0" w:rsidP="00235695">
      <w:pPr>
        <w:widowControl w:val="0"/>
        <w:jc w:val="both"/>
        <w:rPr>
          <w:sz w:val="22"/>
          <w:szCs w:val="22"/>
        </w:rPr>
      </w:pPr>
      <w:r w:rsidRPr="00564B2F">
        <w:rPr>
          <w:color w:val="221E1F"/>
          <w:sz w:val="22"/>
          <w:szCs w:val="22"/>
        </w:rPr>
        <w:t xml:space="preserve">In the five years </w:t>
      </w:r>
      <w:r>
        <w:rPr>
          <w:color w:val="221E1F"/>
          <w:sz w:val="22"/>
          <w:szCs w:val="22"/>
        </w:rPr>
        <w:t xml:space="preserve">between </w:t>
      </w:r>
      <w:r w:rsidRPr="00564B2F">
        <w:rPr>
          <w:color w:val="221E1F"/>
          <w:sz w:val="22"/>
          <w:szCs w:val="22"/>
        </w:rPr>
        <w:t xml:space="preserve">2010 </w:t>
      </w:r>
      <w:r>
        <w:rPr>
          <w:color w:val="221E1F"/>
          <w:sz w:val="22"/>
          <w:szCs w:val="22"/>
        </w:rPr>
        <w:t xml:space="preserve">and </w:t>
      </w:r>
      <w:r w:rsidRPr="00564B2F">
        <w:rPr>
          <w:color w:val="221E1F"/>
          <w:sz w:val="22"/>
          <w:szCs w:val="22"/>
        </w:rPr>
        <w:t xml:space="preserve">2014, the number of persons newly diagnosed with HIV infection increased almost 15%, from 373 to 438 (Table </w:t>
      </w:r>
      <w:r>
        <w:rPr>
          <w:color w:val="221E1F"/>
          <w:sz w:val="22"/>
          <w:szCs w:val="22"/>
        </w:rPr>
        <w:t>3</w:t>
      </w:r>
      <w:r w:rsidRPr="00564B2F">
        <w:rPr>
          <w:color w:val="221E1F"/>
          <w:sz w:val="22"/>
          <w:szCs w:val="22"/>
        </w:rPr>
        <w:t>). From 2012 to 2013</w:t>
      </w:r>
      <w:r w:rsidR="00753BCD">
        <w:rPr>
          <w:color w:val="221E1F"/>
          <w:sz w:val="22"/>
          <w:szCs w:val="22"/>
        </w:rPr>
        <w:t>,</w:t>
      </w:r>
      <w:r w:rsidRPr="00564B2F">
        <w:rPr>
          <w:color w:val="221E1F"/>
          <w:sz w:val="22"/>
          <w:szCs w:val="22"/>
        </w:rPr>
        <w:t xml:space="preserve"> there was a large increase in the number of new diagnoses. It is believed that this sharp increase between 2012 and 2013 is due to the closure of the Southern Nevada Health District main building in April 2012 and the subsequent disruption in testing services. With fewer people getting tested, fewer people who may have been infected were diagnosed.</w:t>
      </w:r>
      <w:r w:rsidRPr="00564B2F">
        <w:rPr>
          <w:rFonts w:ascii="Times New Roman" w:hAnsi="Times New Roman"/>
          <w:noProof/>
        </w:rPr>
        <w:t xml:space="preserve"> T</w:t>
      </w:r>
      <w:r w:rsidRPr="00564B2F">
        <w:rPr>
          <w:color w:val="221E1F"/>
          <w:sz w:val="22"/>
          <w:szCs w:val="22"/>
        </w:rPr>
        <w:t xml:space="preserve">he number of new diagnoses from 2010 to 2012 and 2013 to 2014 has remained fairly stable between their respective years. </w:t>
      </w:r>
      <w:r w:rsidRPr="00564B2F">
        <w:rPr>
          <w:sz w:val="22"/>
          <w:szCs w:val="22"/>
        </w:rPr>
        <w:t xml:space="preserve">In 2014, there were 438 new HIV diagnoses statewide, which is a small increase from the 434 new HIV diagnoses in 2013. </w:t>
      </w:r>
    </w:p>
    <w:p w:rsidR="003C3AD0" w:rsidRDefault="003C3AD0" w:rsidP="00C439F8">
      <w:pPr>
        <w:widowControl w:val="0"/>
        <w:jc w:val="both"/>
        <w:rPr>
          <w:color w:val="221E1F"/>
          <w:sz w:val="22"/>
          <w:szCs w:val="22"/>
        </w:rPr>
      </w:pPr>
      <w:r w:rsidRPr="00564B2F">
        <w:rPr>
          <w:color w:val="221E1F"/>
          <w:sz w:val="22"/>
          <w:szCs w:val="22"/>
        </w:rPr>
        <w:t xml:space="preserve">The number of new HIV stage 3 (AIDS) diagnoses </w:t>
      </w:r>
      <w:r>
        <w:rPr>
          <w:color w:val="221E1F"/>
          <w:sz w:val="22"/>
          <w:szCs w:val="22"/>
        </w:rPr>
        <w:t xml:space="preserve">per year </w:t>
      </w:r>
      <w:r w:rsidRPr="00564B2F">
        <w:rPr>
          <w:color w:val="221E1F"/>
          <w:sz w:val="22"/>
          <w:szCs w:val="22"/>
        </w:rPr>
        <w:t xml:space="preserve">has remained stable overall during this time period, </w:t>
      </w:r>
      <w:r>
        <w:rPr>
          <w:color w:val="221E1F"/>
          <w:sz w:val="22"/>
          <w:szCs w:val="22"/>
        </w:rPr>
        <w:t>with</w:t>
      </w:r>
      <w:r w:rsidRPr="00564B2F">
        <w:rPr>
          <w:color w:val="221E1F"/>
          <w:sz w:val="22"/>
          <w:szCs w:val="22"/>
        </w:rPr>
        <w:t xml:space="preserve"> 228 diagnoses in 2010 </w:t>
      </w:r>
      <w:r>
        <w:rPr>
          <w:color w:val="221E1F"/>
          <w:sz w:val="22"/>
          <w:szCs w:val="22"/>
        </w:rPr>
        <w:t>and</w:t>
      </w:r>
      <w:r w:rsidRPr="00564B2F">
        <w:rPr>
          <w:color w:val="221E1F"/>
          <w:sz w:val="22"/>
          <w:szCs w:val="22"/>
        </w:rPr>
        <w:t xml:space="preserve"> 215 diagnoses in 2014. There was a spike in new HIV stage 3 (AIDS) diagnoses in 2013, whe</w:t>
      </w:r>
      <w:r>
        <w:rPr>
          <w:color w:val="221E1F"/>
          <w:sz w:val="22"/>
          <w:szCs w:val="22"/>
        </w:rPr>
        <w:t>n</w:t>
      </w:r>
      <w:r w:rsidRPr="00564B2F">
        <w:rPr>
          <w:color w:val="221E1F"/>
          <w:sz w:val="22"/>
          <w:szCs w:val="22"/>
        </w:rPr>
        <w:t xml:space="preserve"> 250 new diagnoses were reported, </w:t>
      </w:r>
      <w:r>
        <w:rPr>
          <w:color w:val="221E1F"/>
          <w:sz w:val="22"/>
          <w:szCs w:val="22"/>
        </w:rPr>
        <w:t xml:space="preserve">while </w:t>
      </w:r>
      <w:r w:rsidRPr="00564B2F">
        <w:rPr>
          <w:color w:val="221E1F"/>
          <w:sz w:val="22"/>
          <w:szCs w:val="22"/>
        </w:rPr>
        <w:t xml:space="preserve">all other years did not exceed 226 new </w:t>
      </w:r>
      <w:r w:rsidRPr="00564B2F">
        <w:rPr>
          <w:color w:val="221E1F"/>
          <w:sz w:val="22"/>
          <w:szCs w:val="22"/>
        </w:rPr>
        <w:lastRenderedPageBreak/>
        <w:t xml:space="preserve">diagnoses. In addition, the rate of new HIV stage 3 (AIDS) diagnoses has </w:t>
      </w:r>
      <w:r w:rsidR="00824F98">
        <w:rPr>
          <w:color w:val="221E1F"/>
          <w:sz w:val="22"/>
          <w:szCs w:val="22"/>
        </w:rPr>
        <w:t xml:space="preserve">decreased from 8.4 per 100,000 </w:t>
      </w:r>
      <w:r w:rsidRPr="00564B2F">
        <w:rPr>
          <w:color w:val="221E1F"/>
          <w:sz w:val="22"/>
          <w:szCs w:val="22"/>
        </w:rPr>
        <w:t xml:space="preserve">population in 2010 to 7.6 per 100,000 population in 2014. </w:t>
      </w:r>
    </w:p>
    <w:p w:rsidR="00855BEB" w:rsidRDefault="003C3AD0" w:rsidP="00855BEB">
      <w:pPr>
        <w:jc w:val="both"/>
        <w:rPr>
          <w:sz w:val="22"/>
          <w:szCs w:val="22"/>
        </w:rPr>
      </w:pPr>
      <w:r w:rsidRPr="00564B2F">
        <w:rPr>
          <w:color w:val="221E1F"/>
          <w:sz w:val="22"/>
          <w:szCs w:val="22"/>
        </w:rPr>
        <w:t xml:space="preserve">The number of </w:t>
      </w:r>
      <w:r w:rsidR="00900ED1">
        <w:rPr>
          <w:color w:val="221E1F"/>
          <w:sz w:val="22"/>
          <w:szCs w:val="22"/>
        </w:rPr>
        <w:t>PLWH</w:t>
      </w:r>
      <w:r w:rsidRPr="00564B2F">
        <w:rPr>
          <w:color w:val="221E1F"/>
          <w:sz w:val="22"/>
          <w:szCs w:val="22"/>
        </w:rPr>
        <w:t xml:space="preserve"> (not HIV stage 3 (AIDS)) increased 17% from 2010 to 2014</w:t>
      </w:r>
      <w:r w:rsidR="00900ED1">
        <w:rPr>
          <w:color w:val="221E1F"/>
          <w:sz w:val="22"/>
          <w:szCs w:val="22"/>
        </w:rPr>
        <w:t>;</w:t>
      </w:r>
      <w:r w:rsidRPr="00564B2F">
        <w:rPr>
          <w:color w:val="221E1F"/>
          <w:sz w:val="22"/>
          <w:szCs w:val="22"/>
        </w:rPr>
        <w:t xml:space="preserve"> and the number of persons living with HIV stage 3 (AIDS) increased 15% from 2010 to 2014. The total number of </w:t>
      </w:r>
      <w:r w:rsidR="00900ED1">
        <w:rPr>
          <w:color w:val="221E1F"/>
          <w:sz w:val="22"/>
          <w:szCs w:val="22"/>
        </w:rPr>
        <w:t>PLWH</w:t>
      </w:r>
      <w:r w:rsidRPr="00564B2F">
        <w:rPr>
          <w:color w:val="221E1F"/>
          <w:sz w:val="22"/>
          <w:szCs w:val="22"/>
        </w:rPr>
        <w:t>, including HIV stage 3 (AIDS), in Nevada increased 16% from 8</w:t>
      </w:r>
      <w:r w:rsidR="00FF35F5">
        <w:rPr>
          <w:color w:val="221E1F"/>
          <w:sz w:val="22"/>
          <w:szCs w:val="22"/>
        </w:rPr>
        <w:t xml:space="preserve">,191 in 2010 to 9,733 in 2014. </w:t>
      </w:r>
      <w:r w:rsidRPr="00564B2F">
        <w:rPr>
          <w:sz w:val="22"/>
          <w:szCs w:val="22"/>
        </w:rPr>
        <w:t>Overall, the number of new HIV diagnoses, new HIV stage 3 (AIDS) cases, and death</w:t>
      </w:r>
      <w:r w:rsidR="002320EC">
        <w:rPr>
          <w:sz w:val="22"/>
          <w:szCs w:val="22"/>
        </w:rPr>
        <w:t xml:space="preserve">s among </w:t>
      </w:r>
      <w:r w:rsidR="00900ED1">
        <w:rPr>
          <w:sz w:val="22"/>
          <w:szCs w:val="22"/>
        </w:rPr>
        <w:t>PLWH</w:t>
      </w:r>
      <w:r w:rsidRPr="00564B2F">
        <w:rPr>
          <w:sz w:val="22"/>
          <w:szCs w:val="22"/>
        </w:rPr>
        <w:t xml:space="preserve"> been steadily declining. Few</w:t>
      </w:r>
      <w:r w:rsidR="00900ED1">
        <w:rPr>
          <w:sz w:val="22"/>
          <w:szCs w:val="22"/>
        </w:rPr>
        <w:t xml:space="preserve">er people are becoming infected; </w:t>
      </w:r>
      <w:r w:rsidRPr="00564B2F">
        <w:rPr>
          <w:sz w:val="22"/>
          <w:szCs w:val="22"/>
        </w:rPr>
        <w:t>and people are living longer once they do become infected. Although many advances have been made in HIV, including HIV stage 3 (AIDS), prevention and care, geographic, sex, age, and racial/ethnic disparities still exist within our state.</w:t>
      </w:r>
      <w:r w:rsidR="00855BEB">
        <w:rPr>
          <w:sz w:val="22"/>
          <w:szCs w:val="22"/>
        </w:rPr>
        <w:t xml:space="preserve"> </w:t>
      </w:r>
      <w:r w:rsidR="00855BEB" w:rsidRPr="00824F98">
        <w:rPr>
          <w:sz w:val="22"/>
          <w:szCs w:val="22"/>
        </w:rPr>
        <w:t xml:space="preserve">Since the beginning of the epidemic, 5,262 persons known to be living with HIV, including HIV stage 3 (AIDS), in Nevada have died. In this report, cause of death is not specified; some of these deaths may have been due to HIV related causes, while others may have been due to unrelated causes. Overall, the annual number of deaths among </w:t>
      </w:r>
      <w:r w:rsidR="00900ED1">
        <w:rPr>
          <w:sz w:val="22"/>
          <w:szCs w:val="22"/>
        </w:rPr>
        <w:t>PLWH</w:t>
      </w:r>
      <w:r w:rsidR="00855BEB" w:rsidRPr="00824F98">
        <w:rPr>
          <w:sz w:val="22"/>
          <w:szCs w:val="22"/>
        </w:rPr>
        <w:t xml:space="preserve">, including HIV stage 3 (AIDS) has been declining.  </w:t>
      </w:r>
    </w:p>
    <w:p w:rsidR="003C3AD0" w:rsidRPr="00362476" w:rsidRDefault="003C3AD0" w:rsidP="00362476">
      <w:pPr>
        <w:spacing w:before="0" w:after="0" w:line="240" w:lineRule="auto"/>
        <w:rPr>
          <w:b/>
          <w:sz w:val="22"/>
        </w:rPr>
      </w:pPr>
      <w:bookmarkStart w:id="15" w:name="_Toc456247447"/>
      <w:bookmarkStart w:id="16" w:name="_Toc456156993"/>
      <w:bookmarkStart w:id="17" w:name="_Toc454344387"/>
      <w:r w:rsidRPr="00362476">
        <w:rPr>
          <w:b/>
          <w:sz w:val="22"/>
        </w:rPr>
        <w:t>Table 3. Persons Living with HIV, New HIV Diagnoses, New HIV Stage 3 (AIDS) Diagnoses, and Deaths in Nevada, 1982-2014</w:t>
      </w:r>
      <w:bookmarkEnd w:id="15"/>
      <w:bookmarkEnd w:id="16"/>
      <w:bookmarkEnd w:id="17"/>
    </w:p>
    <w:tbl>
      <w:tblPr>
        <w:tblpPr w:leftFromText="180" w:rightFromText="180" w:vertAnchor="text" w:horzAnchor="margin" w:tblpY="73"/>
        <w:tblW w:w="5000" w:type="pct"/>
        <w:tblLook w:val="04A0" w:firstRow="1" w:lastRow="0" w:firstColumn="1" w:lastColumn="0" w:noHBand="0" w:noVBand="1"/>
      </w:tblPr>
      <w:tblGrid>
        <w:gridCol w:w="654"/>
        <w:gridCol w:w="586"/>
        <w:gridCol w:w="720"/>
        <w:gridCol w:w="557"/>
        <w:gridCol w:w="630"/>
        <w:gridCol w:w="701"/>
        <w:gridCol w:w="701"/>
        <w:gridCol w:w="701"/>
        <w:gridCol w:w="701"/>
        <w:gridCol w:w="701"/>
        <w:gridCol w:w="701"/>
        <w:gridCol w:w="823"/>
        <w:gridCol w:w="1174"/>
      </w:tblGrid>
      <w:tr w:rsidR="003C3AD0" w:rsidTr="00E260BE">
        <w:trPr>
          <w:trHeight w:val="20"/>
        </w:trPr>
        <w:tc>
          <w:tcPr>
            <w:tcW w:w="349" w:type="pct"/>
            <w:vMerge w:val="restart"/>
            <w:tcBorders>
              <w:top w:val="single" w:sz="4" w:space="0" w:color="auto"/>
              <w:left w:val="single" w:sz="4" w:space="0" w:color="auto"/>
              <w:bottom w:val="single" w:sz="4" w:space="0" w:color="000000"/>
              <w:right w:val="single" w:sz="4" w:space="0" w:color="auto"/>
            </w:tcBorders>
            <w:shd w:val="clear" w:color="auto" w:fill="4F81BD"/>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Year</w:t>
            </w:r>
          </w:p>
        </w:tc>
        <w:tc>
          <w:tcPr>
            <w:tcW w:w="698" w:type="pct"/>
            <w:gridSpan w:val="2"/>
            <w:tcBorders>
              <w:top w:val="single" w:sz="4" w:space="0" w:color="auto"/>
              <w:left w:val="nil"/>
              <w:bottom w:val="nil"/>
              <w:right w:val="single" w:sz="4" w:space="0" w:color="000000"/>
            </w:tcBorders>
            <w:shd w:val="clear" w:color="auto" w:fill="4F81BD"/>
            <w:vAlign w:val="center"/>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New HIV Diagnoses</w:t>
            </w:r>
          </w:p>
        </w:tc>
        <w:tc>
          <w:tcPr>
            <w:tcW w:w="635" w:type="pct"/>
            <w:gridSpan w:val="2"/>
            <w:tcBorders>
              <w:top w:val="single" w:sz="4" w:space="0" w:color="auto"/>
              <w:left w:val="nil"/>
              <w:bottom w:val="nil"/>
              <w:right w:val="single" w:sz="4" w:space="0" w:color="000000"/>
            </w:tcBorders>
            <w:shd w:val="clear" w:color="auto" w:fill="4F81BD"/>
            <w:vAlign w:val="center"/>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New HIV Stage 3 (AIDS) Diagnoses</w:t>
            </w:r>
          </w:p>
        </w:tc>
        <w:tc>
          <w:tcPr>
            <w:tcW w:w="750" w:type="pct"/>
            <w:gridSpan w:val="2"/>
            <w:tcBorders>
              <w:top w:val="single" w:sz="4" w:space="0" w:color="auto"/>
              <w:left w:val="nil"/>
              <w:bottom w:val="nil"/>
              <w:right w:val="single" w:sz="4" w:space="0" w:color="000000"/>
            </w:tcBorders>
            <w:shd w:val="clear" w:color="auto" w:fill="9BBB59"/>
            <w:vAlign w:val="center"/>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Persons Living with      HIV (not HIV Stage 3 (AIDS))</w:t>
            </w:r>
          </w:p>
        </w:tc>
        <w:tc>
          <w:tcPr>
            <w:tcW w:w="750" w:type="pct"/>
            <w:gridSpan w:val="2"/>
            <w:tcBorders>
              <w:top w:val="single" w:sz="4" w:space="0" w:color="auto"/>
              <w:left w:val="nil"/>
              <w:bottom w:val="nil"/>
              <w:right w:val="single" w:sz="4" w:space="0" w:color="000000"/>
            </w:tcBorders>
            <w:shd w:val="clear" w:color="auto" w:fill="9BBB59"/>
            <w:vAlign w:val="center"/>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Persons Living with HIV Stage 3 (AIDS)</w:t>
            </w:r>
          </w:p>
        </w:tc>
        <w:tc>
          <w:tcPr>
            <w:tcW w:w="750" w:type="pct"/>
            <w:gridSpan w:val="2"/>
            <w:tcBorders>
              <w:top w:val="single" w:sz="4" w:space="0" w:color="auto"/>
              <w:left w:val="nil"/>
              <w:bottom w:val="nil"/>
              <w:right w:val="single" w:sz="4" w:space="0" w:color="000000"/>
            </w:tcBorders>
            <w:shd w:val="clear" w:color="auto" w:fill="9BBB59"/>
            <w:vAlign w:val="center"/>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Persons Living with HIV</w:t>
            </w:r>
          </w:p>
        </w:tc>
        <w:tc>
          <w:tcPr>
            <w:tcW w:w="440" w:type="pct"/>
            <w:tcBorders>
              <w:top w:val="single" w:sz="4" w:space="0" w:color="auto"/>
              <w:left w:val="nil"/>
              <w:bottom w:val="nil"/>
              <w:right w:val="single" w:sz="4" w:space="0" w:color="auto"/>
            </w:tcBorders>
            <w:shd w:val="clear" w:color="auto" w:fill="632523"/>
            <w:vAlign w:val="center"/>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Deaths</w:t>
            </w:r>
          </w:p>
        </w:tc>
        <w:tc>
          <w:tcPr>
            <w:tcW w:w="628" w:type="pct"/>
            <w:tcBorders>
              <w:top w:val="single" w:sz="4" w:space="0" w:color="auto"/>
              <w:left w:val="nil"/>
              <w:bottom w:val="nil"/>
              <w:right w:val="single" w:sz="4" w:space="0" w:color="auto"/>
            </w:tcBorders>
            <w:shd w:val="clear" w:color="auto" w:fill="632523"/>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Cumulative Deaths</w:t>
            </w:r>
          </w:p>
        </w:tc>
      </w:tr>
      <w:tr w:rsidR="003C3AD0" w:rsidTr="00E260BE">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C3AD0" w:rsidRDefault="003C3AD0" w:rsidP="00235695">
            <w:pPr>
              <w:spacing w:before="0" w:after="0" w:line="240" w:lineRule="auto"/>
              <w:rPr>
                <w:rFonts w:cs="Arial"/>
                <w:b/>
                <w:bCs/>
                <w:color w:val="FFFFFF"/>
                <w:sz w:val="16"/>
                <w:szCs w:val="16"/>
              </w:rPr>
            </w:pPr>
          </w:p>
        </w:tc>
        <w:tc>
          <w:tcPr>
            <w:tcW w:w="313" w:type="pct"/>
            <w:shd w:val="clear" w:color="auto" w:fill="4F81BD"/>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w:t>
            </w:r>
          </w:p>
        </w:tc>
        <w:tc>
          <w:tcPr>
            <w:tcW w:w="385" w:type="pct"/>
            <w:tcBorders>
              <w:top w:val="nil"/>
              <w:left w:val="nil"/>
              <w:bottom w:val="nil"/>
              <w:right w:val="single" w:sz="4" w:space="0" w:color="auto"/>
            </w:tcBorders>
            <w:shd w:val="clear" w:color="auto" w:fill="4F81BD"/>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Rate</w:t>
            </w:r>
          </w:p>
        </w:tc>
        <w:tc>
          <w:tcPr>
            <w:tcW w:w="298" w:type="pct"/>
            <w:tcBorders>
              <w:top w:val="nil"/>
              <w:left w:val="nil"/>
              <w:bottom w:val="single" w:sz="4" w:space="0" w:color="auto"/>
              <w:right w:val="nil"/>
            </w:tcBorders>
            <w:shd w:val="clear" w:color="auto" w:fill="4F81BD"/>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w:t>
            </w:r>
          </w:p>
        </w:tc>
        <w:tc>
          <w:tcPr>
            <w:tcW w:w="337" w:type="pct"/>
            <w:tcBorders>
              <w:top w:val="nil"/>
              <w:left w:val="nil"/>
              <w:bottom w:val="single" w:sz="4" w:space="0" w:color="auto"/>
              <w:right w:val="single" w:sz="4" w:space="0" w:color="auto"/>
            </w:tcBorders>
            <w:shd w:val="clear" w:color="auto" w:fill="4F81BD"/>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Rate</w:t>
            </w:r>
          </w:p>
        </w:tc>
        <w:tc>
          <w:tcPr>
            <w:tcW w:w="375" w:type="pct"/>
            <w:tcBorders>
              <w:top w:val="nil"/>
              <w:left w:val="nil"/>
              <w:bottom w:val="single" w:sz="4" w:space="0" w:color="auto"/>
              <w:right w:val="nil"/>
            </w:tcBorders>
            <w:shd w:val="clear" w:color="auto" w:fill="9BBB59"/>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w:t>
            </w:r>
          </w:p>
        </w:tc>
        <w:tc>
          <w:tcPr>
            <w:tcW w:w="375" w:type="pct"/>
            <w:tcBorders>
              <w:top w:val="nil"/>
              <w:left w:val="nil"/>
              <w:bottom w:val="single" w:sz="4" w:space="0" w:color="auto"/>
              <w:right w:val="single" w:sz="4" w:space="0" w:color="auto"/>
            </w:tcBorders>
            <w:shd w:val="clear" w:color="auto" w:fill="9BBB59"/>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Rate</w:t>
            </w:r>
          </w:p>
        </w:tc>
        <w:tc>
          <w:tcPr>
            <w:tcW w:w="375" w:type="pct"/>
            <w:tcBorders>
              <w:top w:val="nil"/>
              <w:left w:val="nil"/>
              <w:bottom w:val="single" w:sz="4" w:space="0" w:color="auto"/>
              <w:right w:val="nil"/>
            </w:tcBorders>
            <w:shd w:val="clear" w:color="auto" w:fill="9BBB59"/>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w:t>
            </w:r>
          </w:p>
        </w:tc>
        <w:tc>
          <w:tcPr>
            <w:tcW w:w="375" w:type="pct"/>
            <w:tcBorders>
              <w:top w:val="nil"/>
              <w:left w:val="nil"/>
              <w:bottom w:val="single" w:sz="4" w:space="0" w:color="auto"/>
              <w:right w:val="single" w:sz="4" w:space="0" w:color="auto"/>
            </w:tcBorders>
            <w:shd w:val="clear" w:color="auto" w:fill="9BBB59"/>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Rate</w:t>
            </w:r>
          </w:p>
        </w:tc>
        <w:tc>
          <w:tcPr>
            <w:tcW w:w="375" w:type="pct"/>
            <w:tcBorders>
              <w:top w:val="nil"/>
              <w:left w:val="nil"/>
              <w:bottom w:val="single" w:sz="4" w:space="0" w:color="auto"/>
              <w:right w:val="nil"/>
            </w:tcBorders>
            <w:shd w:val="clear" w:color="auto" w:fill="9BBB59"/>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w:t>
            </w:r>
          </w:p>
        </w:tc>
        <w:tc>
          <w:tcPr>
            <w:tcW w:w="375" w:type="pct"/>
            <w:tcBorders>
              <w:top w:val="nil"/>
              <w:left w:val="nil"/>
              <w:bottom w:val="single" w:sz="4" w:space="0" w:color="auto"/>
              <w:right w:val="single" w:sz="4" w:space="0" w:color="auto"/>
            </w:tcBorders>
            <w:shd w:val="clear" w:color="auto" w:fill="9BBB59"/>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Rate</w:t>
            </w:r>
          </w:p>
        </w:tc>
        <w:tc>
          <w:tcPr>
            <w:tcW w:w="440" w:type="pct"/>
            <w:tcBorders>
              <w:top w:val="nil"/>
              <w:left w:val="nil"/>
              <w:bottom w:val="single" w:sz="4" w:space="0" w:color="auto"/>
              <w:right w:val="nil"/>
            </w:tcBorders>
            <w:shd w:val="clear" w:color="auto" w:fill="632523"/>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w:t>
            </w:r>
          </w:p>
        </w:tc>
        <w:tc>
          <w:tcPr>
            <w:tcW w:w="628" w:type="pct"/>
            <w:tcBorders>
              <w:top w:val="nil"/>
              <w:left w:val="single" w:sz="4" w:space="0" w:color="auto"/>
              <w:bottom w:val="single" w:sz="4" w:space="0" w:color="auto"/>
              <w:right w:val="single" w:sz="4" w:space="0" w:color="auto"/>
            </w:tcBorders>
            <w:shd w:val="clear" w:color="auto" w:fill="632523"/>
            <w:noWrap/>
            <w:vAlign w:val="bottom"/>
            <w:hideMark/>
          </w:tcPr>
          <w:p w:rsidR="003C3AD0" w:rsidRDefault="003C3AD0" w:rsidP="00235695">
            <w:pPr>
              <w:spacing w:before="0" w:after="0" w:line="240" w:lineRule="auto"/>
              <w:jc w:val="center"/>
              <w:rPr>
                <w:rFonts w:cs="Arial"/>
                <w:b/>
                <w:bCs/>
                <w:color w:val="FFFFFF"/>
                <w:sz w:val="16"/>
                <w:szCs w:val="16"/>
              </w:rPr>
            </w:pPr>
            <w:r>
              <w:rPr>
                <w:rFonts w:cs="Arial"/>
                <w:b/>
                <w:bCs/>
                <w:color w:val="FFFFFF"/>
                <w:sz w:val="16"/>
                <w:szCs w:val="16"/>
              </w:rPr>
              <w:t>N</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1982</w:t>
            </w:r>
          </w:p>
        </w:tc>
        <w:tc>
          <w:tcPr>
            <w:tcW w:w="313" w:type="pct"/>
            <w:tcBorders>
              <w:top w:val="single" w:sz="4" w:space="0" w:color="auto"/>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w:t>
            </w:r>
          </w:p>
        </w:tc>
        <w:tc>
          <w:tcPr>
            <w:tcW w:w="385"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0.3</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0.0</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0.0</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0.0</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1983</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0.8</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4</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0.1</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0.0</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0.1</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1984</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2.0</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10</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0.0</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0.4</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1985</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136</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14.2</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17</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0.7</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23</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1986</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156</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15.7</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51</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5.1</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39</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3.9</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0.5</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4.8</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29</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52</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1987</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251</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24.3</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84</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8.1</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85</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0.8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101</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9.8</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61</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113</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1988</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368</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33.6</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131</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12.0</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179</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16.4</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86</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199</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1989</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493</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42.4</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161</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13.9</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237</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20.4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295</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25.4</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118</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317</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1990</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751</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60.8</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206</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16.7</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372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30.1</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5.5</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470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38.0</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128</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445</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1991</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654</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49.6</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301</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22.8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616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46.7</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7.9</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767</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58.1</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195</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640</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1992</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647</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47.2</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418</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30.5</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828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60.4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13.6</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1,074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78.3</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237</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877</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1993</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537</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37.5</w:t>
            </w:r>
          </w:p>
        </w:tc>
        <w:tc>
          <w:tcPr>
            <w:tcW w:w="298" w:type="pct"/>
            <w:tcBorders>
              <w:top w:val="nil"/>
              <w:left w:val="nil"/>
              <w:bottom w:val="single" w:sz="4" w:space="0" w:color="000000"/>
              <w:right w:val="nil"/>
            </w:tcBorders>
            <w:shd w:val="clear" w:color="auto" w:fill="FFFFFF"/>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402</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28.1</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1,080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75.4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302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21.1</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1,457</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101.8</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276</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1,153</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1994</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539</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35.3</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394</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25.8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1,273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83.4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470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30.8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1,826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119.7</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361</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1,514</w:t>
            </w:r>
          </w:p>
        </w:tc>
      </w:tr>
      <w:tr w:rsidR="003C3AD0" w:rsidTr="00E260BE">
        <w:trPr>
          <w:trHeight w:val="20"/>
        </w:trPr>
        <w:tc>
          <w:tcPr>
            <w:tcW w:w="349" w:type="pct"/>
            <w:tcBorders>
              <w:top w:val="nil"/>
              <w:left w:val="single" w:sz="4" w:space="0" w:color="auto"/>
              <w:bottom w:val="nil"/>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1995</w:t>
            </w:r>
          </w:p>
        </w:tc>
        <w:tc>
          <w:tcPr>
            <w:tcW w:w="313" w:type="pct"/>
            <w:tcBorders>
              <w:top w:val="nil"/>
              <w:left w:val="single" w:sz="4" w:space="0" w:color="auto"/>
              <w:bottom w:val="nil"/>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482</w:t>
            </w:r>
          </w:p>
        </w:tc>
        <w:tc>
          <w:tcPr>
            <w:tcW w:w="385"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29.9</w:t>
            </w:r>
          </w:p>
        </w:tc>
        <w:tc>
          <w:tcPr>
            <w:tcW w:w="298" w:type="pct"/>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454</w:t>
            </w:r>
          </w:p>
        </w:tc>
        <w:tc>
          <w:tcPr>
            <w:tcW w:w="337"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28.2</w:t>
            </w:r>
          </w:p>
        </w:tc>
        <w:tc>
          <w:tcPr>
            <w:tcW w:w="375" w:type="pct"/>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1,505</w:t>
            </w:r>
          </w:p>
        </w:tc>
        <w:tc>
          <w:tcPr>
            <w:tcW w:w="375"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93.4</w:t>
            </w:r>
          </w:p>
        </w:tc>
        <w:tc>
          <w:tcPr>
            <w:tcW w:w="375" w:type="pct"/>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671</w:t>
            </w:r>
          </w:p>
        </w:tc>
        <w:tc>
          <w:tcPr>
            <w:tcW w:w="375"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41.6</w:t>
            </w:r>
          </w:p>
        </w:tc>
        <w:tc>
          <w:tcPr>
            <w:tcW w:w="375" w:type="pct"/>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2,269</w:t>
            </w:r>
          </w:p>
        </w:tc>
        <w:tc>
          <w:tcPr>
            <w:tcW w:w="375"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140.8</w:t>
            </w:r>
          </w:p>
        </w:tc>
        <w:tc>
          <w:tcPr>
            <w:tcW w:w="440"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357</w:t>
            </w:r>
          </w:p>
        </w:tc>
        <w:tc>
          <w:tcPr>
            <w:tcW w:w="628"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1,871</w:t>
            </w:r>
          </w:p>
        </w:tc>
      </w:tr>
      <w:tr w:rsidR="003C3AD0" w:rsidTr="00E260BE">
        <w:trPr>
          <w:trHeight w:val="20"/>
        </w:trPr>
        <w:tc>
          <w:tcPr>
            <w:tcW w:w="349" w:type="pct"/>
            <w:tcBorders>
              <w:top w:val="single" w:sz="4" w:space="0" w:color="auto"/>
              <w:left w:val="single" w:sz="4" w:space="0" w:color="auto"/>
              <w:bottom w:val="nil"/>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1996</w:t>
            </w:r>
          </w:p>
        </w:tc>
        <w:tc>
          <w:tcPr>
            <w:tcW w:w="313" w:type="pct"/>
            <w:tcBorders>
              <w:top w:val="single" w:sz="4" w:space="0" w:color="auto"/>
              <w:left w:val="single" w:sz="4" w:space="0" w:color="auto"/>
              <w:bottom w:val="nil"/>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528</w:t>
            </w:r>
          </w:p>
        </w:tc>
        <w:tc>
          <w:tcPr>
            <w:tcW w:w="385" w:type="pct"/>
            <w:tcBorders>
              <w:top w:val="single" w:sz="4" w:space="0" w:color="auto"/>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31.1</w:t>
            </w:r>
          </w:p>
        </w:tc>
        <w:tc>
          <w:tcPr>
            <w:tcW w:w="298" w:type="pct"/>
            <w:tcBorders>
              <w:top w:val="single" w:sz="4" w:space="0" w:color="auto"/>
              <w:left w:val="nil"/>
              <w:bottom w:val="nil"/>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387</w:t>
            </w:r>
          </w:p>
        </w:tc>
        <w:tc>
          <w:tcPr>
            <w:tcW w:w="337" w:type="pct"/>
            <w:tcBorders>
              <w:top w:val="single" w:sz="4" w:space="0" w:color="auto"/>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22.8</w:t>
            </w:r>
          </w:p>
        </w:tc>
        <w:tc>
          <w:tcPr>
            <w:tcW w:w="375" w:type="pct"/>
            <w:tcBorders>
              <w:top w:val="single" w:sz="4" w:space="0" w:color="auto"/>
              <w:left w:val="nil"/>
              <w:bottom w:val="nil"/>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1,682</w:t>
            </w:r>
          </w:p>
        </w:tc>
        <w:tc>
          <w:tcPr>
            <w:tcW w:w="375" w:type="pct"/>
            <w:tcBorders>
              <w:top w:val="single" w:sz="4" w:space="0" w:color="auto"/>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99.2</w:t>
            </w:r>
          </w:p>
        </w:tc>
        <w:tc>
          <w:tcPr>
            <w:tcW w:w="375" w:type="pct"/>
            <w:tcBorders>
              <w:top w:val="single" w:sz="4" w:space="0" w:color="auto"/>
              <w:left w:val="nil"/>
              <w:bottom w:val="nil"/>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1,008</w:t>
            </w:r>
          </w:p>
        </w:tc>
        <w:tc>
          <w:tcPr>
            <w:tcW w:w="375" w:type="pct"/>
            <w:tcBorders>
              <w:top w:val="single" w:sz="4" w:space="0" w:color="auto"/>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59.4</w:t>
            </w:r>
          </w:p>
        </w:tc>
        <w:tc>
          <w:tcPr>
            <w:tcW w:w="375" w:type="pct"/>
            <w:tcBorders>
              <w:top w:val="single" w:sz="4" w:space="0" w:color="auto"/>
              <w:left w:val="nil"/>
              <w:bottom w:val="nil"/>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2,789</w:t>
            </w:r>
          </w:p>
        </w:tc>
        <w:tc>
          <w:tcPr>
            <w:tcW w:w="375" w:type="pct"/>
            <w:tcBorders>
              <w:top w:val="single" w:sz="4" w:space="0" w:color="auto"/>
              <w:left w:val="nil"/>
              <w:bottom w:val="nil"/>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164.4</w:t>
            </w:r>
          </w:p>
        </w:tc>
        <w:tc>
          <w:tcPr>
            <w:tcW w:w="440" w:type="pct"/>
            <w:tcBorders>
              <w:top w:val="single" w:sz="4" w:space="0" w:color="auto"/>
              <w:left w:val="single" w:sz="4" w:space="0" w:color="auto"/>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260</w:t>
            </w:r>
          </w:p>
        </w:tc>
        <w:tc>
          <w:tcPr>
            <w:tcW w:w="628" w:type="pct"/>
            <w:tcBorders>
              <w:top w:val="single" w:sz="4" w:space="0" w:color="auto"/>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2,131</w:t>
            </w:r>
          </w:p>
        </w:tc>
      </w:tr>
      <w:tr w:rsidR="003C3AD0" w:rsidTr="00E260BE">
        <w:trPr>
          <w:trHeight w:val="20"/>
        </w:trPr>
        <w:tc>
          <w:tcPr>
            <w:tcW w:w="349" w:type="pct"/>
            <w:tcBorders>
              <w:top w:val="single" w:sz="4" w:space="0" w:color="auto"/>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1997</w:t>
            </w:r>
          </w:p>
        </w:tc>
        <w:tc>
          <w:tcPr>
            <w:tcW w:w="313" w:type="pct"/>
            <w:tcBorders>
              <w:top w:val="single" w:sz="4" w:space="0" w:color="auto"/>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481</w:t>
            </w:r>
          </w:p>
        </w:tc>
        <w:tc>
          <w:tcPr>
            <w:tcW w:w="385"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26.9</w:t>
            </w:r>
          </w:p>
        </w:tc>
        <w:tc>
          <w:tcPr>
            <w:tcW w:w="298" w:type="pct"/>
            <w:tcBorders>
              <w:top w:val="single" w:sz="4" w:space="0" w:color="auto"/>
              <w:left w:val="nil"/>
              <w:bottom w:val="single" w:sz="4" w:space="0" w:color="auto"/>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342</w:t>
            </w:r>
          </w:p>
        </w:tc>
        <w:tc>
          <w:tcPr>
            <w:tcW w:w="337"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19.1</w:t>
            </w:r>
          </w:p>
        </w:tc>
        <w:tc>
          <w:tcPr>
            <w:tcW w:w="375" w:type="pct"/>
            <w:tcBorders>
              <w:top w:val="single" w:sz="4" w:space="0" w:color="auto"/>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1,924</w:t>
            </w:r>
          </w:p>
        </w:tc>
        <w:tc>
          <w:tcPr>
            <w:tcW w:w="375"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107.5</w:t>
            </w:r>
          </w:p>
        </w:tc>
        <w:tc>
          <w:tcPr>
            <w:tcW w:w="375" w:type="pct"/>
            <w:tcBorders>
              <w:top w:val="single" w:sz="4" w:space="0" w:color="auto"/>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1,379</w:t>
            </w:r>
          </w:p>
        </w:tc>
        <w:tc>
          <w:tcPr>
            <w:tcW w:w="375"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77.0</w:t>
            </w:r>
          </w:p>
        </w:tc>
        <w:tc>
          <w:tcPr>
            <w:tcW w:w="375" w:type="pct"/>
            <w:tcBorders>
              <w:top w:val="single" w:sz="4" w:space="0" w:color="auto"/>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3,410</w:t>
            </w:r>
          </w:p>
        </w:tc>
        <w:tc>
          <w:tcPr>
            <w:tcW w:w="375"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190.5</w:t>
            </w:r>
          </w:p>
        </w:tc>
        <w:tc>
          <w:tcPr>
            <w:tcW w:w="440"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186</w:t>
            </w:r>
          </w:p>
        </w:tc>
        <w:tc>
          <w:tcPr>
            <w:tcW w:w="628" w:type="pct"/>
            <w:tcBorders>
              <w:top w:val="single" w:sz="4" w:space="0" w:color="auto"/>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2,317</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1998</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436</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23.3</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262</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14.0</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2,158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115.3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1,712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91.5</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3,985</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213.0</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178</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2,495</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1999</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402</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20.7</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256</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2,383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122.4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1,971</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101.3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4,476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230.0</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179</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2,674</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2000</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396</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19.6</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268</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2,598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128.8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2,232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110.6</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4,959</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245.8</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173</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2,847</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2001</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349</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16.4</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218</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2,812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132.2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2,493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117.2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5,437</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255.7</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146</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2,993</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2002</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348</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15.8</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272</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3,033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137.8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2,724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123.8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5,895</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267.9</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170</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3,163</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2003</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335</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14.6</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244</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10.7</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3,245</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141.7</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2,962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129.3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6,349</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277.1</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176</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3,339</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2004</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401</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16.7</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279</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11.6</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3,458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143.8</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3,194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132.9</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6,796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282.7</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198</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3,537</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2005</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451</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18.0</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286</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11.4</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3,104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123.7</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3,594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143.2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6,822</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271.8</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208</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3,745</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2006</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406</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14.9</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254</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9.3</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3,303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121.2</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3,693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135.5</w:t>
            </w:r>
          </w:p>
        </w:tc>
        <w:tc>
          <w:tcPr>
            <w:tcW w:w="375" w:type="pct"/>
            <w:tcBorders>
              <w:top w:val="nil"/>
              <w:left w:val="nil"/>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6,996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256.8</w:t>
            </w:r>
          </w:p>
        </w:tc>
        <w:tc>
          <w:tcPr>
            <w:tcW w:w="440"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191</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3,936</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2007</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432</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15.9</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283</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10.4</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3,779</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139.0</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3,537</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130.1</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7,316</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269.1</w:t>
            </w:r>
          </w:p>
        </w:tc>
        <w:tc>
          <w:tcPr>
            <w:tcW w:w="440" w:type="pct"/>
            <w:tcBorders>
              <w:top w:val="nil"/>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207</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4,143</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2008</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401</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15.2</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280</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10.6</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3,780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143.1</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3,943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149.3</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7,723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292.4</w:t>
            </w:r>
          </w:p>
        </w:tc>
        <w:tc>
          <w:tcPr>
            <w:tcW w:w="440" w:type="pct"/>
            <w:tcBorders>
              <w:top w:val="nil"/>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199</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4,342</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2009</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369</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13.8</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225</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8.4</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3,834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143.2</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4,104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153.3</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7,938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296.4</w:t>
            </w:r>
          </w:p>
        </w:tc>
        <w:tc>
          <w:tcPr>
            <w:tcW w:w="440" w:type="pct"/>
            <w:tcBorders>
              <w:top w:val="nil"/>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138</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4,480</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2010</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373</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13.8</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228</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8.4</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3,910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144.5</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4,281</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158.2</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8,191</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302.7</w:t>
            </w:r>
          </w:p>
        </w:tc>
        <w:tc>
          <w:tcPr>
            <w:tcW w:w="440" w:type="pct"/>
            <w:tcBorders>
              <w:top w:val="nil"/>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160</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4,640</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2011</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380</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14.0</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215</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7.9</w:t>
            </w:r>
          </w:p>
        </w:tc>
        <w:tc>
          <w:tcPr>
            <w:tcW w:w="375" w:type="pct"/>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4,014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147.5</w:t>
            </w:r>
          </w:p>
        </w:tc>
        <w:tc>
          <w:tcPr>
            <w:tcW w:w="375" w:type="pct"/>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4,425</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162.6</w:t>
            </w:r>
          </w:p>
        </w:tc>
        <w:tc>
          <w:tcPr>
            <w:tcW w:w="375" w:type="pct"/>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8,439</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310.1</w:t>
            </w:r>
          </w:p>
        </w:tc>
        <w:tc>
          <w:tcPr>
            <w:tcW w:w="440" w:type="pct"/>
            <w:tcBorders>
              <w:top w:val="nil"/>
              <w:left w:val="nil"/>
              <w:bottom w:val="nil"/>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172</w:t>
            </w:r>
          </w:p>
        </w:tc>
        <w:tc>
          <w:tcPr>
            <w:tcW w:w="628"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4,812</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2012</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363</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13.2</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226</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8.2</w:t>
            </w:r>
          </w:p>
        </w:tc>
        <w:tc>
          <w:tcPr>
            <w:tcW w:w="375" w:type="pct"/>
            <w:tcBorders>
              <w:top w:val="single" w:sz="4" w:space="0" w:color="auto"/>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4,120</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149.8</w:t>
            </w:r>
          </w:p>
        </w:tc>
        <w:tc>
          <w:tcPr>
            <w:tcW w:w="375" w:type="pct"/>
            <w:tcBorders>
              <w:top w:val="single" w:sz="4" w:space="0" w:color="auto"/>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4,543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165.2</w:t>
            </w:r>
          </w:p>
        </w:tc>
        <w:tc>
          <w:tcPr>
            <w:tcW w:w="375" w:type="pct"/>
            <w:tcBorders>
              <w:top w:val="single" w:sz="4" w:space="0" w:color="auto"/>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8,663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315.0</w:t>
            </w:r>
          </w:p>
        </w:tc>
        <w:tc>
          <w:tcPr>
            <w:tcW w:w="440" w:type="pct"/>
            <w:tcBorders>
              <w:top w:val="single" w:sz="4" w:space="0" w:color="auto"/>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187</w:t>
            </w:r>
          </w:p>
        </w:tc>
        <w:tc>
          <w:tcPr>
            <w:tcW w:w="628" w:type="pct"/>
            <w:tcBorders>
              <w:top w:val="nil"/>
              <w:left w:val="nil"/>
              <w:bottom w:val="nil"/>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4,999</w:t>
            </w:r>
          </w:p>
        </w:tc>
      </w:tr>
      <w:tr w:rsidR="003C3AD0" w:rsidTr="00E260BE">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2013</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434</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15.5</w:t>
            </w:r>
          </w:p>
        </w:tc>
        <w:tc>
          <w:tcPr>
            <w:tcW w:w="298" w:type="pct"/>
            <w:tcBorders>
              <w:top w:val="nil"/>
              <w:left w:val="nil"/>
              <w:bottom w:val="single" w:sz="4" w:space="0" w:color="000000"/>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250</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8.9</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4,341</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155.0</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4,737</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169.1</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9,078</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324.1</w:t>
            </w:r>
          </w:p>
        </w:tc>
        <w:tc>
          <w:tcPr>
            <w:tcW w:w="440" w:type="pct"/>
            <w:tcBorders>
              <w:top w:val="nil"/>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120</w:t>
            </w:r>
          </w:p>
        </w:tc>
        <w:tc>
          <w:tcPr>
            <w:tcW w:w="628" w:type="pct"/>
            <w:tcBorders>
              <w:top w:val="single" w:sz="4" w:space="0" w:color="auto"/>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5,119</w:t>
            </w:r>
          </w:p>
        </w:tc>
      </w:tr>
      <w:tr w:rsidR="003C3AD0" w:rsidTr="007D25DD">
        <w:trPr>
          <w:trHeight w:val="20"/>
        </w:trPr>
        <w:tc>
          <w:tcPr>
            <w:tcW w:w="349" w:type="pct"/>
            <w:tcBorders>
              <w:top w:val="nil"/>
              <w:left w:val="single" w:sz="4" w:space="0" w:color="auto"/>
              <w:bottom w:val="single" w:sz="4" w:space="0" w:color="auto"/>
              <w:right w:val="nil"/>
            </w:tcBorders>
            <w:noWrap/>
            <w:vAlign w:val="bottom"/>
            <w:hideMark/>
          </w:tcPr>
          <w:p w:rsidR="003C3AD0" w:rsidRDefault="003C3AD0" w:rsidP="00235695">
            <w:pPr>
              <w:spacing w:before="0" w:after="0" w:line="240" w:lineRule="auto"/>
              <w:jc w:val="center"/>
              <w:rPr>
                <w:rFonts w:cs="Arial"/>
                <w:sz w:val="16"/>
                <w:szCs w:val="16"/>
              </w:rPr>
            </w:pPr>
            <w:r>
              <w:rPr>
                <w:rFonts w:cs="Arial"/>
                <w:sz w:val="16"/>
                <w:szCs w:val="16"/>
              </w:rPr>
              <w:t>2014</w:t>
            </w:r>
          </w:p>
        </w:tc>
        <w:tc>
          <w:tcPr>
            <w:tcW w:w="313" w:type="pct"/>
            <w:tcBorders>
              <w:top w:val="nil"/>
              <w:left w:val="single" w:sz="4" w:space="0" w:color="auto"/>
              <w:bottom w:val="single" w:sz="4" w:space="0" w:color="auto"/>
              <w:right w:val="nil"/>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438</w:t>
            </w:r>
          </w:p>
        </w:tc>
        <w:tc>
          <w:tcPr>
            <w:tcW w:w="38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15.4</w:t>
            </w:r>
          </w:p>
        </w:tc>
        <w:tc>
          <w:tcPr>
            <w:tcW w:w="298" w:type="pct"/>
            <w:tcBorders>
              <w:top w:val="nil"/>
              <w:left w:val="nil"/>
              <w:bottom w:val="single" w:sz="4" w:space="0" w:color="auto"/>
              <w:right w:val="nil"/>
            </w:tcBorders>
            <w:vAlign w:val="bottom"/>
            <w:hideMark/>
          </w:tcPr>
          <w:p w:rsidR="003C3AD0" w:rsidRDefault="003C3AD0" w:rsidP="00235695">
            <w:pPr>
              <w:spacing w:before="0" w:after="0" w:line="240" w:lineRule="auto"/>
              <w:jc w:val="right"/>
              <w:rPr>
                <w:rFonts w:cs="Arial"/>
                <w:color w:val="000000"/>
                <w:sz w:val="16"/>
                <w:szCs w:val="16"/>
              </w:rPr>
            </w:pPr>
            <w:r>
              <w:rPr>
                <w:rFonts w:cs="Arial"/>
                <w:color w:val="000000"/>
                <w:sz w:val="16"/>
                <w:szCs w:val="16"/>
              </w:rPr>
              <w:t>215</w:t>
            </w:r>
          </w:p>
        </w:tc>
        <w:tc>
          <w:tcPr>
            <w:tcW w:w="337"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7.6</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4,689</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164.9</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5,044</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177.4</w:t>
            </w:r>
          </w:p>
        </w:tc>
        <w:tc>
          <w:tcPr>
            <w:tcW w:w="375" w:type="pct"/>
            <w:tcBorders>
              <w:top w:val="nil"/>
              <w:left w:val="nil"/>
              <w:bottom w:val="single" w:sz="4" w:space="0" w:color="auto"/>
              <w:right w:val="nil"/>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9,733</w:t>
            </w:r>
          </w:p>
        </w:tc>
        <w:tc>
          <w:tcPr>
            <w:tcW w:w="375" w:type="pct"/>
            <w:tcBorders>
              <w:top w:val="nil"/>
              <w:left w:val="nil"/>
              <w:bottom w:val="single" w:sz="4" w:space="0" w:color="auto"/>
              <w:right w:val="single" w:sz="4" w:space="0" w:color="auto"/>
            </w:tcBorders>
            <w:shd w:val="clear" w:color="auto" w:fill="FFFFFF"/>
            <w:noWrap/>
            <w:vAlign w:val="bottom"/>
            <w:hideMark/>
          </w:tcPr>
          <w:p w:rsidR="003C3AD0" w:rsidRDefault="003C3AD0" w:rsidP="00235695">
            <w:pPr>
              <w:spacing w:before="0" w:after="0" w:line="240" w:lineRule="auto"/>
              <w:jc w:val="right"/>
              <w:rPr>
                <w:rFonts w:cs="Arial"/>
                <w:sz w:val="16"/>
                <w:szCs w:val="16"/>
              </w:rPr>
            </w:pPr>
            <w:r>
              <w:rPr>
                <w:rFonts w:cs="Arial"/>
                <w:sz w:val="16"/>
                <w:szCs w:val="16"/>
              </w:rPr>
              <w:t>342.3</w:t>
            </w:r>
          </w:p>
        </w:tc>
        <w:tc>
          <w:tcPr>
            <w:tcW w:w="440" w:type="pct"/>
            <w:tcBorders>
              <w:top w:val="nil"/>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143</w:t>
            </w:r>
          </w:p>
        </w:tc>
        <w:tc>
          <w:tcPr>
            <w:tcW w:w="628" w:type="pct"/>
            <w:tcBorders>
              <w:top w:val="nil"/>
              <w:left w:val="nil"/>
              <w:bottom w:val="single" w:sz="4" w:space="0" w:color="auto"/>
              <w:right w:val="single" w:sz="4" w:space="0" w:color="auto"/>
            </w:tcBorders>
            <w:noWrap/>
            <w:vAlign w:val="bottom"/>
            <w:hideMark/>
          </w:tcPr>
          <w:p w:rsidR="003C3AD0" w:rsidRDefault="003C3AD0" w:rsidP="00235695">
            <w:pPr>
              <w:spacing w:before="0" w:after="0" w:line="240" w:lineRule="auto"/>
              <w:jc w:val="right"/>
              <w:rPr>
                <w:rFonts w:cs="Arial"/>
                <w:sz w:val="16"/>
                <w:szCs w:val="16"/>
              </w:rPr>
            </w:pPr>
            <w:r>
              <w:rPr>
                <w:rFonts w:cs="Arial"/>
                <w:sz w:val="16"/>
                <w:szCs w:val="16"/>
              </w:rPr>
              <w:t>5,262</w:t>
            </w:r>
          </w:p>
        </w:tc>
      </w:tr>
    </w:tbl>
    <w:p w:rsidR="003C3AD0" w:rsidRDefault="003C3AD0" w:rsidP="00F103A5">
      <w:pPr>
        <w:pStyle w:val="Heading5"/>
        <w:rPr>
          <w:color w:val="FF0000"/>
        </w:rPr>
      </w:pPr>
      <w:r>
        <w:lastRenderedPageBreak/>
        <w:t xml:space="preserve">Geographic Concentrations of </w:t>
      </w:r>
      <w:r w:rsidRPr="00824F98">
        <w:t>HIV</w:t>
      </w:r>
    </w:p>
    <w:p w:rsidR="003C3AD0" w:rsidRPr="00C24487" w:rsidRDefault="00824F98" w:rsidP="00BD58FC">
      <w:pPr>
        <w:widowControl w:val="0"/>
        <w:jc w:val="both"/>
        <w:rPr>
          <w:sz w:val="22"/>
          <w:szCs w:val="22"/>
        </w:rPr>
      </w:pPr>
      <w:r>
        <w:rPr>
          <w:noProof/>
        </w:rPr>
        <w:drawing>
          <wp:anchor distT="0" distB="0" distL="114300" distR="114300" simplePos="0" relativeHeight="251749376" behindDoc="1" locked="0" layoutInCell="1" allowOverlap="1" wp14:anchorId="418E26F5" wp14:editId="05795615">
            <wp:simplePos x="0" y="0"/>
            <wp:positionH relativeFrom="column">
              <wp:posOffset>2782570</wp:posOffset>
            </wp:positionH>
            <wp:positionV relativeFrom="paragraph">
              <wp:posOffset>51435</wp:posOffset>
            </wp:positionV>
            <wp:extent cx="3497580" cy="2901950"/>
            <wp:effectExtent l="0" t="0" r="0" b="0"/>
            <wp:wrapSquare wrapText="bothSides"/>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3C3AD0" w:rsidRPr="00C24487">
        <w:rPr>
          <w:sz w:val="22"/>
          <w:szCs w:val="22"/>
        </w:rPr>
        <w:t>At the end of 2014, there were 2,828,794 persons living in Nevada</w:t>
      </w:r>
      <w:r w:rsidR="003C3AD0">
        <w:rPr>
          <w:sz w:val="22"/>
          <w:szCs w:val="22"/>
        </w:rPr>
        <w:t xml:space="preserve"> with the majority (73%) </w:t>
      </w:r>
      <w:r w:rsidR="003C3AD0" w:rsidRPr="00C24487">
        <w:rPr>
          <w:sz w:val="22"/>
          <w:szCs w:val="22"/>
        </w:rPr>
        <w:t>concentrated in Clark County</w:t>
      </w:r>
      <w:r w:rsidR="003C3AD0">
        <w:rPr>
          <w:sz w:val="22"/>
          <w:szCs w:val="22"/>
        </w:rPr>
        <w:t xml:space="preserve">. The </w:t>
      </w:r>
      <w:r w:rsidR="003C3AD0" w:rsidRPr="00C24487">
        <w:rPr>
          <w:sz w:val="22"/>
          <w:szCs w:val="22"/>
        </w:rPr>
        <w:t xml:space="preserve">next most populous county </w:t>
      </w:r>
      <w:r w:rsidR="003C3AD0">
        <w:rPr>
          <w:sz w:val="22"/>
          <w:szCs w:val="22"/>
        </w:rPr>
        <w:t>is</w:t>
      </w:r>
      <w:r w:rsidR="003C3AD0" w:rsidRPr="00C24487">
        <w:rPr>
          <w:sz w:val="22"/>
          <w:szCs w:val="22"/>
        </w:rPr>
        <w:t xml:space="preserve"> Washoe </w:t>
      </w:r>
      <w:r w:rsidR="003C3AD0">
        <w:rPr>
          <w:sz w:val="22"/>
          <w:szCs w:val="22"/>
        </w:rPr>
        <w:t xml:space="preserve">with 15% of the population. The remaining 12% of the population are distributed across the </w:t>
      </w:r>
      <w:r w:rsidR="003C3AD0" w:rsidRPr="00C24487">
        <w:rPr>
          <w:sz w:val="22"/>
          <w:szCs w:val="22"/>
        </w:rPr>
        <w:t xml:space="preserve">remaining </w:t>
      </w:r>
      <w:r w:rsidR="003C3AD0">
        <w:rPr>
          <w:sz w:val="22"/>
          <w:szCs w:val="22"/>
        </w:rPr>
        <w:t xml:space="preserve">17 </w:t>
      </w:r>
      <w:r w:rsidR="003C3AD0" w:rsidRPr="00C24487">
        <w:rPr>
          <w:sz w:val="22"/>
          <w:szCs w:val="22"/>
        </w:rPr>
        <w:t xml:space="preserve">counties </w:t>
      </w:r>
      <w:r w:rsidR="003C3AD0">
        <w:rPr>
          <w:sz w:val="22"/>
          <w:szCs w:val="22"/>
        </w:rPr>
        <w:t>(</w:t>
      </w:r>
      <w:r w:rsidR="003C3AD0" w:rsidRPr="00C24487">
        <w:rPr>
          <w:sz w:val="22"/>
          <w:szCs w:val="22"/>
        </w:rPr>
        <w:t xml:space="preserve">referred to as </w:t>
      </w:r>
      <w:r w:rsidR="003C3AD0" w:rsidRPr="00C24487">
        <w:rPr>
          <w:i/>
          <w:iCs/>
          <w:sz w:val="22"/>
          <w:szCs w:val="22"/>
        </w:rPr>
        <w:t>all other counties</w:t>
      </w:r>
      <w:r w:rsidR="003C3AD0">
        <w:rPr>
          <w:i/>
          <w:iCs/>
          <w:sz w:val="22"/>
          <w:szCs w:val="22"/>
        </w:rPr>
        <w:t>)</w:t>
      </w:r>
      <w:r>
        <w:rPr>
          <w:i/>
          <w:iCs/>
          <w:sz w:val="22"/>
          <w:szCs w:val="22"/>
        </w:rPr>
        <w:t xml:space="preserve">. </w:t>
      </w:r>
      <w:r w:rsidR="003C3AD0" w:rsidRPr="00C24487">
        <w:rPr>
          <w:sz w:val="22"/>
          <w:szCs w:val="22"/>
        </w:rPr>
        <w:t xml:space="preserve">Clark County accounts for a disproportionate amount of new HIV diagnoses </w:t>
      </w:r>
      <w:r w:rsidR="003C3AD0">
        <w:rPr>
          <w:sz w:val="22"/>
          <w:szCs w:val="22"/>
        </w:rPr>
        <w:t xml:space="preserve">(88%) </w:t>
      </w:r>
      <w:r w:rsidR="003C3AD0" w:rsidRPr="00C24487">
        <w:rPr>
          <w:sz w:val="22"/>
          <w:szCs w:val="22"/>
        </w:rPr>
        <w:t>and persons living with HIV</w:t>
      </w:r>
      <w:r w:rsidR="00900ED1">
        <w:rPr>
          <w:sz w:val="22"/>
          <w:szCs w:val="22"/>
        </w:rPr>
        <w:t xml:space="preserve"> (86%</w:t>
      </w:r>
      <w:r w:rsidR="003C3AD0" w:rsidRPr="00C24487">
        <w:rPr>
          <w:sz w:val="22"/>
          <w:szCs w:val="22"/>
        </w:rPr>
        <w:t>).</w:t>
      </w:r>
    </w:p>
    <w:p w:rsidR="003C3AD0" w:rsidRDefault="00AC321D" w:rsidP="00BD58FC">
      <w:pPr>
        <w:widowControl w:val="0"/>
        <w:jc w:val="both"/>
        <w:rPr>
          <w:sz w:val="22"/>
          <w:szCs w:val="22"/>
        </w:rPr>
      </w:pPr>
      <w:r w:rsidRPr="00C24487">
        <w:rPr>
          <w:noProof/>
          <w:sz w:val="22"/>
          <w:szCs w:val="22"/>
        </w:rPr>
        <w:drawing>
          <wp:anchor distT="0" distB="0" distL="114300" distR="114300" simplePos="0" relativeHeight="251750400" behindDoc="0" locked="0" layoutInCell="1" allowOverlap="1" wp14:anchorId="50F15B90" wp14:editId="565292BB">
            <wp:simplePos x="0" y="0"/>
            <wp:positionH relativeFrom="column">
              <wp:posOffset>2783951</wp:posOffset>
            </wp:positionH>
            <wp:positionV relativeFrom="paragraph">
              <wp:posOffset>710565</wp:posOffset>
            </wp:positionV>
            <wp:extent cx="3413760" cy="2114550"/>
            <wp:effectExtent l="0" t="0" r="0" b="0"/>
            <wp:wrapSquare wrapText="bothSides"/>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C3AD0" w:rsidRPr="00C24487">
        <w:rPr>
          <w:sz w:val="22"/>
          <w:szCs w:val="22"/>
        </w:rPr>
        <w:t xml:space="preserve">In 2014, the rate of new </w:t>
      </w:r>
      <w:r w:rsidR="003C3AD0" w:rsidRPr="00C24487">
        <w:rPr>
          <w:color w:val="221E1F"/>
          <w:sz w:val="22"/>
          <w:szCs w:val="22"/>
        </w:rPr>
        <w:t>diagnoses</w:t>
      </w:r>
      <w:r w:rsidR="003C3AD0" w:rsidRPr="00C24487">
        <w:rPr>
          <w:sz w:val="22"/>
          <w:szCs w:val="22"/>
        </w:rPr>
        <w:t xml:space="preserve"> in Clark County (18.7 per 100,000 population) was 2 times greater than that of Washoe County (9.2 per 100,000 population) and 5.2 times greater than that of all other counties (3.6 per 100,000 population).  From 2010 to 2014, the rate of new </w:t>
      </w:r>
      <w:r w:rsidR="003C3AD0" w:rsidRPr="00C24487">
        <w:rPr>
          <w:color w:val="221E1F"/>
          <w:sz w:val="22"/>
          <w:szCs w:val="22"/>
        </w:rPr>
        <w:t>diagnoses</w:t>
      </w:r>
      <w:r w:rsidR="003C3AD0" w:rsidRPr="00C24487">
        <w:rPr>
          <w:sz w:val="22"/>
          <w:szCs w:val="22"/>
        </w:rPr>
        <w:t xml:space="preserve"> has </w:t>
      </w:r>
      <w:r w:rsidR="00900ED1">
        <w:rPr>
          <w:sz w:val="22"/>
          <w:szCs w:val="22"/>
        </w:rPr>
        <w:t>remained steady in Washoe County</w:t>
      </w:r>
      <w:r w:rsidR="003C3AD0">
        <w:rPr>
          <w:sz w:val="22"/>
          <w:szCs w:val="22"/>
        </w:rPr>
        <w:t xml:space="preserve"> and fairly stable </w:t>
      </w:r>
      <w:r w:rsidR="003C3AD0" w:rsidRPr="00C24487">
        <w:rPr>
          <w:sz w:val="22"/>
          <w:szCs w:val="22"/>
        </w:rPr>
        <w:t xml:space="preserve">in Clark County with the exception of </w:t>
      </w:r>
      <w:r w:rsidR="003C3AD0">
        <w:rPr>
          <w:sz w:val="22"/>
          <w:szCs w:val="22"/>
        </w:rPr>
        <w:t xml:space="preserve">the drop in </w:t>
      </w:r>
      <w:r w:rsidR="003C3AD0" w:rsidRPr="00C24487">
        <w:rPr>
          <w:sz w:val="22"/>
          <w:szCs w:val="22"/>
        </w:rPr>
        <w:t xml:space="preserve">2012 </w:t>
      </w:r>
      <w:r w:rsidR="003C3AD0">
        <w:rPr>
          <w:sz w:val="22"/>
          <w:szCs w:val="22"/>
        </w:rPr>
        <w:t>and subsequent rise in 2013</w:t>
      </w:r>
      <w:r w:rsidR="00900ED1">
        <w:rPr>
          <w:sz w:val="22"/>
          <w:szCs w:val="22"/>
        </w:rPr>
        <w:t xml:space="preserve"> (Figure 3). </w:t>
      </w:r>
      <w:r w:rsidR="003C3AD0" w:rsidRPr="00C24487">
        <w:rPr>
          <w:sz w:val="22"/>
          <w:szCs w:val="22"/>
        </w:rPr>
        <w:t xml:space="preserve">This </w:t>
      </w:r>
      <w:r w:rsidR="003C3AD0">
        <w:rPr>
          <w:sz w:val="22"/>
          <w:szCs w:val="22"/>
        </w:rPr>
        <w:t>variation is</w:t>
      </w:r>
      <w:r w:rsidR="003C3AD0" w:rsidRPr="00C24487">
        <w:rPr>
          <w:sz w:val="22"/>
          <w:szCs w:val="22"/>
        </w:rPr>
        <w:t xml:space="preserve"> most likely </w:t>
      </w:r>
      <w:r w:rsidR="003C3AD0">
        <w:rPr>
          <w:sz w:val="22"/>
          <w:szCs w:val="22"/>
        </w:rPr>
        <w:t>an artifact caused by</w:t>
      </w:r>
      <w:r w:rsidR="003C3AD0" w:rsidRPr="00C24487">
        <w:rPr>
          <w:sz w:val="22"/>
          <w:szCs w:val="22"/>
        </w:rPr>
        <w:t xml:space="preserve"> the unexpected closure of the </w:t>
      </w:r>
      <w:r w:rsidR="00900ED1">
        <w:rPr>
          <w:sz w:val="22"/>
          <w:szCs w:val="22"/>
        </w:rPr>
        <w:t xml:space="preserve">SNHD </w:t>
      </w:r>
      <w:r w:rsidR="003C3AD0" w:rsidRPr="00C24487">
        <w:rPr>
          <w:sz w:val="22"/>
          <w:szCs w:val="22"/>
        </w:rPr>
        <w:t>main building in April 2012 and disruption in testing services.</w:t>
      </w:r>
    </w:p>
    <w:p w:rsidR="003C3AD0" w:rsidRPr="00C24487" w:rsidRDefault="00900ED1" w:rsidP="000E08E2">
      <w:pPr>
        <w:widowControl w:val="0"/>
        <w:tabs>
          <w:tab w:val="left" w:pos="1482"/>
        </w:tabs>
        <w:spacing w:before="0" w:after="240"/>
        <w:jc w:val="both"/>
        <w:rPr>
          <w:bCs/>
          <w:sz w:val="22"/>
          <w:szCs w:val="22"/>
        </w:rPr>
      </w:pPr>
      <w:r w:rsidRPr="00C24487">
        <w:rPr>
          <w:noProof/>
          <w:sz w:val="22"/>
          <w:szCs w:val="22"/>
        </w:rPr>
        <w:drawing>
          <wp:anchor distT="0" distB="0" distL="114300" distR="114300" simplePos="0" relativeHeight="251754496" behindDoc="0" locked="0" layoutInCell="1" allowOverlap="1" wp14:anchorId="288F5FC3" wp14:editId="1F5976D0">
            <wp:simplePos x="0" y="0"/>
            <wp:positionH relativeFrom="column">
              <wp:posOffset>2672080</wp:posOffset>
            </wp:positionH>
            <wp:positionV relativeFrom="paragraph">
              <wp:posOffset>327660</wp:posOffset>
            </wp:positionV>
            <wp:extent cx="3550920" cy="2228850"/>
            <wp:effectExtent l="0" t="0" r="0" b="0"/>
            <wp:wrapSquare wrapText="bothSides"/>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C3AD0" w:rsidRPr="00C24487">
        <w:rPr>
          <w:bCs/>
          <w:sz w:val="22"/>
          <w:szCs w:val="22"/>
        </w:rPr>
        <w:t xml:space="preserve">Clark County also has the highest rate of </w:t>
      </w:r>
      <w:r>
        <w:rPr>
          <w:bCs/>
          <w:sz w:val="22"/>
          <w:szCs w:val="22"/>
        </w:rPr>
        <w:t>PLWH</w:t>
      </w:r>
      <w:r w:rsidR="00824F98">
        <w:rPr>
          <w:bCs/>
          <w:sz w:val="22"/>
          <w:szCs w:val="22"/>
        </w:rPr>
        <w:t xml:space="preserve">. </w:t>
      </w:r>
      <w:r w:rsidR="003C3AD0">
        <w:rPr>
          <w:bCs/>
          <w:sz w:val="22"/>
          <w:szCs w:val="22"/>
        </w:rPr>
        <w:t>I</w:t>
      </w:r>
      <w:r w:rsidR="003C3AD0" w:rsidRPr="00C24487">
        <w:rPr>
          <w:bCs/>
          <w:sz w:val="22"/>
          <w:szCs w:val="22"/>
        </w:rPr>
        <w:t>n 2014</w:t>
      </w:r>
      <w:r w:rsidR="001C15BA">
        <w:rPr>
          <w:bCs/>
          <w:sz w:val="22"/>
          <w:szCs w:val="22"/>
        </w:rPr>
        <w:t>,</w:t>
      </w:r>
      <w:r w:rsidR="003C3AD0" w:rsidRPr="00C24487">
        <w:rPr>
          <w:bCs/>
          <w:sz w:val="22"/>
          <w:szCs w:val="22"/>
        </w:rPr>
        <w:t xml:space="preserve"> the rate in Clark County (404.6 per 100,000 population) was 1.9 times higher than the rate in Washoe County (216.6 per 100,000 population) and 3.3 times higher than the rate in all other counties (122.5 per 100,000 population). From 2010 to 2014, in Clark and Washoe Counties the rate of </w:t>
      </w:r>
      <w:r>
        <w:rPr>
          <w:bCs/>
          <w:sz w:val="22"/>
          <w:szCs w:val="22"/>
        </w:rPr>
        <w:t>PLWH</w:t>
      </w:r>
      <w:r w:rsidR="003C3AD0" w:rsidRPr="00C24487">
        <w:rPr>
          <w:bCs/>
          <w:sz w:val="22"/>
          <w:szCs w:val="22"/>
        </w:rPr>
        <w:t xml:space="preserve"> has increased, while in the all other counties region the rate has remained stable (Figure 4). Th</w:t>
      </w:r>
      <w:r w:rsidR="003C3AD0">
        <w:rPr>
          <w:bCs/>
          <w:sz w:val="22"/>
          <w:szCs w:val="22"/>
        </w:rPr>
        <w:t>e</w:t>
      </w:r>
      <w:r w:rsidR="003C3AD0" w:rsidRPr="00C24487">
        <w:rPr>
          <w:bCs/>
          <w:sz w:val="22"/>
          <w:szCs w:val="22"/>
        </w:rPr>
        <w:t xml:space="preserve"> increase</w:t>
      </w:r>
      <w:r w:rsidR="003C3AD0">
        <w:rPr>
          <w:bCs/>
          <w:sz w:val="22"/>
          <w:szCs w:val="22"/>
        </w:rPr>
        <w:t>s</w:t>
      </w:r>
      <w:r w:rsidR="003C3AD0" w:rsidRPr="00C24487">
        <w:rPr>
          <w:bCs/>
          <w:sz w:val="22"/>
          <w:szCs w:val="22"/>
        </w:rPr>
        <w:t xml:space="preserve"> in Clark and Washoe Counties suggest that HIV-positive individuals are living longer</w:t>
      </w:r>
      <w:r w:rsidR="001C15BA">
        <w:rPr>
          <w:bCs/>
          <w:sz w:val="22"/>
          <w:szCs w:val="22"/>
        </w:rPr>
        <w:t xml:space="preserve"> and could reflect migration of PLWH diagnosed in other states to Clark and Washoe counties</w:t>
      </w:r>
      <w:r w:rsidR="003C3AD0" w:rsidRPr="001C15BA">
        <w:rPr>
          <w:bCs/>
          <w:sz w:val="22"/>
          <w:szCs w:val="22"/>
        </w:rPr>
        <w:t>.</w:t>
      </w:r>
      <w:r w:rsidR="003C3AD0" w:rsidRPr="00C24487">
        <w:rPr>
          <w:bCs/>
          <w:sz w:val="22"/>
          <w:szCs w:val="22"/>
        </w:rPr>
        <w:t xml:space="preserve"> </w:t>
      </w:r>
    </w:p>
    <w:p w:rsidR="003C3AD0" w:rsidRDefault="00362476" w:rsidP="00C8744D">
      <w:pPr>
        <w:widowControl w:val="0"/>
        <w:tabs>
          <w:tab w:val="left" w:pos="1482"/>
        </w:tabs>
        <w:spacing w:before="0" w:after="0"/>
        <w:jc w:val="both"/>
        <w:rPr>
          <w:b/>
          <w:sz w:val="22"/>
        </w:rPr>
      </w:pPr>
      <w:r w:rsidRPr="00362476">
        <w:rPr>
          <w:b/>
          <w:bCs/>
          <w:noProof/>
          <w:color w:val="1F497D"/>
          <w:sz w:val="22"/>
        </w:rPr>
        <w:lastRenderedPageBreak/>
        <w:drawing>
          <wp:anchor distT="0" distB="0" distL="114300" distR="114300" simplePos="0" relativeHeight="251756544" behindDoc="1" locked="0" layoutInCell="1" allowOverlap="1" wp14:anchorId="4872CEEB" wp14:editId="7778F957">
            <wp:simplePos x="0" y="0"/>
            <wp:positionH relativeFrom="column">
              <wp:posOffset>47625</wp:posOffset>
            </wp:positionH>
            <wp:positionV relativeFrom="paragraph">
              <wp:posOffset>238125</wp:posOffset>
            </wp:positionV>
            <wp:extent cx="5756275" cy="6847205"/>
            <wp:effectExtent l="0" t="0" r="0" b="0"/>
            <wp:wrapTight wrapText="bothSides">
              <wp:wrapPolygon edited="0">
                <wp:start x="0" y="0"/>
                <wp:lineTo x="0" y="21514"/>
                <wp:lineTo x="21517" y="21514"/>
                <wp:lineTo x="2151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684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AD0" w:rsidRPr="00362476">
        <w:rPr>
          <w:b/>
          <w:sz w:val="22"/>
        </w:rPr>
        <w:t>Figure 5. Person</w:t>
      </w:r>
      <w:r w:rsidR="00341D0E">
        <w:rPr>
          <w:b/>
          <w:sz w:val="22"/>
        </w:rPr>
        <w:t>s</w:t>
      </w:r>
      <w:r w:rsidR="003C3AD0" w:rsidRPr="00362476">
        <w:rPr>
          <w:b/>
          <w:sz w:val="22"/>
        </w:rPr>
        <w:t xml:space="preserve"> Living with HIV by Current County of Residence in Nevada, 2014</w:t>
      </w:r>
    </w:p>
    <w:p w:rsidR="00855BEB" w:rsidRDefault="00855BEB" w:rsidP="00C8744D">
      <w:pPr>
        <w:widowControl w:val="0"/>
        <w:tabs>
          <w:tab w:val="left" w:pos="1482"/>
        </w:tabs>
        <w:spacing w:before="0" w:after="0"/>
        <w:jc w:val="both"/>
        <w:rPr>
          <w:b/>
          <w:sz w:val="22"/>
        </w:rPr>
      </w:pPr>
    </w:p>
    <w:p w:rsidR="00855BEB" w:rsidRDefault="00855BEB" w:rsidP="00C8744D">
      <w:pPr>
        <w:widowControl w:val="0"/>
        <w:tabs>
          <w:tab w:val="left" w:pos="1482"/>
        </w:tabs>
        <w:spacing w:before="0" w:after="0"/>
        <w:jc w:val="both"/>
        <w:rPr>
          <w:b/>
          <w:sz w:val="22"/>
        </w:rPr>
      </w:pPr>
    </w:p>
    <w:p w:rsidR="00855BEB" w:rsidRDefault="00855BEB" w:rsidP="00C8744D">
      <w:pPr>
        <w:widowControl w:val="0"/>
        <w:tabs>
          <w:tab w:val="left" w:pos="1482"/>
        </w:tabs>
        <w:spacing w:before="0" w:after="0"/>
        <w:jc w:val="both"/>
        <w:rPr>
          <w:b/>
          <w:sz w:val="22"/>
        </w:rPr>
      </w:pPr>
    </w:p>
    <w:p w:rsidR="00855BEB" w:rsidRPr="00362476" w:rsidRDefault="00855BEB" w:rsidP="00C8744D">
      <w:pPr>
        <w:widowControl w:val="0"/>
        <w:tabs>
          <w:tab w:val="left" w:pos="1482"/>
        </w:tabs>
        <w:spacing w:before="0" w:after="0"/>
        <w:jc w:val="both"/>
        <w:rPr>
          <w:b/>
          <w:sz w:val="22"/>
        </w:rPr>
      </w:pPr>
    </w:p>
    <w:p w:rsidR="003C3AD0" w:rsidRPr="00C35A08" w:rsidRDefault="001C15BA" w:rsidP="00F103A5">
      <w:pPr>
        <w:pStyle w:val="Heading5"/>
      </w:pPr>
      <w:r>
        <w:lastRenderedPageBreak/>
        <w:t>HIV and Sex</w:t>
      </w:r>
      <w:r w:rsidR="00362476">
        <w:t xml:space="preserve"> At Birth</w:t>
      </w:r>
    </w:p>
    <w:p w:rsidR="003C3AD0" w:rsidRPr="00C24487" w:rsidRDefault="001C15BA" w:rsidP="00C35A08">
      <w:pPr>
        <w:widowControl w:val="0"/>
        <w:jc w:val="both"/>
        <w:rPr>
          <w:sz w:val="22"/>
          <w:szCs w:val="22"/>
        </w:rPr>
      </w:pPr>
      <w:r>
        <w:rPr>
          <w:sz w:val="22"/>
          <w:szCs w:val="22"/>
        </w:rPr>
        <w:t>In Nevada, m</w:t>
      </w:r>
      <w:r w:rsidR="003C3AD0" w:rsidRPr="00C24487">
        <w:rPr>
          <w:sz w:val="22"/>
          <w:szCs w:val="22"/>
        </w:rPr>
        <w:t xml:space="preserve">ales continue to be disproportionately affected by HIV, </w:t>
      </w:r>
      <w:r>
        <w:rPr>
          <w:sz w:val="22"/>
          <w:szCs w:val="22"/>
        </w:rPr>
        <w:t>including HIV stage 3 (AIDS)</w:t>
      </w:r>
      <w:r w:rsidR="003C3AD0" w:rsidRPr="00C24487">
        <w:rPr>
          <w:sz w:val="22"/>
          <w:szCs w:val="22"/>
        </w:rPr>
        <w:t xml:space="preserve">. In 2014, the rate of new HIV diagnoses among men (26.7 per 100,000 population) was 6.7 times that of women (4.0 per 100,000 population; Figure </w:t>
      </w:r>
      <w:r>
        <w:rPr>
          <w:sz w:val="22"/>
          <w:szCs w:val="22"/>
        </w:rPr>
        <w:t>6</w:t>
      </w:r>
      <w:r w:rsidR="003C3AD0" w:rsidRPr="00C24487">
        <w:rPr>
          <w:sz w:val="22"/>
          <w:szCs w:val="22"/>
        </w:rPr>
        <w:t xml:space="preserve">). Since 2010, the rate of new </w:t>
      </w:r>
      <w:r w:rsidR="003C3AD0" w:rsidRPr="00C24487">
        <w:rPr>
          <w:color w:val="221E1F"/>
          <w:sz w:val="22"/>
          <w:szCs w:val="22"/>
        </w:rPr>
        <w:t>diagnoses</w:t>
      </w:r>
      <w:r w:rsidR="003C3AD0" w:rsidRPr="00C24487">
        <w:rPr>
          <w:sz w:val="22"/>
          <w:szCs w:val="22"/>
        </w:rPr>
        <w:t xml:space="preserve"> among males increased</w:t>
      </w:r>
      <w:r w:rsidR="00A32916">
        <w:rPr>
          <w:sz w:val="22"/>
          <w:szCs w:val="22"/>
        </w:rPr>
        <w:t>,</w:t>
      </w:r>
      <w:r w:rsidR="003C3AD0" w:rsidRPr="00C24487">
        <w:rPr>
          <w:sz w:val="22"/>
          <w:szCs w:val="22"/>
        </w:rPr>
        <w:t xml:space="preserve"> while among females the rate has decreased. The rate of new HIV stage 3 (AIDS) diagnoses among men is also significantly higher than that of women (12.4 vs. 2.6 per 100,000 population)</w:t>
      </w:r>
      <w:r w:rsidR="003C3AD0">
        <w:rPr>
          <w:sz w:val="22"/>
          <w:szCs w:val="22"/>
        </w:rPr>
        <w:t xml:space="preserve">, but the </w:t>
      </w:r>
      <w:r w:rsidR="003C3AD0" w:rsidRPr="00C24487">
        <w:rPr>
          <w:sz w:val="22"/>
          <w:szCs w:val="22"/>
        </w:rPr>
        <w:t xml:space="preserve">rate of new HIV stage 3 (AIDS) diagnoses </w:t>
      </w:r>
      <w:r w:rsidR="003C3AD0">
        <w:rPr>
          <w:sz w:val="22"/>
          <w:szCs w:val="22"/>
        </w:rPr>
        <w:t xml:space="preserve">per year has been decreasing for </w:t>
      </w:r>
      <w:r>
        <w:rPr>
          <w:sz w:val="22"/>
          <w:szCs w:val="22"/>
        </w:rPr>
        <w:t xml:space="preserve">both </w:t>
      </w:r>
      <w:r w:rsidRPr="00C24487">
        <w:rPr>
          <w:sz w:val="22"/>
          <w:szCs w:val="22"/>
        </w:rPr>
        <w:t>males</w:t>
      </w:r>
      <w:r w:rsidR="003C3AD0" w:rsidRPr="00C24487">
        <w:rPr>
          <w:sz w:val="22"/>
          <w:szCs w:val="22"/>
        </w:rPr>
        <w:t xml:space="preserve"> and females over the last five years.</w:t>
      </w:r>
    </w:p>
    <w:bookmarkStart w:id="18" w:name="_Toc456247451"/>
    <w:bookmarkStart w:id="19" w:name="_Toc456156997"/>
    <w:bookmarkStart w:id="20" w:name="_Toc454344391"/>
    <w:bookmarkStart w:id="21" w:name="_Toc456247452"/>
    <w:bookmarkStart w:id="22" w:name="_Toc456156998"/>
    <w:bookmarkStart w:id="23" w:name="_Toc454344392"/>
    <w:p w:rsidR="003C3AD0" w:rsidRDefault="003E6822" w:rsidP="00D25CA2">
      <w:pPr>
        <w:jc w:val="both"/>
        <w:rPr>
          <w:sz w:val="22"/>
          <w:szCs w:val="22"/>
        </w:rPr>
      </w:pPr>
      <w:r w:rsidRPr="003E6822">
        <w:rPr>
          <w:noProof/>
          <w:sz w:val="22"/>
          <w:szCs w:val="22"/>
        </w:rPr>
        <mc:AlternateContent>
          <mc:Choice Requires="wps">
            <w:drawing>
              <wp:anchor distT="91440" distB="91440" distL="114300" distR="114300" simplePos="0" relativeHeight="251773952" behindDoc="0" locked="0" layoutInCell="1" allowOverlap="1" wp14:anchorId="770274FD" wp14:editId="344F0DD0">
                <wp:simplePos x="0" y="0"/>
                <wp:positionH relativeFrom="page">
                  <wp:posOffset>866140</wp:posOffset>
                </wp:positionH>
                <wp:positionV relativeFrom="paragraph">
                  <wp:posOffset>5649595</wp:posOffset>
                </wp:positionV>
                <wp:extent cx="5995035" cy="89789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897890"/>
                        </a:xfrm>
                        <a:prstGeom prst="rect">
                          <a:avLst/>
                        </a:prstGeom>
                        <a:noFill/>
                        <a:ln w="9525">
                          <a:noFill/>
                          <a:miter lim="800000"/>
                          <a:headEnd/>
                          <a:tailEnd/>
                        </a:ln>
                      </wps:spPr>
                      <wps:txbx>
                        <w:txbxContent>
                          <w:p w:rsidR="002E77F2" w:rsidRDefault="002E77F2" w:rsidP="003E6822">
                            <w:pPr>
                              <w:pBdr>
                                <w:top w:val="single" w:sz="24" w:space="8" w:color="4F81BD" w:themeColor="accent1"/>
                                <w:bottom w:val="single" w:sz="24" w:space="8" w:color="4F81BD" w:themeColor="accent1"/>
                              </w:pBdr>
                              <w:spacing w:before="360" w:after="0" w:line="240" w:lineRule="auto"/>
                              <w:jc w:val="center"/>
                              <w:rPr>
                                <w:i/>
                                <w:iCs/>
                                <w:color w:val="4F81BD" w:themeColor="accent1"/>
                                <w:sz w:val="24"/>
                              </w:rPr>
                            </w:pPr>
                            <w:r>
                              <w:rPr>
                                <w:i/>
                                <w:iCs/>
                                <w:color w:val="4F81BD" w:themeColor="accent1"/>
                                <w:sz w:val="24"/>
                                <w:szCs w:val="24"/>
                              </w:rPr>
                              <w:t>The rate of new HIV diagnoses among men was 6.7 times the rate for women in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0274FD" id="_x0000_s1028" type="#_x0000_t202" style="position:absolute;left:0;text-align:left;margin-left:68.2pt;margin-top:444.85pt;width:472.05pt;height:70.7pt;z-index:2517739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mzDgIAAPoDAAAOAAAAZHJzL2Uyb0RvYy54bWysU21v2yAQ/j5p/wHxfbHjxWtsxam6dp0m&#10;dS9Sux9AMI7RgGNAYme/vgdO0qj7No0PiOO45+557lhdj1qRvXBegmnofJZTIgyHVpptQ38+3b9b&#10;UuIDMy1TYERDD8LT6/XbN6vB1qKAHlQrHEEQ4+vBNrQPwdZZ5nkvNPMzsMKgswOnWUDTbbPWsQHR&#10;tcqKPP+QDeBa64AL7/H2bnLSdcLvOsHD967zIhDVUKwtpN2lfRP3bL1i9dYx20t+LIP9QxWaSYNJ&#10;z1B3LDCyc/IvKC25Aw9dmHHQGXSd5CJxQDbz/BWbx55ZkbigON6eZfL/D5Z/2/9wRLYNLeaUGKax&#10;R09iDOQjjKSI8gzW1/jq0eK7MOI1tjlR9fYB+C9PDNz2zGzFjXMw9IK1WN48RmYXoROOjyCb4Su0&#10;mIbtAiSgsXM6aodqEETHNh3OrYmlcLwsq6rM35eUcPQtq6tllXqXsfoUbZ0PnwVoEg8Nddj6hM72&#10;Dz7Ealh9ehKTGbiXSqX2K0OGhlZlUaaAC4+WAadTSY0587imeYkkP5k2BQcm1XTGBMocWUeiE+Uw&#10;bsZJ35OYG2gPKIODaRjx8+ChB/eHkgEHsaH+9445QYn6YlDKar5YxMlNxqK8KtBwl57NpYcZjlAN&#10;DZRMx9uQpn2ifIOSdzKpEXszVXIsGQcsiXT8DHGCL+306uXLrp8BAAD//wMAUEsDBBQABgAIAAAA&#10;IQDe6GCN3wAAAA0BAAAPAAAAZHJzL2Rvd25yZXYueG1sTI9NT8MwDIbvSPyHyEjcWFL2QVeaTgjE&#10;FbTBJnHzGq+taJyqydby70lPcPMrP3r9ON+MthUX6n3jWEMyUyCIS2carjR8frzepSB8QDbYOiYN&#10;P+RhU1xf5ZgZN/CWLrtQiVjCPkMNdQhdJqUva7LoZ64jjruT6y2GGPtKmh6HWG5bea/USlpsOF6o&#10;saPnmsrv3dlq2L+dvg4L9V692GU3uFFJtmup9e3N+PQIItAY/mCY9KM6FNHp6M5svGhjnq8WEdWQ&#10;pusHEBOhUrUEcZymeZKALHL5/4viFwAA//8DAFBLAQItABQABgAIAAAAIQC2gziS/gAAAOEBAAAT&#10;AAAAAAAAAAAAAAAAAAAAAABbQ29udGVudF9UeXBlc10ueG1sUEsBAi0AFAAGAAgAAAAhADj9If/W&#10;AAAAlAEAAAsAAAAAAAAAAAAAAAAALwEAAF9yZWxzLy5yZWxzUEsBAi0AFAAGAAgAAAAhAD3GGbMO&#10;AgAA+gMAAA4AAAAAAAAAAAAAAAAALgIAAGRycy9lMm9Eb2MueG1sUEsBAi0AFAAGAAgAAAAhAN7o&#10;YI3fAAAADQEAAA8AAAAAAAAAAAAAAAAAaAQAAGRycy9kb3ducmV2LnhtbFBLBQYAAAAABAAEAPMA&#10;AAB0BQAAAAA=&#10;" filled="f" stroked="f">
                <v:textbox>
                  <w:txbxContent>
                    <w:p w:rsidR="002E77F2" w:rsidRDefault="002E77F2" w:rsidP="003E6822">
                      <w:pPr>
                        <w:pBdr>
                          <w:top w:val="single" w:sz="24" w:space="8" w:color="4F81BD" w:themeColor="accent1"/>
                          <w:bottom w:val="single" w:sz="24" w:space="8" w:color="4F81BD" w:themeColor="accent1"/>
                        </w:pBdr>
                        <w:spacing w:before="360" w:after="0" w:line="240" w:lineRule="auto"/>
                        <w:jc w:val="center"/>
                        <w:rPr>
                          <w:i/>
                          <w:iCs/>
                          <w:color w:val="4F81BD" w:themeColor="accent1"/>
                          <w:sz w:val="24"/>
                        </w:rPr>
                      </w:pPr>
                      <w:r>
                        <w:rPr>
                          <w:i/>
                          <w:iCs/>
                          <w:color w:val="4F81BD" w:themeColor="accent1"/>
                          <w:sz w:val="24"/>
                          <w:szCs w:val="24"/>
                        </w:rPr>
                        <w:t>The rate of new HIV diagnoses among men was 6.7 times the rate for women in 2014.</w:t>
                      </w:r>
                    </w:p>
                  </w:txbxContent>
                </v:textbox>
                <w10:wrap type="square" anchorx="page"/>
              </v:shape>
            </w:pict>
          </mc:Fallback>
        </mc:AlternateContent>
      </w:r>
      <w:r w:rsidR="00362476" w:rsidRPr="00C24487">
        <w:rPr>
          <w:noProof/>
          <w:sz w:val="22"/>
          <w:szCs w:val="22"/>
        </w:rPr>
        <w:drawing>
          <wp:anchor distT="0" distB="0" distL="114300" distR="114300" simplePos="0" relativeHeight="251752448" behindDoc="0" locked="0" layoutInCell="1" allowOverlap="1" wp14:anchorId="57D1C0CC" wp14:editId="24DE42F4">
            <wp:simplePos x="0" y="0"/>
            <wp:positionH relativeFrom="column">
              <wp:posOffset>-142958</wp:posOffset>
            </wp:positionH>
            <wp:positionV relativeFrom="paragraph">
              <wp:posOffset>44035</wp:posOffset>
            </wp:positionV>
            <wp:extent cx="3704590" cy="3148330"/>
            <wp:effectExtent l="0" t="0" r="0" b="0"/>
            <wp:wrapSquare wrapText="bothSides"/>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bookmarkEnd w:id="18"/>
      <w:bookmarkEnd w:id="19"/>
      <w:bookmarkEnd w:id="20"/>
      <w:r w:rsidR="003C3AD0" w:rsidRPr="00D25CA2">
        <w:rPr>
          <w:noProof/>
          <w:sz w:val="22"/>
          <w:szCs w:val="22"/>
        </w:rPr>
        <w:drawing>
          <wp:anchor distT="0" distB="0" distL="114300" distR="114300" simplePos="0" relativeHeight="251753472" behindDoc="0" locked="0" layoutInCell="1" allowOverlap="1" wp14:anchorId="7DBB533E" wp14:editId="1675721A">
            <wp:simplePos x="0" y="0"/>
            <wp:positionH relativeFrom="column">
              <wp:posOffset>-190500</wp:posOffset>
            </wp:positionH>
            <wp:positionV relativeFrom="paragraph">
              <wp:posOffset>3068127</wp:posOffset>
            </wp:positionV>
            <wp:extent cx="3752850" cy="2712720"/>
            <wp:effectExtent l="0" t="0" r="0" b="0"/>
            <wp:wrapSquare wrapText="bothSides"/>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3C3AD0">
        <w:rPr>
          <w:sz w:val="22"/>
          <w:szCs w:val="22"/>
        </w:rPr>
        <w:t>I</w:t>
      </w:r>
      <w:r w:rsidR="003C3AD0" w:rsidRPr="00D25CA2">
        <w:rPr>
          <w:sz w:val="22"/>
          <w:szCs w:val="22"/>
        </w:rPr>
        <w:t>n 2014, rates of new HIV diagnoses were highest among Black</w:t>
      </w:r>
      <w:r w:rsidR="003C3AD0">
        <w:rPr>
          <w:sz w:val="22"/>
          <w:szCs w:val="22"/>
        </w:rPr>
        <w:t xml:space="preserve"> </w:t>
      </w:r>
      <w:r w:rsidR="003C3AD0" w:rsidRPr="00D25CA2">
        <w:rPr>
          <w:sz w:val="22"/>
          <w:szCs w:val="22"/>
        </w:rPr>
        <w:t xml:space="preserve">males (66.5 per 100,000 population) </w:t>
      </w:r>
      <w:r w:rsidR="003C3AD0">
        <w:rPr>
          <w:sz w:val="22"/>
          <w:szCs w:val="22"/>
        </w:rPr>
        <w:t>and</w:t>
      </w:r>
      <w:r w:rsidR="003C3AD0" w:rsidRPr="00D25CA2">
        <w:rPr>
          <w:sz w:val="22"/>
          <w:szCs w:val="22"/>
        </w:rPr>
        <w:t xml:space="preserve"> 3.6 times higher than that of White males (18.5 per 100,000 population)</w:t>
      </w:r>
      <w:r w:rsidR="001C15BA">
        <w:rPr>
          <w:sz w:val="22"/>
          <w:szCs w:val="22"/>
        </w:rPr>
        <w:t xml:space="preserve">.  The </w:t>
      </w:r>
      <w:r w:rsidR="003C3AD0" w:rsidRPr="00D25CA2">
        <w:rPr>
          <w:sz w:val="22"/>
          <w:szCs w:val="22"/>
        </w:rPr>
        <w:t xml:space="preserve">rate of new HIV diagnoses among Black females (20.2 per 100,000 population) was 8.4 times higher than that of White females (2.4 per </w:t>
      </w:r>
      <w:r w:rsidR="003C3AD0">
        <w:rPr>
          <w:sz w:val="22"/>
          <w:szCs w:val="22"/>
        </w:rPr>
        <w:t>100,000 population</w:t>
      </w:r>
      <w:r w:rsidR="001C15BA">
        <w:rPr>
          <w:sz w:val="22"/>
          <w:szCs w:val="22"/>
        </w:rPr>
        <w:t xml:space="preserve">; </w:t>
      </w:r>
      <w:r w:rsidR="003C3AD0">
        <w:rPr>
          <w:sz w:val="22"/>
          <w:szCs w:val="22"/>
        </w:rPr>
        <w:t xml:space="preserve">Figure </w:t>
      </w:r>
      <w:r w:rsidR="001C15BA">
        <w:rPr>
          <w:sz w:val="22"/>
          <w:szCs w:val="22"/>
        </w:rPr>
        <w:t>7</w:t>
      </w:r>
      <w:r w:rsidR="003C3AD0">
        <w:rPr>
          <w:sz w:val="22"/>
          <w:szCs w:val="22"/>
        </w:rPr>
        <w:t xml:space="preserve">). </w:t>
      </w:r>
      <w:r w:rsidR="003C3AD0" w:rsidRPr="00D25CA2">
        <w:rPr>
          <w:sz w:val="22"/>
          <w:szCs w:val="22"/>
        </w:rPr>
        <w:t>Hispanic and Asian/Hawaiian/Pacific Islander (API) males also experienced disparately high rates of new HIV diagnoses (31.9 and 14.6 per 100,000 population</w:t>
      </w:r>
      <w:r w:rsidR="001C15BA">
        <w:rPr>
          <w:sz w:val="22"/>
          <w:szCs w:val="22"/>
        </w:rPr>
        <w:t>,</w:t>
      </w:r>
      <w:r w:rsidR="003C3AD0" w:rsidRPr="00D25CA2">
        <w:rPr>
          <w:sz w:val="22"/>
          <w:szCs w:val="22"/>
        </w:rPr>
        <w:t xml:space="preserve"> respectively). AI/AN have very small counts causing their rates to vary greatly.</w:t>
      </w:r>
      <w:bookmarkEnd w:id="21"/>
      <w:bookmarkEnd w:id="22"/>
      <w:bookmarkEnd w:id="23"/>
      <w:r w:rsidR="003C3AD0">
        <w:rPr>
          <w:sz w:val="22"/>
          <w:szCs w:val="22"/>
        </w:rPr>
        <w:t xml:space="preserve"> </w:t>
      </w:r>
      <w:r w:rsidR="003C3AD0" w:rsidRPr="00D25CA2">
        <w:rPr>
          <w:sz w:val="22"/>
          <w:szCs w:val="22"/>
        </w:rPr>
        <w:t>In 2014, among men, the highest rates of new HIV diagnoses were among persons 25 to 34 years old (66.8 per 100,000 population), 13 to 24 years old (42.4 per 100,000 population), and 35 to 44 years old (31.9 per 100,000 population).</w:t>
      </w:r>
      <w:r w:rsidR="003C3AD0">
        <w:rPr>
          <w:sz w:val="22"/>
          <w:szCs w:val="22"/>
        </w:rPr>
        <w:t xml:space="preserve"> </w:t>
      </w:r>
      <w:r w:rsidR="003C3AD0" w:rsidRPr="00D25CA2">
        <w:rPr>
          <w:sz w:val="22"/>
          <w:szCs w:val="22"/>
        </w:rPr>
        <w:t xml:space="preserve">Among women, rates of new HIV diagnoses were highest among persons 55 to 64 years old (14.4 per 100,000 population), 25 to 34 years old (10.7 per 100,000 population), and 45 to 54 years old (7.4 per 100,000 population). </w:t>
      </w:r>
    </w:p>
    <w:p w:rsidR="003C3AD0" w:rsidRPr="00F11D78" w:rsidRDefault="003C3AD0" w:rsidP="00362476">
      <w:pPr>
        <w:widowControl w:val="0"/>
        <w:spacing w:before="360"/>
        <w:jc w:val="both"/>
        <w:rPr>
          <w:sz w:val="22"/>
          <w:szCs w:val="22"/>
        </w:rPr>
      </w:pPr>
      <w:r w:rsidRPr="00AD4850">
        <w:rPr>
          <w:noProof/>
        </w:rPr>
        <w:lastRenderedPageBreak/>
        <w:drawing>
          <wp:anchor distT="0" distB="0" distL="114300" distR="114300" simplePos="0" relativeHeight="251757568" behindDoc="0" locked="0" layoutInCell="1" allowOverlap="1" wp14:anchorId="32A71D99" wp14:editId="50273B5E">
            <wp:simplePos x="0" y="0"/>
            <wp:positionH relativeFrom="column">
              <wp:posOffset>0</wp:posOffset>
            </wp:positionH>
            <wp:positionV relativeFrom="paragraph">
              <wp:posOffset>0</wp:posOffset>
            </wp:positionV>
            <wp:extent cx="5970905" cy="2886075"/>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F11D78">
        <w:rPr>
          <w:sz w:val="22"/>
          <w:szCs w:val="22"/>
        </w:rPr>
        <w:t>For both males and females, the</w:t>
      </w:r>
      <w:r>
        <w:rPr>
          <w:sz w:val="22"/>
          <w:szCs w:val="22"/>
        </w:rPr>
        <w:t xml:space="preserve"> rate</w:t>
      </w:r>
      <w:r w:rsidRPr="00F11D78">
        <w:rPr>
          <w:sz w:val="22"/>
          <w:szCs w:val="22"/>
        </w:rPr>
        <w:t xml:space="preserve"> of persons living with HIV </w:t>
      </w:r>
      <w:r>
        <w:rPr>
          <w:sz w:val="22"/>
          <w:szCs w:val="22"/>
        </w:rPr>
        <w:t xml:space="preserve">in the population </w:t>
      </w:r>
      <w:r w:rsidRPr="00F11D78">
        <w:rPr>
          <w:sz w:val="22"/>
          <w:szCs w:val="22"/>
        </w:rPr>
        <w:t>has steadily increased.  In 2014, the rate of males living with HIV (572.2 per 100,000) was 5.3 times that of females (108.9 per 100,000</w:t>
      </w:r>
      <w:r>
        <w:rPr>
          <w:sz w:val="22"/>
          <w:szCs w:val="22"/>
        </w:rPr>
        <w:t xml:space="preserve">; Figure </w:t>
      </w:r>
      <w:r w:rsidR="001C15BA">
        <w:rPr>
          <w:sz w:val="22"/>
          <w:szCs w:val="22"/>
        </w:rPr>
        <w:t>8</w:t>
      </w:r>
      <w:r w:rsidRPr="00F11D78">
        <w:rPr>
          <w:sz w:val="22"/>
          <w:szCs w:val="22"/>
        </w:rPr>
        <w:t>). The rate of persons living with HIV stage 3 (AIDS) has also been increasing for both males and females. In 2014, the rate of males living with HIV stage 3 (AIDS) (296.6 per 100,000) was 5.3 times that of females (56.3 per 100,000).</w:t>
      </w:r>
    </w:p>
    <w:p w:rsidR="003C3AD0" w:rsidRDefault="003C3AD0" w:rsidP="00B75354">
      <w:pPr>
        <w:jc w:val="both"/>
        <w:rPr>
          <w:rFonts w:ascii="Calibri" w:eastAsia="Times New Roman" w:hAnsi="Calibri" w:cs="Times New Roman"/>
          <w:color w:val="000000"/>
          <w:kern w:val="28"/>
          <w:sz w:val="22"/>
          <w:szCs w:val="22"/>
          <w14:cntxtAlts/>
        </w:rPr>
      </w:pPr>
      <w:r w:rsidRPr="001C15BA">
        <w:rPr>
          <w:noProof/>
        </w:rPr>
        <w:drawing>
          <wp:anchor distT="0" distB="0" distL="114300" distR="114300" simplePos="0" relativeHeight="251758592" behindDoc="0" locked="0" layoutInCell="1" allowOverlap="1" wp14:anchorId="0C1D5540" wp14:editId="5C5C3265">
            <wp:simplePos x="0" y="0"/>
            <wp:positionH relativeFrom="column">
              <wp:posOffset>0</wp:posOffset>
            </wp:positionH>
            <wp:positionV relativeFrom="paragraph">
              <wp:posOffset>-3810</wp:posOffset>
            </wp:positionV>
            <wp:extent cx="4191000" cy="2501265"/>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C15BA">
        <w:rPr>
          <w:iCs/>
          <w:sz w:val="22"/>
          <w:szCs w:val="22"/>
        </w:rPr>
        <w:t>For</w:t>
      </w:r>
      <w:r w:rsidRPr="00F11D78">
        <w:rPr>
          <w:iCs/>
          <w:sz w:val="22"/>
          <w:szCs w:val="22"/>
        </w:rPr>
        <w:t xml:space="preserve"> both males and females, the highest rate of </w:t>
      </w:r>
      <w:r w:rsidR="00A32916">
        <w:rPr>
          <w:iCs/>
          <w:sz w:val="22"/>
          <w:szCs w:val="22"/>
        </w:rPr>
        <w:t xml:space="preserve">PLWH </w:t>
      </w:r>
      <w:r w:rsidRPr="00F11D78">
        <w:rPr>
          <w:iCs/>
          <w:sz w:val="22"/>
          <w:szCs w:val="22"/>
        </w:rPr>
        <w:t>was among Blacks</w:t>
      </w:r>
      <w:r>
        <w:rPr>
          <w:iCs/>
          <w:sz w:val="22"/>
          <w:szCs w:val="22"/>
        </w:rPr>
        <w:t xml:space="preserve"> (Figure </w:t>
      </w:r>
      <w:r w:rsidR="001C15BA">
        <w:rPr>
          <w:iCs/>
          <w:sz w:val="22"/>
          <w:szCs w:val="22"/>
        </w:rPr>
        <w:t>9</w:t>
      </w:r>
      <w:r>
        <w:rPr>
          <w:iCs/>
          <w:sz w:val="22"/>
          <w:szCs w:val="22"/>
        </w:rPr>
        <w:t>)</w:t>
      </w:r>
      <w:r w:rsidRPr="00F11D78">
        <w:rPr>
          <w:iCs/>
          <w:sz w:val="22"/>
          <w:szCs w:val="22"/>
        </w:rPr>
        <w:t xml:space="preserve">. The rate among Black males was 2.7 times that of White males (1,434.9 vs. 524.2 per 100,000 population), and the rate among Black females was nearly 8.2 times that of White females (578.6 vs. 70.7 per 100,000 population). The rate of </w:t>
      </w:r>
      <w:r w:rsidR="00A32916">
        <w:rPr>
          <w:iCs/>
          <w:sz w:val="22"/>
          <w:szCs w:val="22"/>
        </w:rPr>
        <w:t>PLWH</w:t>
      </w:r>
      <w:r w:rsidRPr="00F11D78">
        <w:rPr>
          <w:iCs/>
          <w:sz w:val="22"/>
          <w:szCs w:val="22"/>
        </w:rPr>
        <w:t xml:space="preserve"> was lowest among API. API males had a rate of 244.3 per 100,000 population, and API females had a rate of 33.5 per 100,000 population.</w:t>
      </w:r>
      <w:r>
        <w:rPr>
          <w:b/>
          <w:bCs/>
          <w:color w:val="1F497D"/>
        </w:rPr>
        <w:t xml:space="preserve"> </w:t>
      </w:r>
      <w:r w:rsidRPr="00B75354">
        <w:rPr>
          <w:iCs/>
          <w:sz w:val="22"/>
          <w:szCs w:val="22"/>
        </w:rPr>
        <w:t xml:space="preserve">The highest rates of </w:t>
      </w:r>
      <w:r w:rsidR="00A32916">
        <w:rPr>
          <w:iCs/>
          <w:sz w:val="22"/>
          <w:szCs w:val="22"/>
        </w:rPr>
        <w:t>PLWH</w:t>
      </w:r>
      <w:r w:rsidRPr="00B75354">
        <w:rPr>
          <w:iCs/>
          <w:sz w:val="22"/>
          <w:szCs w:val="22"/>
        </w:rPr>
        <w:t xml:space="preserve"> in Nevada among males is 45 to 54 year olds followed by 55 to 64 year olds had (1,440.2 and 874.2 per 100,000 population respectively).</w:t>
      </w:r>
      <w:r w:rsidR="00A369BC">
        <w:rPr>
          <w:iCs/>
          <w:sz w:val="22"/>
          <w:szCs w:val="22"/>
        </w:rPr>
        <w:t xml:space="preserve"> </w:t>
      </w:r>
      <w:r w:rsidRPr="00B75354">
        <w:rPr>
          <w:iCs/>
          <w:sz w:val="22"/>
          <w:szCs w:val="22"/>
        </w:rPr>
        <w:t xml:space="preserve">Rates among females were similar to those of males.  Females 45 to 54 years old had the highest rate of </w:t>
      </w:r>
      <w:r w:rsidR="00A32916">
        <w:rPr>
          <w:iCs/>
          <w:sz w:val="22"/>
          <w:szCs w:val="22"/>
        </w:rPr>
        <w:t>PLWH</w:t>
      </w:r>
      <w:r w:rsidRPr="00B75354">
        <w:rPr>
          <w:iCs/>
          <w:sz w:val="22"/>
          <w:szCs w:val="22"/>
        </w:rPr>
        <w:t xml:space="preserve"> in Nevada (263.8 per 100,000) followed by females 35 to 44 years old (196.8 per 100,000</w:t>
      </w:r>
      <w:r w:rsidRPr="00B75354">
        <w:rPr>
          <w:rFonts w:ascii="Calibri" w:eastAsia="Times New Roman" w:hAnsi="Calibri" w:cs="Times New Roman"/>
          <w:color w:val="000000"/>
          <w:kern w:val="28"/>
          <w:sz w:val="22"/>
          <w:szCs w:val="22"/>
          <w14:cntxtAlts/>
        </w:rPr>
        <w:t>).</w:t>
      </w:r>
    </w:p>
    <w:p w:rsidR="003C3AD0" w:rsidRDefault="003C3AD0" w:rsidP="00B75354">
      <w:pPr>
        <w:jc w:val="both"/>
        <w:rPr>
          <w:rFonts w:ascii="Calibri" w:eastAsia="Times New Roman" w:hAnsi="Calibri" w:cs="Times New Roman"/>
          <w:color w:val="000000"/>
          <w:kern w:val="28"/>
          <w:sz w:val="22"/>
          <w:szCs w:val="22"/>
          <w14:cntxtAlts/>
        </w:rPr>
      </w:pPr>
    </w:p>
    <w:p w:rsidR="003C3AD0" w:rsidRDefault="003C3AD0" w:rsidP="00E434EF">
      <w:pPr>
        <w:pStyle w:val="Heading5"/>
      </w:pPr>
      <w:r>
        <w:lastRenderedPageBreak/>
        <w:t>HIV and Men who Have Sex with Men (</w:t>
      </w:r>
      <w:r w:rsidRPr="00ED2B32">
        <w:t>MSM</w:t>
      </w:r>
      <w:r>
        <w:t>)</w:t>
      </w:r>
    </w:p>
    <w:p w:rsidR="003C3AD0" w:rsidRDefault="003C3AD0" w:rsidP="00A826FE">
      <w:pPr>
        <w:widowControl w:val="0"/>
        <w:spacing w:after="0"/>
        <w:jc w:val="both"/>
        <w:rPr>
          <w:iCs/>
          <w:sz w:val="22"/>
          <w:szCs w:val="22"/>
        </w:rPr>
      </w:pPr>
      <w:r w:rsidRPr="00F11D78">
        <w:rPr>
          <w:iCs/>
          <w:sz w:val="22"/>
          <w:szCs w:val="22"/>
        </w:rPr>
        <w:t>From 2010 to 2014, male-to-male sexual contact (MSM) has been the primary transmission category for the majority of new HIV diagnoses among males, accounting for 83% of new cases in 2010 and 74% of new cases in 2014 (Table 4).</w:t>
      </w:r>
      <w:r>
        <w:rPr>
          <w:iCs/>
          <w:sz w:val="22"/>
          <w:szCs w:val="22"/>
        </w:rPr>
        <w:t xml:space="preserve"> </w:t>
      </w:r>
      <w:r w:rsidRPr="00B75354">
        <w:rPr>
          <w:iCs/>
          <w:sz w:val="22"/>
          <w:szCs w:val="22"/>
        </w:rPr>
        <w:t>In 2014, 76% of males living with HIV had a transmission category of MSM. Since 2010, this has been the transmission category for 75% or more of males</w:t>
      </w:r>
      <w:r w:rsidRPr="00B94E81">
        <w:rPr>
          <w:iCs/>
          <w:sz w:val="22"/>
          <w:szCs w:val="22"/>
        </w:rPr>
        <w:t>. For all male race/ethnicity MSM was the transmission category for the majority of new HIV diagnoses</w:t>
      </w:r>
      <w:r>
        <w:rPr>
          <w:iCs/>
          <w:sz w:val="22"/>
          <w:szCs w:val="22"/>
        </w:rPr>
        <w:t xml:space="preserve"> (Table </w:t>
      </w:r>
      <w:r w:rsidR="00AC321D">
        <w:rPr>
          <w:iCs/>
          <w:sz w:val="22"/>
          <w:szCs w:val="22"/>
        </w:rPr>
        <w:t>4</w:t>
      </w:r>
      <w:r>
        <w:rPr>
          <w:iCs/>
          <w:sz w:val="22"/>
          <w:szCs w:val="22"/>
        </w:rPr>
        <w:t>)</w:t>
      </w:r>
      <w:r w:rsidRPr="00B94E81">
        <w:rPr>
          <w:iCs/>
          <w:sz w:val="22"/>
          <w:szCs w:val="22"/>
        </w:rPr>
        <w:t>.</w:t>
      </w:r>
    </w:p>
    <w:p w:rsidR="003C3AD0" w:rsidRDefault="00AC321D" w:rsidP="00A826FE">
      <w:pPr>
        <w:widowControl w:val="0"/>
        <w:spacing w:after="0"/>
        <w:jc w:val="both"/>
        <w:rPr>
          <w:sz w:val="22"/>
          <w:szCs w:val="22"/>
        </w:rPr>
      </w:pPr>
      <w:r w:rsidRPr="00AC321D">
        <w:rPr>
          <w:noProof/>
          <w:sz w:val="22"/>
          <w:szCs w:val="22"/>
        </w:rPr>
        <mc:AlternateContent>
          <mc:Choice Requires="wps">
            <w:drawing>
              <wp:anchor distT="91440" distB="91440" distL="91440" distR="91440" simplePos="0" relativeHeight="251769856" behindDoc="1" locked="0" layoutInCell="1" allowOverlap="1" wp14:anchorId="580624BB" wp14:editId="7EBC042E">
                <wp:simplePos x="0" y="0"/>
                <wp:positionH relativeFrom="margin">
                  <wp:posOffset>3641090</wp:posOffset>
                </wp:positionH>
                <wp:positionV relativeFrom="margin">
                  <wp:posOffset>1613093</wp:posOffset>
                </wp:positionV>
                <wp:extent cx="2442210" cy="1307465"/>
                <wp:effectExtent l="57150" t="38100" r="72390" b="93345"/>
                <wp:wrapSquare wrapText="bothSides"/>
                <wp:docPr id="135" name="Text Box 135"/>
                <wp:cNvGraphicFramePr/>
                <a:graphic xmlns:a="http://schemas.openxmlformats.org/drawingml/2006/main">
                  <a:graphicData uri="http://schemas.microsoft.com/office/word/2010/wordprocessingShape">
                    <wps:wsp>
                      <wps:cNvSpPr txBox="1"/>
                      <wps:spPr>
                        <a:xfrm>
                          <a:off x="0" y="0"/>
                          <a:ext cx="2442210" cy="130746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2E77F2" w:rsidRPr="00855BEB" w:rsidRDefault="002E77F2" w:rsidP="00AC321D">
                            <w:pPr>
                              <w:jc w:val="center"/>
                              <w:rPr>
                                <w:color w:val="244061" w:themeColor="accent1" w:themeShade="80"/>
                                <w:sz w:val="24"/>
                                <w:szCs w:val="24"/>
                              </w:rPr>
                            </w:pPr>
                            <w:r w:rsidRPr="00855BEB">
                              <w:rPr>
                                <w:color w:val="244061" w:themeColor="accent1" w:themeShade="80"/>
                                <w:sz w:val="24"/>
                                <w:szCs w:val="24"/>
                              </w:rPr>
                              <w:t>MSM was the primary transmission category for 74% of new HIV diagnoses among males in 2014.</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0624BB" id="Text Box 135" o:spid="_x0000_s1029" type="#_x0000_t202" style="position:absolute;left:0;text-align:left;margin-left:286.7pt;margin-top:127pt;width:192.3pt;height:102.95pt;z-index:-25154662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U39cAIAADsFAAAOAAAAZHJzL2Uyb0RvYy54bWysVN9v0zAQfkfif7D8ztJ0ZUC1dCqbhpCm&#10;bWJDe3Yde42wfca+Nil//c5Ok1VjAgnxkth33/367s6nZ501bKtCbMBVvDyacKachLpxjxX/fn/5&#10;7iNnEYWrhQGnKr5TkZ8t3r45bf1cTWENplaBkRMX562v+BrRz4siyrWyIh6BV46UGoIVSNfwWNRB&#10;tOTdmmI6mZwULYTaB5AqRpJe9Eq+yP61VhJvtI4Kmak45Yb5G/J3lb7F4lTMH4Pw60bu0xD/kIUV&#10;jaOgo6sLgYJtQvObK9vIABE0HkmwBWjdSJVroGrKyYtq7tbCq1wLkRP9SFP8f27l9fY2sKam3h2/&#10;58wJS026Vx2yz9CxJCOGWh/nBLzzBMWOFIQe5JGEqfBOB5v+VBIjPXG9G/lN7iQJp7PZdFqSSpKu&#10;PJ58mJ1k/8WzuQ8RvyiwLB0qHqiBmVexvYpIqRB0gKRoxiVZyq/PI59wZ1Sv/KY01ZbTTYI8Verc&#10;BLYVNA9CSuUwV0JujSN0QunGmNFwmqP/0XCPT6YqT9xoXP7deLTIkcHhaGwbB+E1B/WPIWXd4wcG&#10;+roTBditutzU46FNK6h31L0A/QZELy8bYvhKRLwVgUaeukJrjDf00QbaisP+xNkawq/X5AlPk0ha&#10;zlpaoYrHnxsRFGfmq6MZ/VTOZmnnDi/h8LI6vLiNPQfqSkkPhpf5SMYBzXDUAewDbfsyRSWVcJJi&#10;VxyH4zn2i02vhVTLZQbRlnmBV+7Oy+Q6sZzm5757EMHvhwxpPq9hWDYxfzFrPTZZRr/cIFw2eRAT&#10;zz2re/5pQ/N87l+T9AQc3jPq+c1bPAEAAP//AwBQSwMEFAAGAAgAAAAhAFHhdMTfAAAACwEAAA8A&#10;AABkcnMvZG93bnJldi54bWxMj8FOwzAMhu9IvENkJG4s7WjYWupOCIkbBxiIXbMmtNWapKuztbw9&#10;5sRutvzp9/eXm9n14mxH6oJHSBcJCOvrYDrfIHx+vNytQVDU3ug+eIvwYwk21fVVqQsTJv9uz9vY&#10;CA7xVGiENsahkJLq1jpNizBYz7fvMDodeR0baUY9cbjr5TJJHqTTnecPrR7sc2vrw/bkEKIiQ2n2&#10;laTHY/16mHYU3iIh3t7MT48gop3jPwx/+qwOFTvtw8kbEj2CWt1njCIsVcalmMjVmoc9QqbyHGRV&#10;yssO1S8AAAD//wMAUEsBAi0AFAAGAAgAAAAhALaDOJL+AAAA4QEAABMAAAAAAAAAAAAAAAAAAAAA&#10;AFtDb250ZW50X1R5cGVzXS54bWxQSwECLQAUAAYACAAAACEAOP0h/9YAAACUAQAACwAAAAAAAAAA&#10;AAAAAAAvAQAAX3JlbHMvLnJlbHNQSwECLQAUAAYACAAAACEA901N/XACAAA7BQAADgAAAAAAAAAA&#10;AAAAAAAuAgAAZHJzL2Uyb0RvYy54bWxQSwECLQAUAAYACAAAACEAUeF0xN8AAAALAQAADwAAAAAA&#10;AAAAAAAAAADKBAAAZHJzL2Rvd25yZXYueG1sUEsFBgAAAAAEAAQA8wAAANYFAAAAAA==&#10;" fillcolor="#a7bfde [1620]" strokecolor="#4579b8 [3044]">
                <v:fill color2="#e4ecf5 [500]" rotate="t" angle="180" colors="0 #a3c4ff;22938f #bfd5ff;1 #e5eeff" focus="100%" type="gradient"/>
                <v:shadow on="t" color="black" opacity="24903f" origin=",.5" offset="0,.55556mm"/>
                <v:textbox style="mso-fit-shape-to-text:t" inset=",7.2pt,,7.2pt">
                  <w:txbxContent>
                    <w:p w:rsidR="002E77F2" w:rsidRPr="00855BEB" w:rsidRDefault="002E77F2" w:rsidP="00AC321D">
                      <w:pPr>
                        <w:jc w:val="center"/>
                        <w:rPr>
                          <w:color w:val="244061" w:themeColor="accent1" w:themeShade="80"/>
                          <w:sz w:val="24"/>
                          <w:szCs w:val="24"/>
                        </w:rPr>
                      </w:pPr>
                      <w:r w:rsidRPr="00855BEB">
                        <w:rPr>
                          <w:color w:val="244061" w:themeColor="accent1" w:themeShade="80"/>
                          <w:sz w:val="24"/>
                          <w:szCs w:val="24"/>
                        </w:rPr>
                        <w:t>MSM was the primary transmission category for 74% of new HIV diagnoses among males in 2014.</w:t>
                      </w:r>
                    </w:p>
                  </w:txbxContent>
                </v:textbox>
                <w10:wrap type="square" anchorx="margin" anchory="margin"/>
              </v:shape>
            </w:pict>
          </mc:Fallback>
        </mc:AlternateContent>
      </w:r>
      <w:r w:rsidR="003C3AD0" w:rsidRPr="00B94E81">
        <w:rPr>
          <w:sz w:val="22"/>
          <w:szCs w:val="22"/>
        </w:rPr>
        <w:t>Among males, MSM was the transmission category for the majority of newly infected persons across all age groups. This percentage was much lower among males 45 to 54 years old (59%). Those in the 45</w:t>
      </w:r>
      <w:r w:rsidR="004B752A">
        <w:rPr>
          <w:sz w:val="22"/>
          <w:szCs w:val="22"/>
        </w:rPr>
        <w:t xml:space="preserve"> to </w:t>
      </w:r>
      <w:r w:rsidR="004B752A" w:rsidRPr="00B94E81">
        <w:rPr>
          <w:sz w:val="22"/>
          <w:szCs w:val="22"/>
        </w:rPr>
        <w:t>55-year-old</w:t>
      </w:r>
      <w:r w:rsidR="003C3AD0" w:rsidRPr="00B94E81">
        <w:rPr>
          <w:sz w:val="22"/>
          <w:szCs w:val="22"/>
        </w:rPr>
        <w:t xml:space="preserve"> age group reported the highest </w:t>
      </w:r>
      <w:r w:rsidR="001C15BA">
        <w:rPr>
          <w:sz w:val="22"/>
          <w:szCs w:val="22"/>
        </w:rPr>
        <w:t>no identified risk/no reported risk (</w:t>
      </w:r>
      <w:r w:rsidR="003C3AD0" w:rsidRPr="00B94E81">
        <w:rPr>
          <w:sz w:val="22"/>
          <w:szCs w:val="22"/>
        </w:rPr>
        <w:t>NIR/NRR</w:t>
      </w:r>
      <w:r w:rsidR="001C15BA">
        <w:rPr>
          <w:sz w:val="22"/>
          <w:szCs w:val="22"/>
        </w:rPr>
        <w:t>)</w:t>
      </w:r>
      <w:r w:rsidR="003C3AD0" w:rsidRPr="00B94E81">
        <w:rPr>
          <w:sz w:val="22"/>
          <w:szCs w:val="22"/>
        </w:rPr>
        <w:t xml:space="preserve"> of 22%. The age groups which reported the highest proportion of MSM as a transmission </w:t>
      </w:r>
      <w:r w:rsidR="00A369BC" w:rsidRPr="00B94E81">
        <w:rPr>
          <w:sz w:val="22"/>
          <w:szCs w:val="22"/>
        </w:rPr>
        <w:t>category were</w:t>
      </w:r>
      <w:r w:rsidR="003C3AD0" w:rsidRPr="00B94E81">
        <w:rPr>
          <w:sz w:val="22"/>
          <w:szCs w:val="22"/>
        </w:rPr>
        <w:t xml:space="preserve"> ages of 13 to 24 (88%) and 25 to 34 (77%). MSM youth and young adults are </w:t>
      </w:r>
      <w:r w:rsidR="003C3AD0">
        <w:rPr>
          <w:sz w:val="22"/>
          <w:szCs w:val="22"/>
        </w:rPr>
        <w:t>therefore</w:t>
      </w:r>
      <w:r w:rsidR="003C3AD0" w:rsidRPr="00B94E81">
        <w:rPr>
          <w:sz w:val="22"/>
          <w:szCs w:val="22"/>
        </w:rPr>
        <w:t xml:space="preserve"> targeted for testing due to their higher risk of exposure and transmission. Among males, MSM was the transmission category for the majority of persons living with HIV across all age groups. Those aged 25 to 34 years old had the highest proportion of MSM (85%).</w:t>
      </w:r>
    </w:p>
    <w:p w:rsidR="00AC321D" w:rsidRPr="00F11D78" w:rsidRDefault="00AC321D" w:rsidP="00102278">
      <w:pPr>
        <w:widowControl w:val="0"/>
        <w:spacing w:before="240" w:after="0"/>
        <w:jc w:val="both"/>
        <w:rPr>
          <w:b/>
          <w:bCs/>
          <w:i/>
          <w:iCs/>
          <w:color w:val="1F497D"/>
          <w:sz w:val="22"/>
          <w:szCs w:val="22"/>
        </w:rPr>
      </w:pPr>
      <w:r w:rsidRPr="00F11D78">
        <w:rPr>
          <w:b/>
          <w:sz w:val="22"/>
          <w:szCs w:val="22"/>
        </w:rPr>
        <w:t>Table 4. New HIV Diagnoses in Nevada by Sex and Transmission Category, 2010-2014</w:t>
      </w:r>
    </w:p>
    <w:tbl>
      <w:tblPr>
        <w:tblpPr w:leftFromText="180" w:rightFromText="180" w:vertAnchor="text" w:horzAnchor="margin" w:tblpY="49"/>
        <w:tblW w:w="5000" w:type="pct"/>
        <w:tblLook w:val="04A0" w:firstRow="1" w:lastRow="0" w:firstColumn="1" w:lastColumn="0" w:noHBand="0" w:noVBand="1"/>
      </w:tblPr>
      <w:tblGrid>
        <w:gridCol w:w="2655"/>
        <w:gridCol w:w="591"/>
        <w:gridCol w:w="748"/>
        <w:gridCol w:w="591"/>
        <w:gridCol w:w="748"/>
        <w:gridCol w:w="591"/>
        <w:gridCol w:w="748"/>
        <w:gridCol w:w="591"/>
        <w:gridCol w:w="748"/>
        <w:gridCol w:w="591"/>
        <w:gridCol w:w="748"/>
      </w:tblGrid>
      <w:tr w:rsidR="00AC321D" w:rsidRPr="00C44061" w:rsidTr="002320EC">
        <w:tc>
          <w:tcPr>
            <w:tcW w:w="1420" w:type="pct"/>
            <w:vMerge w:val="restart"/>
            <w:tcBorders>
              <w:top w:val="single" w:sz="4" w:space="0" w:color="auto"/>
              <w:left w:val="single" w:sz="4" w:space="0" w:color="auto"/>
              <w:bottom w:val="single" w:sz="4" w:space="0" w:color="000000"/>
              <w:right w:val="single" w:sz="4" w:space="0" w:color="auto"/>
            </w:tcBorders>
            <w:shd w:val="clear" w:color="000000" w:fill="4F81BD"/>
            <w:vAlign w:val="center"/>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Transmission Category</w:t>
            </w:r>
          </w:p>
        </w:tc>
        <w:tc>
          <w:tcPr>
            <w:tcW w:w="716" w:type="pct"/>
            <w:gridSpan w:val="2"/>
            <w:tcBorders>
              <w:top w:val="single" w:sz="4" w:space="0" w:color="auto"/>
              <w:left w:val="nil"/>
              <w:bottom w:val="nil"/>
              <w:right w:val="single" w:sz="4" w:space="0" w:color="000000"/>
            </w:tcBorders>
            <w:shd w:val="clear" w:color="000000" w:fill="4F81BD"/>
            <w:noWrap/>
            <w:vAlign w:val="center"/>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2010</w:t>
            </w:r>
          </w:p>
        </w:tc>
        <w:tc>
          <w:tcPr>
            <w:tcW w:w="716" w:type="pct"/>
            <w:gridSpan w:val="2"/>
            <w:tcBorders>
              <w:top w:val="single" w:sz="4" w:space="0" w:color="auto"/>
              <w:left w:val="nil"/>
              <w:bottom w:val="nil"/>
              <w:right w:val="single" w:sz="4" w:space="0" w:color="000000"/>
            </w:tcBorders>
            <w:shd w:val="clear" w:color="000000" w:fill="4F81BD"/>
            <w:noWrap/>
            <w:vAlign w:val="center"/>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2011</w:t>
            </w:r>
          </w:p>
        </w:tc>
        <w:tc>
          <w:tcPr>
            <w:tcW w:w="716" w:type="pct"/>
            <w:gridSpan w:val="2"/>
            <w:tcBorders>
              <w:top w:val="single" w:sz="4" w:space="0" w:color="auto"/>
              <w:left w:val="nil"/>
              <w:bottom w:val="nil"/>
              <w:right w:val="single" w:sz="4" w:space="0" w:color="000000"/>
            </w:tcBorders>
            <w:shd w:val="clear" w:color="000000" w:fill="4F81BD"/>
            <w:noWrap/>
            <w:vAlign w:val="center"/>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2012</w:t>
            </w:r>
          </w:p>
        </w:tc>
        <w:tc>
          <w:tcPr>
            <w:tcW w:w="716" w:type="pct"/>
            <w:gridSpan w:val="2"/>
            <w:tcBorders>
              <w:top w:val="single" w:sz="4" w:space="0" w:color="auto"/>
              <w:left w:val="nil"/>
              <w:bottom w:val="nil"/>
              <w:right w:val="single" w:sz="4" w:space="0" w:color="000000"/>
            </w:tcBorders>
            <w:shd w:val="clear" w:color="000000" w:fill="4F81BD"/>
            <w:noWrap/>
            <w:vAlign w:val="center"/>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2013</w:t>
            </w:r>
          </w:p>
        </w:tc>
        <w:tc>
          <w:tcPr>
            <w:tcW w:w="716" w:type="pct"/>
            <w:gridSpan w:val="2"/>
            <w:tcBorders>
              <w:top w:val="single" w:sz="4" w:space="0" w:color="auto"/>
              <w:left w:val="nil"/>
              <w:bottom w:val="nil"/>
              <w:right w:val="single" w:sz="4" w:space="0" w:color="000000"/>
            </w:tcBorders>
            <w:shd w:val="clear" w:color="000000" w:fill="4F81BD"/>
            <w:noWrap/>
            <w:vAlign w:val="center"/>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2014</w:t>
            </w:r>
          </w:p>
        </w:tc>
      </w:tr>
      <w:tr w:rsidR="00AC321D" w:rsidRPr="00C44061" w:rsidTr="002320EC">
        <w:tc>
          <w:tcPr>
            <w:tcW w:w="1420" w:type="pct"/>
            <w:vMerge/>
            <w:tcBorders>
              <w:top w:val="single" w:sz="4" w:space="0" w:color="auto"/>
              <w:left w:val="single" w:sz="4" w:space="0" w:color="auto"/>
              <w:bottom w:val="single" w:sz="4" w:space="0" w:color="000000"/>
              <w:right w:val="single" w:sz="4" w:space="0" w:color="auto"/>
            </w:tcBorders>
            <w:vAlign w:val="center"/>
            <w:hideMark/>
          </w:tcPr>
          <w:p w:rsidR="00AC321D" w:rsidRPr="00C44061" w:rsidRDefault="00AC321D" w:rsidP="002320EC">
            <w:pPr>
              <w:spacing w:before="0" w:after="0" w:line="240" w:lineRule="auto"/>
              <w:rPr>
                <w:rFonts w:ascii="Calibri" w:eastAsia="Times New Roman" w:hAnsi="Calibri" w:cs="Arial"/>
                <w:b/>
                <w:bCs/>
                <w:color w:val="FFFFFF"/>
                <w:sz w:val="18"/>
                <w:szCs w:val="18"/>
              </w:rPr>
            </w:pPr>
          </w:p>
        </w:tc>
        <w:tc>
          <w:tcPr>
            <w:tcW w:w="316" w:type="pct"/>
            <w:tcBorders>
              <w:top w:val="nil"/>
              <w:left w:val="nil"/>
              <w:bottom w:val="single" w:sz="4" w:space="0" w:color="auto"/>
              <w:right w:val="nil"/>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n</w:t>
            </w:r>
          </w:p>
        </w:tc>
        <w:tc>
          <w:tcPr>
            <w:tcW w:w="400" w:type="pct"/>
            <w:tcBorders>
              <w:top w:val="nil"/>
              <w:left w:val="nil"/>
              <w:bottom w:val="single" w:sz="4" w:space="0" w:color="auto"/>
              <w:right w:val="single" w:sz="4" w:space="0" w:color="auto"/>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w:t>
            </w:r>
          </w:p>
        </w:tc>
        <w:tc>
          <w:tcPr>
            <w:tcW w:w="316" w:type="pct"/>
            <w:tcBorders>
              <w:top w:val="nil"/>
              <w:left w:val="nil"/>
              <w:bottom w:val="single" w:sz="4" w:space="0" w:color="auto"/>
              <w:right w:val="nil"/>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n</w:t>
            </w:r>
          </w:p>
        </w:tc>
        <w:tc>
          <w:tcPr>
            <w:tcW w:w="400" w:type="pct"/>
            <w:tcBorders>
              <w:top w:val="nil"/>
              <w:left w:val="nil"/>
              <w:bottom w:val="single" w:sz="4" w:space="0" w:color="auto"/>
              <w:right w:val="single" w:sz="4" w:space="0" w:color="auto"/>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w:t>
            </w:r>
          </w:p>
        </w:tc>
        <w:tc>
          <w:tcPr>
            <w:tcW w:w="316" w:type="pct"/>
            <w:tcBorders>
              <w:top w:val="nil"/>
              <w:left w:val="nil"/>
              <w:bottom w:val="single" w:sz="4" w:space="0" w:color="auto"/>
              <w:right w:val="nil"/>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n</w:t>
            </w:r>
          </w:p>
        </w:tc>
        <w:tc>
          <w:tcPr>
            <w:tcW w:w="400" w:type="pct"/>
            <w:tcBorders>
              <w:top w:val="nil"/>
              <w:left w:val="nil"/>
              <w:bottom w:val="single" w:sz="4" w:space="0" w:color="auto"/>
              <w:right w:val="single" w:sz="4" w:space="0" w:color="auto"/>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w:t>
            </w:r>
          </w:p>
        </w:tc>
        <w:tc>
          <w:tcPr>
            <w:tcW w:w="316" w:type="pct"/>
            <w:tcBorders>
              <w:top w:val="nil"/>
              <w:left w:val="nil"/>
              <w:bottom w:val="single" w:sz="4" w:space="0" w:color="auto"/>
              <w:right w:val="nil"/>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n</w:t>
            </w:r>
          </w:p>
        </w:tc>
        <w:tc>
          <w:tcPr>
            <w:tcW w:w="400" w:type="pct"/>
            <w:tcBorders>
              <w:top w:val="nil"/>
              <w:left w:val="nil"/>
              <w:bottom w:val="single" w:sz="4" w:space="0" w:color="auto"/>
              <w:right w:val="single" w:sz="4" w:space="0" w:color="auto"/>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w:t>
            </w:r>
          </w:p>
        </w:tc>
        <w:tc>
          <w:tcPr>
            <w:tcW w:w="316" w:type="pct"/>
            <w:tcBorders>
              <w:top w:val="nil"/>
              <w:left w:val="nil"/>
              <w:bottom w:val="single" w:sz="4" w:space="0" w:color="auto"/>
              <w:right w:val="nil"/>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n</w:t>
            </w:r>
          </w:p>
        </w:tc>
        <w:tc>
          <w:tcPr>
            <w:tcW w:w="400" w:type="pct"/>
            <w:tcBorders>
              <w:top w:val="nil"/>
              <w:left w:val="nil"/>
              <w:bottom w:val="single" w:sz="4" w:space="0" w:color="auto"/>
              <w:right w:val="single" w:sz="4" w:space="0" w:color="auto"/>
            </w:tcBorders>
            <w:shd w:val="clear" w:color="000000" w:fill="4F81BD"/>
            <w:noWrap/>
            <w:vAlign w:val="bottom"/>
            <w:hideMark/>
          </w:tcPr>
          <w:p w:rsidR="00AC321D" w:rsidRPr="00C44061" w:rsidRDefault="00AC321D" w:rsidP="002320EC">
            <w:pPr>
              <w:spacing w:before="0" w:after="0" w:line="240" w:lineRule="auto"/>
              <w:jc w:val="center"/>
              <w:rPr>
                <w:rFonts w:ascii="Calibri" w:eastAsia="Times New Roman" w:hAnsi="Calibri" w:cs="Arial"/>
                <w:b/>
                <w:bCs/>
                <w:color w:val="FFFFFF"/>
                <w:sz w:val="18"/>
                <w:szCs w:val="18"/>
              </w:rPr>
            </w:pPr>
            <w:r w:rsidRPr="00C44061">
              <w:rPr>
                <w:rFonts w:ascii="Calibri" w:eastAsia="Times New Roman" w:hAnsi="Calibri" w:cs="Arial"/>
                <w:b/>
                <w:bCs/>
                <w:color w:val="FFFFFF"/>
                <w:sz w:val="18"/>
                <w:szCs w:val="18"/>
              </w:rPr>
              <w:t>%</w:t>
            </w:r>
          </w:p>
        </w:tc>
      </w:tr>
      <w:tr w:rsidR="00AC321D" w:rsidRPr="00C44061" w:rsidTr="002320EC">
        <w:tc>
          <w:tcPr>
            <w:tcW w:w="1420" w:type="pct"/>
            <w:tcBorders>
              <w:top w:val="nil"/>
              <w:left w:val="single" w:sz="4" w:space="0" w:color="auto"/>
              <w:bottom w:val="single" w:sz="4" w:space="0" w:color="auto"/>
              <w:right w:val="single" w:sz="4" w:space="0" w:color="auto"/>
            </w:tcBorders>
            <w:shd w:val="clear" w:color="000000" w:fill="D9D9D9"/>
            <w:vAlign w:val="center"/>
            <w:hideMark/>
          </w:tcPr>
          <w:p w:rsidR="00AC321D" w:rsidRPr="00C44061" w:rsidRDefault="00AC321D" w:rsidP="002320EC">
            <w:pPr>
              <w:spacing w:before="0" w:after="0" w:line="240" w:lineRule="auto"/>
              <w:rPr>
                <w:rFonts w:ascii="Calibri" w:eastAsia="Times New Roman" w:hAnsi="Calibri" w:cs="Arial"/>
                <w:b/>
                <w:bCs/>
                <w:sz w:val="18"/>
                <w:szCs w:val="18"/>
              </w:rPr>
            </w:pPr>
            <w:r w:rsidRPr="00C44061">
              <w:rPr>
                <w:rFonts w:ascii="Calibri" w:eastAsia="Times New Roman" w:hAnsi="Calibri" w:cs="Arial"/>
                <w:b/>
                <w:bCs/>
                <w:sz w:val="18"/>
                <w:szCs w:val="18"/>
              </w:rPr>
              <w:t>Males</w:t>
            </w:r>
          </w:p>
        </w:tc>
        <w:tc>
          <w:tcPr>
            <w:tcW w:w="316" w:type="pct"/>
            <w:tcBorders>
              <w:top w:val="nil"/>
              <w:left w:val="nil"/>
              <w:bottom w:val="single" w:sz="4" w:space="0" w:color="auto"/>
              <w:right w:val="nil"/>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400" w:type="pct"/>
            <w:tcBorders>
              <w:top w:val="nil"/>
              <w:left w:val="nil"/>
              <w:bottom w:val="single" w:sz="4" w:space="0" w:color="auto"/>
              <w:right w:val="single" w:sz="4" w:space="0" w:color="auto"/>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316" w:type="pct"/>
            <w:tcBorders>
              <w:top w:val="nil"/>
              <w:left w:val="nil"/>
              <w:bottom w:val="single" w:sz="4" w:space="0" w:color="auto"/>
              <w:right w:val="nil"/>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400" w:type="pct"/>
            <w:tcBorders>
              <w:top w:val="nil"/>
              <w:left w:val="nil"/>
              <w:bottom w:val="single" w:sz="4" w:space="0" w:color="auto"/>
              <w:right w:val="single" w:sz="4" w:space="0" w:color="auto"/>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316" w:type="pct"/>
            <w:tcBorders>
              <w:top w:val="nil"/>
              <w:left w:val="nil"/>
              <w:bottom w:val="single" w:sz="4" w:space="0" w:color="auto"/>
              <w:right w:val="nil"/>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400" w:type="pct"/>
            <w:tcBorders>
              <w:top w:val="nil"/>
              <w:left w:val="nil"/>
              <w:bottom w:val="single" w:sz="4" w:space="0" w:color="auto"/>
              <w:right w:val="single" w:sz="4" w:space="0" w:color="auto"/>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316" w:type="pct"/>
            <w:tcBorders>
              <w:top w:val="nil"/>
              <w:left w:val="nil"/>
              <w:bottom w:val="single" w:sz="4" w:space="0" w:color="auto"/>
              <w:right w:val="nil"/>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400" w:type="pct"/>
            <w:tcBorders>
              <w:top w:val="nil"/>
              <w:left w:val="nil"/>
              <w:bottom w:val="single" w:sz="4" w:space="0" w:color="auto"/>
              <w:right w:val="single" w:sz="4" w:space="0" w:color="auto"/>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316" w:type="pct"/>
            <w:tcBorders>
              <w:top w:val="nil"/>
              <w:left w:val="nil"/>
              <w:bottom w:val="single" w:sz="4" w:space="0" w:color="auto"/>
              <w:right w:val="nil"/>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c>
          <w:tcPr>
            <w:tcW w:w="400" w:type="pct"/>
            <w:tcBorders>
              <w:top w:val="nil"/>
              <w:left w:val="nil"/>
              <w:bottom w:val="single" w:sz="4" w:space="0" w:color="auto"/>
              <w:right w:val="single" w:sz="4" w:space="0" w:color="auto"/>
            </w:tcBorders>
            <w:shd w:val="clear" w:color="000000" w:fill="D9D9D9"/>
            <w:noWrap/>
            <w:vAlign w:val="bottom"/>
            <w:hideMark/>
          </w:tcPr>
          <w:p w:rsidR="00AC321D" w:rsidRPr="00C44061" w:rsidRDefault="00AC321D" w:rsidP="002320EC">
            <w:pPr>
              <w:spacing w:before="0" w:after="0" w:line="240" w:lineRule="auto"/>
              <w:rPr>
                <w:rFonts w:ascii="Arial" w:eastAsia="Times New Roman" w:hAnsi="Arial" w:cs="Arial"/>
                <w:sz w:val="18"/>
                <w:szCs w:val="18"/>
              </w:rPr>
            </w:pPr>
            <w:r w:rsidRPr="00C44061">
              <w:rPr>
                <w:rFonts w:ascii="Arial" w:eastAsia="Times New Roman" w:hAnsi="Arial" w:cs="Arial"/>
                <w:sz w:val="18"/>
                <w:szCs w:val="18"/>
              </w:rPr>
              <w:t> </w:t>
            </w:r>
          </w:p>
        </w:tc>
      </w:tr>
      <w:tr w:rsidR="00AC321D" w:rsidRPr="00C44061" w:rsidTr="002320EC">
        <w:tc>
          <w:tcPr>
            <w:tcW w:w="1420" w:type="pct"/>
            <w:tcBorders>
              <w:top w:val="nil"/>
              <w:left w:val="single" w:sz="4" w:space="0" w:color="auto"/>
              <w:bottom w:val="nil"/>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MSM</w:t>
            </w:r>
          </w:p>
        </w:tc>
        <w:tc>
          <w:tcPr>
            <w:tcW w:w="316" w:type="pct"/>
            <w:tcBorders>
              <w:top w:val="nil"/>
              <w:left w:val="nil"/>
              <w:bottom w:val="nil"/>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257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83%</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273</w:t>
            </w:r>
          </w:p>
        </w:tc>
        <w:tc>
          <w:tcPr>
            <w:tcW w:w="400"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83%</w:t>
            </w:r>
          </w:p>
        </w:tc>
        <w:tc>
          <w:tcPr>
            <w:tcW w:w="316" w:type="pct"/>
            <w:tcBorders>
              <w:top w:val="nil"/>
              <w:left w:val="single" w:sz="4" w:space="0" w:color="auto"/>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247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78%</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288</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76%</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284</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74%</w:t>
            </w:r>
          </w:p>
        </w:tc>
      </w:tr>
      <w:tr w:rsidR="00AC321D" w:rsidRPr="00C44061" w:rsidTr="002320EC">
        <w:tc>
          <w:tcPr>
            <w:tcW w:w="14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IDU</w:t>
            </w:r>
          </w:p>
        </w:tc>
        <w:tc>
          <w:tcPr>
            <w:tcW w:w="316" w:type="pct"/>
            <w:tcBorders>
              <w:top w:val="single" w:sz="4" w:space="0" w:color="auto"/>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14</w:t>
            </w:r>
          </w:p>
        </w:tc>
        <w:tc>
          <w:tcPr>
            <w:tcW w:w="400"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w:t>
            </w:r>
          </w:p>
        </w:tc>
        <w:tc>
          <w:tcPr>
            <w:tcW w:w="316" w:type="pct"/>
            <w:tcBorders>
              <w:top w:val="nil"/>
              <w:left w:val="single" w:sz="4" w:space="0" w:color="auto"/>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12</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13</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13</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w:t>
            </w:r>
          </w:p>
        </w:tc>
      </w:tr>
      <w:tr w:rsidR="00AC321D" w:rsidRPr="00C44061" w:rsidTr="002320EC">
        <w:tc>
          <w:tcPr>
            <w:tcW w:w="1420" w:type="pct"/>
            <w:tcBorders>
              <w:top w:val="nil"/>
              <w:left w:val="single" w:sz="4" w:space="0" w:color="auto"/>
              <w:bottom w:val="nil"/>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MSM+IDU</w:t>
            </w:r>
          </w:p>
        </w:tc>
        <w:tc>
          <w:tcPr>
            <w:tcW w:w="316" w:type="pct"/>
            <w:tcBorders>
              <w:top w:val="nil"/>
              <w:left w:val="nil"/>
              <w:bottom w:val="nil"/>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19</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6%</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18</w:t>
            </w:r>
          </w:p>
        </w:tc>
        <w:tc>
          <w:tcPr>
            <w:tcW w:w="400"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6%</w:t>
            </w:r>
          </w:p>
        </w:tc>
        <w:tc>
          <w:tcPr>
            <w:tcW w:w="316" w:type="pct"/>
            <w:tcBorders>
              <w:top w:val="nil"/>
              <w:left w:val="single" w:sz="4" w:space="0" w:color="auto"/>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6%</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8%</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26</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7%</w:t>
            </w:r>
          </w:p>
        </w:tc>
      </w:tr>
      <w:tr w:rsidR="00AC321D" w:rsidRPr="00C44061" w:rsidTr="002320EC">
        <w:tc>
          <w:tcPr>
            <w:tcW w:w="14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Heterosexual contact</w:t>
            </w:r>
          </w:p>
        </w:tc>
        <w:tc>
          <w:tcPr>
            <w:tcW w:w="316" w:type="pct"/>
            <w:tcBorders>
              <w:top w:val="single" w:sz="4" w:space="0" w:color="auto"/>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9</w:t>
            </w:r>
          </w:p>
        </w:tc>
        <w:tc>
          <w:tcPr>
            <w:tcW w:w="400"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w:t>
            </w:r>
          </w:p>
        </w:tc>
        <w:tc>
          <w:tcPr>
            <w:tcW w:w="316" w:type="pct"/>
            <w:tcBorders>
              <w:top w:val="nil"/>
              <w:left w:val="single" w:sz="4" w:space="0" w:color="auto"/>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8</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12</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w:t>
            </w:r>
          </w:p>
        </w:tc>
      </w:tr>
      <w:tr w:rsidR="00AC321D" w:rsidRPr="00C44061" w:rsidTr="002320EC">
        <w:tc>
          <w:tcPr>
            <w:tcW w:w="1420" w:type="pct"/>
            <w:tcBorders>
              <w:top w:val="nil"/>
              <w:left w:val="single" w:sz="4" w:space="0" w:color="auto"/>
              <w:bottom w:val="nil"/>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Perinatal exposure</w:t>
            </w:r>
          </w:p>
        </w:tc>
        <w:tc>
          <w:tcPr>
            <w:tcW w:w="316" w:type="pct"/>
            <w:tcBorders>
              <w:top w:val="nil"/>
              <w:left w:val="nil"/>
              <w:bottom w:val="nil"/>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w:t>
            </w:r>
          </w:p>
        </w:tc>
        <w:tc>
          <w:tcPr>
            <w:tcW w:w="400"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single" w:sz="4" w:space="0" w:color="auto"/>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r>
      <w:tr w:rsidR="00AC321D" w:rsidRPr="00C44061" w:rsidTr="002320EC">
        <w:tc>
          <w:tcPr>
            <w:tcW w:w="14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Transfusion/ Hemophilia</w:t>
            </w:r>
          </w:p>
        </w:tc>
        <w:tc>
          <w:tcPr>
            <w:tcW w:w="316" w:type="pct"/>
            <w:tcBorders>
              <w:top w:val="single" w:sz="4" w:space="0" w:color="auto"/>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single" w:sz="4" w:space="0" w:color="auto"/>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r>
      <w:tr w:rsidR="00AC321D" w:rsidRPr="00C44061" w:rsidTr="002320EC">
        <w:tc>
          <w:tcPr>
            <w:tcW w:w="1420" w:type="pct"/>
            <w:tcBorders>
              <w:top w:val="nil"/>
              <w:left w:val="single" w:sz="4" w:space="0" w:color="auto"/>
              <w:bottom w:val="nil"/>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NIR/NRR</w:t>
            </w:r>
          </w:p>
        </w:tc>
        <w:tc>
          <w:tcPr>
            <w:tcW w:w="316" w:type="pct"/>
            <w:tcBorders>
              <w:top w:val="nil"/>
              <w:left w:val="nil"/>
              <w:bottom w:val="nil"/>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14</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12</w:t>
            </w:r>
          </w:p>
        </w:tc>
        <w:tc>
          <w:tcPr>
            <w:tcW w:w="400"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w:t>
            </w:r>
          </w:p>
        </w:tc>
        <w:tc>
          <w:tcPr>
            <w:tcW w:w="316" w:type="pct"/>
            <w:tcBorders>
              <w:top w:val="nil"/>
              <w:left w:val="single" w:sz="4" w:space="0" w:color="auto"/>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31</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29</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8%</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12%</w:t>
            </w:r>
          </w:p>
        </w:tc>
      </w:tr>
      <w:tr w:rsidR="00AC321D" w:rsidRPr="00C44061" w:rsidTr="002320EC">
        <w:tc>
          <w:tcPr>
            <w:tcW w:w="14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1"/>
              <w:rPr>
                <w:rFonts w:ascii="Calibri" w:eastAsia="Times New Roman" w:hAnsi="Calibri" w:cs="Arial"/>
                <w:b/>
                <w:bCs/>
                <w:color w:val="000000"/>
                <w:sz w:val="18"/>
                <w:szCs w:val="18"/>
              </w:rPr>
            </w:pPr>
            <w:r w:rsidRPr="00C44061">
              <w:rPr>
                <w:rFonts w:ascii="Calibri" w:eastAsia="Times New Roman" w:hAnsi="Calibri" w:cs="Arial"/>
                <w:b/>
                <w:bCs/>
                <w:color w:val="000000"/>
                <w:sz w:val="18"/>
                <w:szCs w:val="18"/>
              </w:rPr>
              <w:t>Subtotal</w:t>
            </w:r>
          </w:p>
        </w:tc>
        <w:tc>
          <w:tcPr>
            <w:tcW w:w="316" w:type="pct"/>
            <w:tcBorders>
              <w:top w:val="single" w:sz="4" w:space="0" w:color="auto"/>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310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327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318</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377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382</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r>
      <w:tr w:rsidR="00AC321D" w:rsidRPr="00C44061" w:rsidTr="002320EC">
        <w:tc>
          <w:tcPr>
            <w:tcW w:w="1420" w:type="pct"/>
            <w:tcBorders>
              <w:top w:val="nil"/>
              <w:left w:val="single" w:sz="4" w:space="0" w:color="auto"/>
              <w:bottom w:val="nil"/>
              <w:right w:val="single" w:sz="4" w:space="0" w:color="auto"/>
            </w:tcBorders>
            <w:shd w:val="clear" w:color="000000" w:fill="D9D9D9"/>
            <w:noWrap/>
            <w:vAlign w:val="center"/>
            <w:hideMark/>
          </w:tcPr>
          <w:p w:rsidR="00AC321D" w:rsidRPr="00C44061" w:rsidRDefault="00AC321D" w:rsidP="002320EC">
            <w:pPr>
              <w:spacing w:before="0" w:after="0" w:line="240" w:lineRule="auto"/>
              <w:rPr>
                <w:rFonts w:ascii="Calibri" w:eastAsia="Times New Roman" w:hAnsi="Calibri" w:cs="Arial"/>
                <w:b/>
                <w:bCs/>
                <w:sz w:val="18"/>
                <w:szCs w:val="18"/>
              </w:rPr>
            </w:pPr>
            <w:r w:rsidRPr="00C44061">
              <w:rPr>
                <w:rFonts w:ascii="Calibri" w:eastAsia="Times New Roman" w:hAnsi="Calibri" w:cs="Arial"/>
                <w:b/>
                <w:bCs/>
                <w:sz w:val="18"/>
                <w:szCs w:val="18"/>
              </w:rPr>
              <w:t>Females</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 </w:t>
            </w:r>
          </w:p>
        </w:tc>
      </w:tr>
      <w:tr w:rsidR="00AC321D" w:rsidRPr="00C44061" w:rsidTr="002320EC">
        <w:tc>
          <w:tcPr>
            <w:tcW w:w="14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ind w:firstLineChars="100" w:firstLine="180"/>
              <w:rPr>
                <w:rFonts w:ascii="Calibri" w:eastAsia="Times New Roman" w:hAnsi="Calibri" w:cs="Arial"/>
                <w:sz w:val="18"/>
                <w:szCs w:val="18"/>
              </w:rPr>
            </w:pPr>
            <w:r w:rsidRPr="00C44061">
              <w:rPr>
                <w:rFonts w:ascii="Calibri" w:eastAsia="Times New Roman" w:hAnsi="Calibri" w:cs="Arial"/>
                <w:sz w:val="18"/>
                <w:szCs w:val="18"/>
              </w:rPr>
              <w:t>IDU</w:t>
            </w:r>
          </w:p>
        </w:tc>
        <w:tc>
          <w:tcPr>
            <w:tcW w:w="316" w:type="pct"/>
            <w:tcBorders>
              <w:top w:val="nil"/>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8%</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9%</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11%</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9%</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9%</w:t>
            </w:r>
          </w:p>
        </w:tc>
      </w:tr>
      <w:tr w:rsidR="00AC321D" w:rsidRPr="00C44061" w:rsidTr="002320EC">
        <w:tc>
          <w:tcPr>
            <w:tcW w:w="1420" w:type="pct"/>
            <w:tcBorders>
              <w:top w:val="nil"/>
              <w:left w:val="single" w:sz="4" w:space="0" w:color="auto"/>
              <w:bottom w:val="nil"/>
              <w:right w:val="single" w:sz="4" w:space="0" w:color="auto"/>
            </w:tcBorders>
            <w:shd w:val="clear" w:color="000000" w:fill="FFFFFF"/>
            <w:noWrap/>
            <w:vAlign w:val="center"/>
            <w:hideMark/>
          </w:tcPr>
          <w:p w:rsidR="00AC321D" w:rsidRPr="00C44061" w:rsidRDefault="00AC321D" w:rsidP="002320EC">
            <w:pPr>
              <w:spacing w:before="0" w:after="0" w:line="240" w:lineRule="auto"/>
              <w:ind w:firstLineChars="100" w:firstLine="180"/>
              <w:rPr>
                <w:rFonts w:ascii="Calibri" w:eastAsia="Times New Roman" w:hAnsi="Calibri" w:cs="Arial"/>
                <w:sz w:val="18"/>
                <w:szCs w:val="18"/>
              </w:rPr>
            </w:pPr>
            <w:r w:rsidRPr="00C44061">
              <w:rPr>
                <w:rFonts w:ascii="Calibri" w:eastAsia="Times New Roman" w:hAnsi="Calibri" w:cs="Arial"/>
                <w:sz w:val="18"/>
                <w:szCs w:val="18"/>
              </w:rPr>
              <w:t>Heterosexual contact</w:t>
            </w:r>
          </w:p>
        </w:tc>
        <w:tc>
          <w:tcPr>
            <w:tcW w:w="316" w:type="pct"/>
            <w:tcBorders>
              <w:top w:val="nil"/>
              <w:left w:val="nil"/>
              <w:bottom w:val="nil"/>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79%</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28</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53%</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44%</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32</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56%</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36%</w:t>
            </w:r>
          </w:p>
        </w:tc>
      </w:tr>
      <w:tr w:rsidR="00AC321D" w:rsidRPr="00C44061" w:rsidTr="002320EC">
        <w:tc>
          <w:tcPr>
            <w:tcW w:w="14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ind w:firstLineChars="100" w:firstLine="180"/>
              <w:rPr>
                <w:rFonts w:ascii="Calibri" w:eastAsia="Times New Roman" w:hAnsi="Calibri" w:cs="Arial"/>
                <w:sz w:val="18"/>
                <w:szCs w:val="18"/>
              </w:rPr>
            </w:pPr>
            <w:r w:rsidRPr="00C44061">
              <w:rPr>
                <w:rFonts w:ascii="Calibri" w:eastAsia="Times New Roman" w:hAnsi="Calibri" w:cs="Arial"/>
                <w:sz w:val="18"/>
                <w:szCs w:val="18"/>
              </w:rPr>
              <w:t>Perinatal exposure</w:t>
            </w:r>
          </w:p>
        </w:tc>
        <w:tc>
          <w:tcPr>
            <w:tcW w:w="316" w:type="pct"/>
            <w:tcBorders>
              <w:top w:val="single" w:sz="4" w:space="0" w:color="auto"/>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w:t>
            </w:r>
          </w:p>
        </w:tc>
      </w:tr>
      <w:tr w:rsidR="00AC321D" w:rsidRPr="00C44061" w:rsidTr="002320EC">
        <w:tc>
          <w:tcPr>
            <w:tcW w:w="1420" w:type="pct"/>
            <w:tcBorders>
              <w:top w:val="nil"/>
              <w:left w:val="single" w:sz="4" w:space="0" w:color="auto"/>
              <w:bottom w:val="nil"/>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0"/>
              <w:rPr>
                <w:rFonts w:ascii="Calibri" w:eastAsia="Times New Roman" w:hAnsi="Calibri" w:cs="Arial"/>
                <w:color w:val="000000"/>
                <w:sz w:val="18"/>
                <w:szCs w:val="18"/>
              </w:rPr>
            </w:pPr>
            <w:r w:rsidRPr="00C44061">
              <w:rPr>
                <w:rFonts w:ascii="Calibri" w:eastAsia="Times New Roman" w:hAnsi="Calibri" w:cs="Arial"/>
                <w:color w:val="000000"/>
                <w:sz w:val="18"/>
                <w:szCs w:val="18"/>
              </w:rPr>
              <w:t>Transfusion/ Hemophilia</w:t>
            </w:r>
          </w:p>
        </w:tc>
        <w:tc>
          <w:tcPr>
            <w:tcW w:w="316" w:type="pct"/>
            <w:tcBorders>
              <w:top w:val="nil"/>
              <w:left w:val="nil"/>
              <w:bottom w:val="nil"/>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316" w:type="pct"/>
            <w:tcBorders>
              <w:top w:val="nil"/>
              <w:left w:val="nil"/>
              <w:bottom w:val="nil"/>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0%</w:t>
            </w:r>
          </w:p>
        </w:tc>
      </w:tr>
      <w:tr w:rsidR="00AC321D" w:rsidRPr="00C44061" w:rsidTr="002320EC">
        <w:tc>
          <w:tcPr>
            <w:tcW w:w="14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ind w:firstLineChars="100" w:firstLine="180"/>
              <w:rPr>
                <w:rFonts w:ascii="Calibri" w:eastAsia="Times New Roman" w:hAnsi="Calibri" w:cs="Arial"/>
                <w:sz w:val="18"/>
                <w:szCs w:val="18"/>
              </w:rPr>
            </w:pPr>
            <w:r w:rsidRPr="00C44061">
              <w:rPr>
                <w:rFonts w:ascii="Calibri" w:eastAsia="Times New Roman" w:hAnsi="Calibri" w:cs="Arial"/>
                <w:sz w:val="18"/>
                <w:szCs w:val="18"/>
              </w:rPr>
              <w:t>NIR/NRR</w:t>
            </w:r>
          </w:p>
        </w:tc>
        <w:tc>
          <w:tcPr>
            <w:tcW w:w="316" w:type="pct"/>
            <w:tcBorders>
              <w:top w:val="single" w:sz="4" w:space="0" w:color="auto"/>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11%</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18</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34%</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20</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44%</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17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30%</w:t>
            </w:r>
          </w:p>
        </w:tc>
        <w:tc>
          <w:tcPr>
            <w:tcW w:w="316" w:type="pct"/>
            <w:tcBorders>
              <w:top w:val="single" w:sz="4" w:space="0" w:color="auto"/>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29</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sz w:val="18"/>
                <w:szCs w:val="18"/>
              </w:rPr>
            </w:pPr>
            <w:r w:rsidRPr="00C44061">
              <w:rPr>
                <w:rFonts w:ascii="Calibri" w:eastAsia="Times New Roman" w:hAnsi="Calibri" w:cs="Arial"/>
                <w:sz w:val="18"/>
                <w:szCs w:val="18"/>
              </w:rPr>
              <w:t>52%</w:t>
            </w:r>
          </w:p>
        </w:tc>
      </w:tr>
      <w:tr w:rsidR="00AC321D" w:rsidRPr="00C44061" w:rsidTr="002320EC">
        <w:tc>
          <w:tcPr>
            <w:tcW w:w="1420" w:type="pct"/>
            <w:tcBorders>
              <w:top w:val="nil"/>
              <w:left w:val="single" w:sz="4" w:space="0" w:color="auto"/>
              <w:bottom w:val="single" w:sz="4" w:space="0" w:color="auto"/>
              <w:right w:val="single" w:sz="4" w:space="0" w:color="auto"/>
            </w:tcBorders>
            <w:shd w:val="clear" w:color="000000" w:fill="FFFFFF"/>
            <w:vAlign w:val="center"/>
            <w:hideMark/>
          </w:tcPr>
          <w:p w:rsidR="00AC321D" w:rsidRPr="00C44061" w:rsidRDefault="00AC321D" w:rsidP="002320EC">
            <w:pPr>
              <w:spacing w:before="0" w:after="0" w:line="240" w:lineRule="auto"/>
              <w:ind w:firstLineChars="100" w:firstLine="181"/>
              <w:rPr>
                <w:rFonts w:ascii="Calibri" w:eastAsia="Times New Roman" w:hAnsi="Calibri" w:cs="Arial"/>
                <w:b/>
                <w:bCs/>
                <w:color w:val="000000"/>
                <w:sz w:val="18"/>
                <w:szCs w:val="18"/>
              </w:rPr>
            </w:pPr>
            <w:r w:rsidRPr="00C44061">
              <w:rPr>
                <w:rFonts w:ascii="Calibri" w:eastAsia="Times New Roman" w:hAnsi="Calibri" w:cs="Arial"/>
                <w:b/>
                <w:bCs/>
                <w:color w:val="000000"/>
                <w:sz w:val="18"/>
                <w:szCs w:val="18"/>
              </w:rPr>
              <w:t>Subtotal</w:t>
            </w:r>
          </w:p>
        </w:tc>
        <w:tc>
          <w:tcPr>
            <w:tcW w:w="316" w:type="pct"/>
            <w:tcBorders>
              <w:top w:val="nil"/>
              <w:left w:val="nil"/>
              <w:bottom w:val="single" w:sz="4" w:space="0" w:color="auto"/>
              <w:right w:val="nil"/>
            </w:tcBorders>
            <w:shd w:val="clear" w:color="auto" w:fill="auto"/>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63</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53</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45</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57</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56</w:t>
            </w:r>
          </w:p>
        </w:tc>
        <w:tc>
          <w:tcPr>
            <w:tcW w:w="400" w:type="pct"/>
            <w:tcBorders>
              <w:top w:val="nil"/>
              <w:left w:val="nil"/>
              <w:bottom w:val="single" w:sz="4" w:space="0" w:color="auto"/>
              <w:right w:val="single" w:sz="4" w:space="0" w:color="auto"/>
            </w:tcBorders>
            <w:shd w:val="clear" w:color="000000" w:fill="FFFFFF"/>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r>
      <w:tr w:rsidR="00AC321D" w:rsidRPr="00C44061" w:rsidTr="002320EC">
        <w:tc>
          <w:tcPr>
            <w:tcW w:w="1420" w:type="pct"/>
            <w:tcBorders>
              <w:top w:val="nil"/>
              <w:left w:val="single" w:sz="4" w:space="0" w:color="auto"/>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rPr>
                <w:rFonts w:ascii="Calibri" w:eastAsia="Times New Roman" w:hAnsi="Calibri" w:cs="Arial"/>
                <w:b/>
                <w:bCs/>
                <w:sz w:val="18"/>
                <w:szCs w:val="18"/>
              </w:rPr>
            </w:pPr>
            <w:r w:rsidRPr="00C44061">
              <w:rPr>
                <w:rFonts w:ascii="Calibri" w:eastAsia="Times New Roman" w:hAnsi="Calibri" w:cs="Arial"/>
                <w:b/>
                <w:bCs/>
                <w:sz w:val="18"/>
                <w:szCs w:val="18"/>
              </w:rPr>
              <w:t>Total</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373</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380</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363</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434</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c>
          <w:tcPr>
            <w:tcW w:w="316" w:type="pct"/>
            <w:tcBorders>
              <w:top w:val="nil"/>
              <w:left w:val="nil"/>
              <w:bottom w:val="single" w:sz="4" w:space="0" w:color="auto"/>
              <w:right w:val="nil"/>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438</w:t>
            </w:r>
          </w:p>
        </w:tc>
        <w:tc>
          <w:tcPr>
            <w:tcW w:w="400" w:type="pct"/>
            <w:tcBorders>
              <w:top w:val="nil"/>
              <w:left w:val="nil"/>
              <w:bottom w:val="single" w:sz="4" w:space="0" w:color="auto"/>
              <w:right w:val="single" w:sz="4" w:space="0" w:color="auto"/>
            </w:tcBorders>
            <w:shd w:val="clear" w:color="000000" w:fill="D9D9D9"/>
            <w:noWrap/>
            <w:vAlign w:val="center"/>
            <w:hideMark/>
          </w:tcPr>
          <w:p w:rsidR="00AC321D" w:rsidRPr="00C44061" w:rsidRDefault="00AC321D" w:rsidP="002320EC">
            <w:pPr>
              <w:spacing w:before="0" w:after="0" w:line="240" w:lineRule="auto"/>
              <w:jc w:val="right"/>
              <w:rPr>
                <w:rFonts w:ascii="Calibri" w:eastAsia="Times New Roman" w:hAnsi="Calibri" w:cs="Arial"/>
                <w:b/>
                <w:bCs/>
                <w:sz w:val="18"/>
                <w:szCs w:val="18"/>
              </w:rPr>
            </w:pPr>
            <w:r w:rsidRPr="00C44061">
              <w:rPr>
                <w:rFonts w:ascii="Calibri" w:eastAsia="Times New Roman" w:hAnsi="Calibri" w:cs="Arial"/>
                <w:b/>
                <w:bCs/>
                <w:sz w:val="18"/>
                <w:szCs w:val="18"/>
              </w:rPr>
              <w:t>100%</w:t>
            </w:r>
          </w:p>
        </w:tc>
      </w:tr>
    </w:tbl>
    <w:p w:rsidR="003C3AD0" w:rsidRDefault="003C3AD0" w:rsidP="00E434EF">
      <w:pPr>
        <w:pStyle w:val="Heading5"/>
      </w:pPr>
      <w:r>
        <w:t>HIV and Women engaging in Heterosexual contact</w:t>
      </w:r>
    </w:p>
    <w:p w:rsidR="003C3AD0" w:rsidRDefault="003C3AD0" w:rsidP="00F037FD">
      <w:pPr>
        <w:jc w:val="both"/>
      </w:pPr>
      <w:r w:rsidRPr="00F11D78">
        <w:rPr>
          <w:iCs/>
          <w:sz w:val="22"/>
          <w:szCs w:val="22"/>
        </w:rPr>
        <w:t>Among females, heterosexual contact has been the most common transmission category</w:t>
      </w:r>
      <w:r>
        <w:rPr>
          <w:iCs/>
          <w:sz w:val="22"/>
          <w:szCs w:val="22"/>
        </w:rPr>
        <w:t xml:space="preserve"> for the majority of new HIV diagnoses from 2010 to 2014 (Table 4)</w:t>
      </w:r>
      <w:r w:rsidRPr="00F11D78">
        <w:rPr>
          <w:iCs/>
          <w:sz w:val="22"/>
          <w:szCs w:val="22"/>
        </w:rPr>
        <w:t xml:space="preserve">. Although the percentage of females with this risk has decreased from 2010 to 2014, this is most likely due to more stringent risk ascertainment standards and not an actual decrease in heterosexual contact.  Many of the cases that would have been assigned a risk </w:t>
      </w:r>
      <w:r w:rsidRPr="00F11D78">
        <w:rPr>
          <w:iCs/>
          <w:sz w:val="22"/>
          <w:szCs w:val="22"/>
        </w:rPr>
        <w:lastRenderedPageBreak/>
        <w:t>of heterosexual contact did not meet the new risk ascertainment standards and thus were assigned as no identified risk/no risk reported (NIR/NRR) which is most likely responsible for the increase f</w:t>
      </w:r>
      <w:r>
        <w:rPr>
          <w:iCs/>
          <w:sz w:val="22"/>
          <w:szCs w:val="22"/>
        </w:rPr>
        <w:t xml:space="preserve">rom 11% in </w:t>
      </w:r>
      <w:r w:rsidRPr="000B7BF6">
        <w:rPr>
          <w:iCs/>
          <w:sz w:val="22"/>
          <w:szCs w:val="22"/>
        </w:rPr>
        <w:t xml:space="preserve">2010 to 52% in 2014. From 2010 to 2014, heterosexual contact has been the most common transmission category for females living with HIV, accounting for over 60% of all cases.  Among females, the most common known transmission category for all race/ethnicity groups was heterosexual contact (Table </w:t>
      </w:r>
      <w:r>
        <w:rPr>
          <w:iCs/>
          <w:sz w:val="22"/>
          <w:szCs w:val="22"/>
        </w:rPr>
        <w:t>5</w:t>
      </w:r>
      <w:r w:rsidRPr="000B7BF6">
        <w:rPr>
          <w:iCs/>
          <w:sz w:val="22"/>
          <w:szCs w:val="22"/>
        </w:rPr>
        <w:t xml:space="preserve">). </w:t>
      </w:r>
      <w:r w:rsidRPr="000B7BF6">
        <w:rPr>
          <w:sz w:val="22"/>
          <w:szCs w:val="22"/>
        </w:rPr>
        <w:t xml:space="preserve">Among females, heterosexual contact was the transmission category for the majority of </w:t>
      </w:r>
      <w:r w:rsidR="00102278">
        <w:rPr>
          <w:sz w:val="22"/>
          <w:szCs w:val="22"/>
        </w:rPr>
        <w:t xml:space="preserve">PLWH </w:t>
      </w:r>
      <w:r w:rsidRPr="000B7BF6">
        <w:rPr>
          <w:sz w:val="22"/>
          <w:szCs w:val="22"/>
        </w:rPr>
        <w:t>across all age groups except for those under the age of 24.</w:t>
      </w:r>
      <w:r>
        <w:t xml:space="preserve"> </w:t>
      </w:r>
    </w:p>
    <w:p w:rsidR="003C3AD0" w:rsidRPr="00545FE8" w:rsidRDefault="003C3AD0" w:rsidP="00545FE8">
      <w:pPr>
        <w:spacing w:after="0"/>
        <w:rPr>
          <w:b/>
          <w:sz w:val="22"/>
          <w:szCs w:val="22"/>
        </w:rPr>
      </w:pPr>
      <w:bookmarkStart w:id="24" w:name="_Toc454344403"/>
      <w:bookmarkStart w:id="25" w:name="_Toc456157009"/>
      <w:bookmarkStart w:id="26" w:name="_Toc456247463"/>
      <w:r w:rsidRPr="00545FE8">
        <w:rPr>
          <w:b/>
          <w:sz w:val="22"/>
          <w:szCs w:val="22"/>
        </w:rPr>
        <w:t>Table 5. New HIV Diagnoses in Nevada by Race/Ethnicity and Transmission Category, 2014</w:t>
      </w:r>
      <w:bookmarkEnd w:id="24"/>
      <w:bookmarkEnd w:id="25"/>
      <w:bookmarkEnd w:id="26"/>
    </w:p>
    <w:tbl>
      <w:tblPr>
        <w:tblW w:w="5000" w:type="pct"/>
        <w:tblLook w:val="04A0" w:firstRow="1" w:lastRow="0" w:firstColumn="1" w:lastColumn="0" w:noHBand="0" w:noVBand="1"/>
      </w:tblPr>
      <w:tblGrid>
        <w:gridCol w:w="2084"/>
        <w:gridCol w:w="511"/>
        <w:gridCol w:w="651"/>
        <w:gridCol w:w="511"/>
        <w:gridCol w:w="651"/>
        <w:gridCol w:w="511"/>
        <w:gridCol w:w="651"/>
        <w:gridCol w:w="411"/>
        <w:gridCol w:w="651"/>
        <w:gridCol w:w="320"/>
        <w:gridCol w:w="651"/>
        <w:gridCol w:w="1081"/>
        <w:gridCol w:w="666"/>
      </w:tblGrid>
      <w:tr w:rsidR="003C3AD0" w:rsidRPr="009B3EEB" w:rsidTr="00D43242">
        <w:trPr>
          <w:trHeight w:val="144"/>
        </w:trPr>
        <w:tc>
          <w:tcPr>
            <w:tcW w:w="1114" w:type="pct"/>
            <w:tcBorders>
              <w:top w:val="single" w:sz="4" w:space="0" w:color="auto"/>
              <w:left w:val="single" w:sz="4" w:space="0" w:color="auto"/>
              <w:bottom w:val="nil"/>
              <w:right w:val="single" w:sz="4" w:space="0" w:color="auto"/>
            </w:tcBorders>
            <w:shd w:val="clear" w:color="000000" w:fill="4F81BD"/>
            <w:vAlign w:val="center"/>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Transmission Category</w:t>
            </w:r>
          </w:p>
        </w:tc>
        <w:tc>
          <w:tcPr>
            <w:tcW w:w="621" w:type="pct"/>
            <w:gridSpan w:val="2"/>
            <w:tcBorders>
              <w:top w:val="single" w:sz="4" w:space="0" w:color="auto"/>
              <w:left w:val="nil"/>
              <w:bottom w:val="nil"/>
              <w:right w:val="single" w:sz="4" w:space="0" w:color="000000"/>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White</w:t>
            </w:r>
          </w:p>
        </w:tc>
        <w:tc>
          <w:tcPr>
            <w:tcW w:w="621" w:type="pct"/>
            <w:gridSpan w:val="2"/>
            <w:tcBorders>
              <w:top w:val="single" w:sz="4" w:space="0" w:color="auto"/>
              <w:left w:val="nil"/>
              <w:bottom w:val="nil"/>
              <w:right w:val="single" w:sz="4" w:space="0" w:color="000000"/>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 xml:space="preserve">Black </w:t>
            </w:r>
          </w:p>
        </w:tc>
        <w:tc>
          <w:tcPr>
            <w:tcW w:w="621" w:type="pct"/>
            <w:gridSpan w:val="2"/>
            <w:tcBorders>
              <w:top w:val="single" w:sz="4" w:space="0" w:color="auto"/>
              <w:left w:val="nil"/>
              <w:bottom w:val="nil"/>
              <w:right w:val="single" w:sz="4" w:space="0" w:color="000000"/>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Hispanic</w:t>
            </w:r>
          </w:p>
        </w:tc>
        <w:tc>
          <w:tcPr>
            <w:tcW w:w="568" w:type="pct"/>
            <w:gridSpan w:val="2"/>
            <w:tcBorders>
              <w:top w:val="single" w:sz="4" w:space="0" w:color="auto"/>
              <w:left w:val="nil"/>
              <w:bottom w:val="nil"/>
              <w:right w:val="single" w:sz="4" w:space="0" w:color="000000"/>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API</w:t>
            </w:r>
          </w:p>
        </w:tc>
        <w:tc>
          <w:tcPr>
            <w:tcW w:w="519" w:type="pct"/>
            <w:gridSpan w:val="2"/>
            <w:tcBorders>
              <w:top w:val="single" w:sz="4" w:space="0" w:color="auto"/>
              <w:left w:val="nil"/>
              <w:bottom w:val="nil"/>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AI/AN</w:t>
            </w:r>
          </w:p>
        </w:tc>
        <w:tc>
          <w:tcPr>
            <w:tcW w:w="934" w:type="pct"/>
            <w:gridSpan w:val="2"/>
            <w:tcBorders>
              <w:top w:val="single" w:sz="4" w:space="0" w:color="auto"/>
              <w:left w:val="single" w:sz="4" w:space="0" w:color="auto"/>
              <w:bottom w:val="nil"/>
              <w:right w:val="single" w:sz="4" w:space="0" w:color="000000"/>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Multi-Race/Other*</w:t>
            </w:r>
          </w:p>
        </w:tc>
      </w:tr>
      <w:tr w:rsidR="003C3AD0" w:rsidRPr="009B3EEB" w:rsidTr="00D43242">
        <w:trPr>
          <w:trHeight w:val="144"/>
        </w:trPr>
        <w:tc>
          <w:tcPr>
            <w:tcW w:w="1114" w:type="pct"/>
            <w:tcBorders>
              <w:top w:val="nil"/>
              <w:left w:val="single" w:sz="4" w:space="0" w:color="auto"/>
              <w:bottom w:val="single" w:sz="4" w:space="0" w:color="auto"/>
              <w:right w:val="single" w:sz="4" w:space="0" w:color="auto"/>
            </w:tcBorders>
            <w:shd w:val="clear" w:color="000000" w:fill="4F81BD"/>
            <w:vAlign w:val="center"/>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 </w:t>
            </w:r>
          </w:p>
        </w:tc>
        <w:tc>
          <w:tcPr>
            <w:tcW w:w="273" w:type="pct"/>
            <w:tcBorders>
              <w:top w:val="nil"/>
              <w:left w:val="nil"/>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n</w:t>
            </w:r>
          </w:p>
        </w:tc>
        <w:tc>
          <w:tcPr>
            <w:tcW w:w="348" w:type="pct"/>
            <w:tcBorders>
              <w:top w:val="nil"/>
              <w:left w:val="nil"/>
              <w:bottom w:val="single" w:sz="4" w:space="0" w:color="auto"/>
              <w:right w:val="single" w:sz="4" w:space="0" w:color="auto"/>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w:t>
            </w:r>
          </w:p>
        </w:tc>
        <w:tc>
          <w:tcPr>
            <w:tcW w:w="273" w:type="pct"/>
            <w:tcBorders>
              <w:top w:val="nil"/>
              <w:left w:val="nil"/>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n</w:t>
            </w:r>
          </w:p>
        </w:tc>
        <w:tc>
          <w:tcPr>
            <w:tcW w:w="348" w:type="pct"/>
            <w:tcBorders>
              <w:top w:val="nil"/>
              <w:left w:val="nil"/>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w:t>
            </w:r>
          </w:p>
        </w:tc>
        <w:tc>
          <w:tcPr>
            <w:tcW w:w="273" w:type="pct"/>
            <w:tcBorders>
              <w:top w:val="nil"/>
              <w:left w:val="single" w:sz="4" w:space="0" w:color="auto"/>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n</w:t>
            </w:r>
          </w:p>
        </w:tc>
        <w:tc>
          <w:tcPr>
            <w:tcW w:w="348" w:type="pct"/>
            <w:tcBorders>
              <w:top w:val="nil"/>
              <w:left w:val="nil"/>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w:t>
            </w:r>
          </w:p>
        </w:tc>
        <w:tc>
          <w:tcPr>
            <w:tcW w:w="220" w:type="pct"/>
            <w:tcBorders>
              <w:top w:val="nil"/>
              <w:left w:val="single" w:sz="4" w:space="0" w:color="auto"/>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n</w:t>
            </w:r>
          </w:p>
        </w:tc>
        <w:tc>
          <w:tcPr>
            <w:tcW w:w="348" w:type="pct"/>
            <w:tcBorders>
              <w:top w:val="nil"/>
              <w:left w:val="nil"/>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w:t>
            </w:r>
          </w:p>
        </w:tc>
        <w:tc>
          <w:tcPr>
            <w:tcW w:w="171" w:type="pct"/>
            <w:tcBorders>
              <w:top w:val="nil"/>
              <w:left w:val="single" w:sz="4" w:space="0" w:color="auto"/>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n</w:t>
            </w:r>
          </w:p>
        </w:tc>
        <w:tc>
          <w:tcPr>
            <w:tcW w:w="348" w:type="pct"/>
            <w:tcBorders>
              <w:top w:val="nil"/>
              <w:left w:val="nil"/>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w:t>
            </w:r>
          </w:p>
        </w:tc>
        <w:tc>
          <w:tcPr>
            <w:tcW w:w="578" w:type="pct"/>
            <w:tcBorders>
              <w:top w:val="nil"/>
              <w:left w:val="single" w:sz="4" w:space="0" w:color="auto"/>
              <w:bottom w:val="single" w:sz="4" w:space="0" w:color="auto"/>
              <w:right w:val="nil"/>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n</w:t>
            </w:r>
          </w:p>
        </w:tc>
        <w:tc>
          <w:tcPr>
            <w:tcW w:w="356" w:type="pct"/>
            <w:tcBorders>
              <w:top w:val="nil"/>
              <w:left w:val="nil"/>
              <w:bottom w:val="single" w:sz="4" w:space="0" w:color="auto"/>
              <w:right w:val="single" w:sz="4" w:space="0" w:color="auto"/>
            </w:tcBorders>
            <w:shd w:val="clear" w:color="000000" w:fill="4F81BD"/>
            <w:noWrap/>
            <w:vAlign w:val="bottom"/>
            <w:hideMark/>
          </w:tcPr>
          <w:p w:rsidR="003C3AD0" w:rsidRPr="009B3EEB" w:rsidRDefault="003C3AD0" w:rsidP="00D43242">
            <w:pPr>
              <w:spacing w:before="0" w:after="0" w:line="240" w:lineRule="auto"/>
              <w:jc w:val="center"/>
              <w:rPr>
                <w:rFonts w:ascii="Calibri" w:eastAsia="Times New Roman" w:hAnsi="Calibri" w:cs="Arial"/>
                <w:b/>
                <w:bCs/>
                <w:color w:val="FFFFFF"/>
                <w:sz w:val="18"/>
                <w:szCs w:val="18"/>
              </w:rPr>
            </w:pPr>
            <w:r w:rsidRPr="009B3EEB">
              <w:rPr>
                <w:rFonts w:ascii="Calibri" w:eastAsia="Times New Roman" w:hAnsi="Calibri" w:cs="Arial"/>
                <w:b/>
                <w:bCs/>
                <w:color w:val="FFFFFF"/>
                <w:sz w:val="18"/>
                <w:szCs w:val="18"/>
              </w:rPr>
              <w:t>%</w:t>
            </w:r>
          </w:p>
        </w:tc>
      </w:tr>
      <w:tr w:rsidR="003C3AD0" w:rsidRPr="009B3EEB" w:rsidTr="00D43242">
        <w:trPr>
          <w:trHeight w:val="144"/>
        </w:trPr>
        <w:tc>
          <w:tcPr>
            <w:tcW w:w="1114" w:type="pct"/>
            <w:tcBorders>
              <w:top w:val="nil"/>
              <w:left w:val="single" w:sz="4" w:space="0" w:color="auto"/>
              <w:bottom w:val="nil"/>
              <w:right w:val="nil"/>
            </w:tcBorders>
            <w:shd w:val="clear" w:color="000000" w:fill="D9D9D9"/>
            <w:vAlign w:val="bottom"/>
            <w:hideMark/>
          </w:tcPr>
          <w:p w:rsidR="003C3AD0" w:rsidRPr="009B3EEB" w:rsidRDefault="003C3AD0" w:rsidP="00D43242">
            <w:pPr>
              <w:spacing w:before="0" w:after="0" w:line="240" w:lineRule="auto"/>
              <w:rPr>
                <w:rFonts w:ascii="Calibri" w:eastAsia="Times New Roman" w:hAnsi="Calibri" w:cs="Arial"/>
                <w:b/>
                <w:bCs/>
                <w:sz w:val="18"/>
                <w:szCs w:val="18"/>
              </w:rPr>
            </w:pPr>
            <w:r w:rsidRPr="009B3EEB">
              <w:rPr>
                <w:rFonts w:ascii="Calibri" w:eastAsia="Times New Roman" w:hAnsi="Calibri" w:cs="Arial"/>
                <w:b/>
                <w:bCs/>
                <w:sz w:val="18"/>
                <w:szCs w:val="18"/>
              </w:rPr>
              <w:t>Males</w:t>
            </w:r>
          </w:p>
        </w:tc>
        <w:tc>
          <w:tcPr>
            <w:tcW w:w="273" w:type="pct"/>
            <w:tcBorders>
              <w:top w:val="nil"/>
              <w:left w:val="single" w:sz="4" w:space="0" w:color="auto"/>
              <w:bottom w:val="nil"/>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nil"/>
              <w:left w:val="nil"/>
              <w:bottom w:val="nil"/>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273" w:type="pct"/>
            <w:tcBorders>
              <w:top w:val="nil"/>
              <w:left w:val="nil"/>
              <w:bottom w:val="nil"/>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nil"/>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273" w:type="pct"/>
            <w:tcBorders>
              <w:top w:val="nil"/>
              <w:left w:val="nil"/>
              <w:bottom w:val="nil"/>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nil"/>
              <w:left w:val="nil"/>
              <w:bottom w:val="nil"/>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220" w:type="pct"/>
            <w:tcBorders>
              <w:top w:val="nil"/>
              <w:left w:val="single" w:sz="4" w:space="0" w:color="auto"/>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nil"/>
              <w:left w:val="nil"/>
              <w:bottom w:val="nil"/>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171" w:type="pct"/>
            <w:tcBorders>
              <w:top w:val="nil"/>
              <w:left w:val="single" w:sz="4" w:space="0" w:color="auto"/>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nil"/>
              <w:left w:val="nil"/>
              <w:bottom w:val="nil"/>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578" w:type="pct"/>
            <w:tcBorders>
              <w:top w:val="nil"/>
              <w:left w:val="single" w:sz="4" w:space="0" w:color="auto"/>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56" w:type="pct"/>
            <w:tcBorders>
              <w:top w:val="nil"/>
              <w:left w:val="nil"/>
              <w:bottom w:val="nil"/>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r>
      <w:tr w:rsidR="003C3AD0" w:rsidRPr="009B3EEB" w:rsidTr="00D43242">
        <w:trPr>
          <w:trHeight w:val="144"/>
        </w:trPr>
        <w:tc>
          <w:tcPr>
            <w:tcW w:w="1114" w:type="pct"/>
            <w:tcBorders>
              <w:top w:val="single" w:sz="4" w:space="0" w:color="auto"/>
              <w:left w:val="single" w:sz="4" w:space="0" w:color="auto"/>
              <w:bottom w:val="single" w:sz="4" w:space="0" w:color="auto"/>
              <w:right w:val="nil"/>
            </w:tcBorders>
            <w:shd w:val="clear" w:color="000000" w:fill="FFFFFF"/>
            <w:hideMark/>
          </w:tcPr>
          <w:p w:rsidR="003C3AD0" w:rsidRPr="009B3EEB" w:rsidRDefault="003C3AD0" w:rsidP="00D43242">
            <w:pPr>
              <w:spacing w:before="0" w:after="0" w:line="240" w:lineRule="auto"/>
              <w:ind w:firstLineChars="100" w:firstLine="180"/>
              <w:rPr>
                <w:rFonts w:ascii="Calibri" w:eastAsia="Times New Roman" w:hAnsi="Calibri" w:cs="Arial"/>
                <w:color w:val="000000"/>
                <w:sz w:val="18"/>
                <w:szCs w:val="18"/>
              </w:rPr>
            </w:pPr>
            <w:r w:rsidRPr="009B3EEB">
              <w:rPr>
                <w:rFonts w:ascii="Calibri" w:eastAsia="Times New Roman" w:hAnsi="Calibri" w:cs="Arial"/>
                <w:color w:val="000000"/>
                <w:sz w:val="18"/>
                <w:szCs w:val="18"/>
              </w:rPr>
              <w:t>MSM</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94</w:t>
            </w:r>
          </w:p>
        </w:tc>
        <w:tc>
          <w:tcPr>
            <w:tcW w:w="348" w:type="pct"/>
            <w:tcBorders>
              <w:top w:val="single" w:sz="4" w:space="0" w:color="auto"/>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66%</w:t>
            </w:r>
          </w:p>
        </w:tc>
        <w:tc>
          <w:tcPr>
            <w:tcW w:w="273"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59</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74%</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105</w:t>
            </w:r>
          </w:p>
        </w:tc>
        <w:tc>
          <w:tcPr>
            <w:tcW w:w="348"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81%</w:t>
            </w:r>
          </w:p>
        </w:tc>
        <w:tc>
          <w:tcPr>
            <w:tcW w:w="220"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15</w:t>
            </w:r>
          </w:p>
        </w:tc>
        <w:tc>
          <w:tcPr>
            <w:tcW w:w="348"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88%</w:t>
            </w:r>
          </w:p>
        </w:tc>
        <w:tc>
          <w:tcPr>
            <w:tcW w:w="171"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2</w:t>
            </w:r>
          </w:p>
        </w:tc>
        <w:tc>
          <w:tcPr>
            <w:tcW w:w="348"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67%</w:t>
            </w:r>
          </w:p>
        </w:tc>
        <w:tc>
          <w:tcPr>
            <w:tcW w:w="578"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9</w:t>
            </w:r>
          </w:p>
        </w:tc>
        <w:tc>
          <w:tcPr>
            <w:tcW w:w="356" w:type="pct"/>
            <w:tcBorders>
              <w:top w:val="single" w:sz="4" w:space="0" w:color="auto"/>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90%</w:t>
            </w:r>
          </w:p>
        </w:tc>
      </w:tr>
      <w:tr w:rsidR="003C3AD0" w:rsidRPr="009B3EEB" w:rsidTr="00D43242">
        <w:trPr>
          <w:trHeight w:val="144"/>
        </w:trPr>
        <w:tc>
          <w:tcPr>
            <w:tcW w:w="1114" w:type="pct"/>
            <w:tcBorders>
              <w:top w:val="nil"/>
              <w:left w:val="single" w:sz="4" w:space="0" w:color="auto"/>
              <w:bottom w:val="nil"/>
              <w:right w:val="nil"/>
            </w:tcBorders>
            <w:shd w:val="clear" w:color="000000" w:fill="FFFFFF"/>
            <w:hideMark/>
          </w:tcPr>
          <w:p w:rsidR="003C3AD0" w:rsidRPr="009B3EEB" w:rsidRDefault="003C3AD0" w:rsidP="00D43242">
            <w:pPr>
              <w:spacing w:before="0" w:after="0" w:line="240" w:lineRule="auto"/>
              <w:ind w:firstLineChars="100" w:firstLine="180"/>
              <w:rPr>
                <w:rFonts w:ascii="Calibri" w:eastAsia="Times New Roman" w:hAnsi="Calibri" w:cs="Arial"/>
                <w:color w:val="000000"/>
                <w:sz w:val="18"/>
                <w:szCs w:val="18"/>
              </w:rPr>
            </w:pPr>
            <w:r w:rsidRPr="009B3EEB">
              <w:rPr>
                <w:rFonts w:ascii="Calibri" w:eastAsia="Times New Roman" w:hAnsi="Calibri" w:cs="Arial"/>
                <w:color w:val="000000"/>
                <w:sz w:val="18"/>
                <w:szCs w:val="18"/>
              </w:rPr>
              <w:t>IDU</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11</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8%</w:t>
            </w:r>
          </w:p>
        </w:tc>
        <w:tc>
          <w:tcPr>
            <w:tcW w:w="273"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2</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2%</w:t>
            </w:r>
          </w:p>
        </w:tc>
        <w:tc>
          <w:tcPr>
            <w:tcW w:w="220"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171"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single" w:sz="4" w:space="0" w:color="auto"/>
              <w:left w:val="single" w:sz="4" w:space="0" w:color="auto"/>
              <w:bottom w:val="single" w:sz="4" w:space="0" w:color="auto"/>
              <w:right w:val="nil"/>
            </w:tcBorders>
            <w:shd w:val="clear" w:color="000000" w:fill="FFFFFF"/>
            <w:hideMark/>
          </w:tcPr>
          <w:p w:rsidR="003C3AD0" w:rsidRPr="009B3EEB" w:rsidRDefault="003C3AD0" w:rsidP="00D43242">
            <w:pPr>
              <w:spacing w:before="0" w:after="0" w:line="240" w:lineRule="auto"/>
              <w:ind w:firstLineChars="100" w:firstLine="180"/>
              <w:rPr>
                <w:rFonts w:ascii="Calibri" w:eastAsia="Times New Roman" w:hAnsi="Calibri" w:cs="Arial"/>
                <w:color w:val="000000"/>
                <w:sz w:val="18"/>
                <w:szCs w:val="18"/>
              </w:rPr>
            </w:pPr>
            <w:r w:rsidRPr="009B3EEB">
              <w:rPr>
                <w:rFonts w:ascii="Calibri" w:eastAsia="Times New Roman" w:hAnsi="Calibri" w:cs="Arial"/>
                <w:color w:val="000000"/>
                <w:sz w:val="18"/>
                <w:szCs w:val="18"/>
              </w:rPr>
              <w:t>MSM+IDU</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21</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15%</w:t>
            </w:r>
          </w:p>
        </w:tc>
        <w:tc>
          <w:tcPr>
            <w:tcW w:w="273"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4</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w:t>
            </w:r>
          </w:p>
        </w:tc>
        <w:tc>
          <w:tcPr>
            <w:tcW w:w="220"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171"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nil"/>
              <w:left w:val="single" w:sz="4" w:space="0" w:color="auto"/>
              <w:bottom w:val="single" w:sz="4" w:space="0" w:color="auto"/>
              <w:right w:val="nil"/>
            </w:tcBorders>
            <w:shd w:val="clear" w:color="000000" w:fill="FFFFFF"/>
            <w:hideMark/>
          </w:tcPr>
          <w:p w:rsidR="003C3AD0" w:rsidRPr="009B3EEB" w:rsidRDefault="003C3AD0" w:rsidP="00D43242">
            <w:pPr>
              <w:spacing w:before="0" w:after="0" w:line="240" w:lineRule="auto"/>
              <w:ind w:firstLineChars="100" w:firstLine="180"/>
              <w:rPr>
                <w:rFonts w:ascii="Calibri" w:eastAsia="Times New Roman" w:hAnsi="Calibri" w:cs="Arial"/>
                <w:color w:val="000000"/>
                <w:sz w:val="18"/>
                <w:szCs w:val="18"/>
              </w:rPr>
            </w:pPr>
            <w:r w:rsidRPr="009B3EEB">
              <w:rPr>
                <w:rFonts w:ascii="Calibri" w:eastAsia="Times New Roman" w:hAnsi="Calibri" w:cs="Arial"/>
                <w:color w:val="000000"/>
                <w:sz w:val="18"/>
                <w:szCs w:val="18"/>
              </w:rPr>
              <w:t>Heterosexual contact</w:t>
            </w:r>
          </w:p>
        </w:tc>
        <w:tc>
          <w:tcPr>
            <w:tcW w:w="273"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273"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6</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8%</w:t>
            </w:r>
          </w:p>
        </w:tc>
        <w:tc>
          <w:tcPr>
            <w:tcW w:w="273"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4</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w:t>
            </w:r>
          </w:p>
        </w:tc>
        <w:tc>
          <w:tcPr>
            <w:tcW w:w="220"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171"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10%</w:t>
            </w:r>
          </w:p>
        </w:tc>
      </w:tr>
      <w:tr w:rsidR="003C3AD0" w:rsidRPr="009B3EEB" w:rsidTr="00D43242">
        <w:trPr>
          <w:trHeight w:val="144"/>
        </w:trPr>
        <w:tc>
          <w:tcPr>
            <w:tcW w:w="1114" w:type="pct"/>
            <w:tcBorders>
              <w:top w:val="nil"/>
              <w:left w:val="single" w:sz="4" w:space="0" w:color="auto"/>
              <w:bottom w:val="nil"/>
              <w:right w:val="nil"/>
            </w:tcBorders>
            <w:shd w:val="clear" w:color="000000" w:fill="FFFFFF"/>
            <w:hideMark/>
          </w:tcPr>
          <w:p w:rsidR="003C3AD0" w:rsidRPr="009B3EEB" w:rsidRDefault="003C3AD0" w:rsidP="00D43242">
            <w:pPr>
              <w:spacing w:before="0" w:after="0" w:line="240" w:lineRule="auto"/>
              <w:ind w:firstLineChars="100" w:firstLine="180"/>
              <w:rPr>
                <w:rFonts w:ascii="Calibri" w:eastAsia="Times New Roman" w:hAnsi="Calibri" w:cs="Arial"/>
                <w:color w:val="000000"/>
                <w:sz w:val="18"/>
                <w:szCs w:val="18"/>
              </w:rPr>
            </w:pPr>
            <w:r w:rsidRPr="009B3EEB">
              <w:rPr>
                <w:rFonts w:ascii="Calibri" w:eastAsia="Times New Roman" w:hAnsi="Calibri" w:cs="Arial"/>
                <w:color w:val="000000"/>
                <w:sz w:val="18"/>
                <w:szCs w:val="18"/>
              </w:rPr>
              <w:t>Perinatal exposure</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273"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220"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171"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single" w:sz="4" w:space="0" w:color="auto"/>
              <w:left w:val="single" w:sz="4" w:space="0" w:color="auto"/>
              <w:bottom w:val="single" w:sz="4" w:space="0" w:color="auto"/>
              <w:right w:val="nil"/>
            </w:tcBorders>
            <w:shd w:val="clear" w:color="000000" w:fill="FFFFFF"/>
            <w:hideMark/>
          </w:tcPr>
          <w:p w:rsidR="003C3AD0" w:rsidRPr="009B3EEB" w:rsidRDefault="003C3AD0" w:rsidP="00D43242">
            <w:pPr>
              <w:spacing w:before="0" w:after="0" w:line="240" w:lineRule="auto"/>
              <w:ind w:firstLineChars="100" w:firstLine="180"/>
              <w:rPr>
                <w:rFonts w:ascii="Calibri" w:eastAsia="Times New Roman" w:hAnsi="Calibri" w:cs="Arial"/>
                <w:color w:val="000000"/>
                <w:sz w:val="18"/>
                <w:szCs w:val="18"/>
              </w:rPr>
            </w:pPr>
            <w:r w:rsidRPr="009B3EEB">
              <w:rPr>
                <w:rFonts w:ascii="Calibri" w:eastAsia="Times New Roman" w:hAnsi="Calibri" w:cs="Arial"/>
                <w:color w:val="000000"/>
                <w:sz w:val="18"/>
                <w:szCs w:val="18"/>
              </w:rPr>
              <w:t>NIR/NRR</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16</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11%</w:t>
            </w:r>
          </w:p>
        </w:tc>
        <w:tc>
          <w:tcPr>
            <w:tcW w:w="273"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14</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18%</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14</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11%</w:t>
            </w:r>
          </w:p>
        </w:tc>
        <w:tc>
          <w:tcPr>
            <w:tcW w:w="220"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2</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12%</w:t>
            </w:r>
          </w:p>
        </w:tc>
        <w:tc>
          <w:tcPr>
            <w:tcW w:w="171"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33%</w:t>
            </w:r>
          </w:p>
        </w:tc>
        <w:tc>
          <w:tcPr>
            <w:tcW w:w="5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nil"/>
              <w:left w:val="single" w:sz="4" w:space="0" w:color="auto"/>
              <w:bottom w:val="nil"/>
              <w:right w:val="nil"/>
            </w:tcBorders>
            <w:shd w:val="clear" w:color="000000" w:fill="FFFFFF"/>
            <w:hideMark/>
          </w:tcPr>
          <w:p w:rsidR="003C3AD0" w:rsidRPr="009B3EEB" w:rsidRDefault="003C3AD0" w:rsidP="00D43242">
            <w:pPr>
              <w:spacing w:before="0" w:after="0" w:line="240" w:lineRule="auto"/>
              <w:ind w:firstLineChars="100" w:firstLine="181"/>
              <w:rPr>
                <w:rFonts w:ascii="Calibri" w:eastAsia="Times New Roman" w:hAnsi="Calibri" w:cs="Arial"/>
                <w:b/>
                <w:bCs/>
                <w:color w:val="000000"/>
                <w:sz w:val="18"/>
                <w:szCs w:val="18"/>
              </w:rPr>
            </w:pPr>
            <w:r w:rsidRPr="009B3EEB">
              <w:rPr>
                <w:rFonts w:ascii="Calibri" w:eastAsia="Times New Roman" w:hAnsi="Calibri" w:cs="Arial"/>
                <w:b/>
                <w:bCs/>
                <w:color w:val="000000"/>
                <w:sz w:val="18"/>
                <w:szCs w:val="18"/>
              </w:rPr>
              <w:t>Subtotal</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143</w:t>
            </w:r>
          </w:p>
        </w:tc>
        <w:tc>
          <w:tcPr>
            <w:tcW w:w="348" w:type="pct"/>
            <w:tcBorders>
              <w:top w:val="nil"/>
              <w:left w:val="nil"/>
              <w:bottom w:val="nil"/>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73"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80</w:t>
            </w:r>
          </w:p>
        </w:tc>
        <w:tc>
          <w:tcPr>
            <w:tcW w:w="348"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129</w:t>
            </w:r>
          </w:p>
        </w:tc>
        <w:tc>
          <w:tcPr>
            <w:tcW w:w="348"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20"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17</w:t>
            </w:r>
          </w:p>
        </w:tc>
        <w:tc>
          <w:tcPr>
            <w:tcW w:w="348"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171"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3</w:t>
            </w:r>
          </w:p>
        </w:tc>
        <w:tc>
          <w:tcPr>
            <w:tcW w:w="348"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578"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w:t>
            </w:r>
          </w:p>
        </w:tc>
        <w:tc>
          <w:tcPr>
            <w:tcW w:w="356" w:type="pct"/>
            <w:tcBorders>
              <w:top w:val="nil"/>
              <w:left w:val="nil"/>
              <w:bottom w:val="nil"/>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r>
      <w:tr w:rsidR="003C3AD0" w:rsidRPr="009B3EEB" w:rsidTr="00D43242">
        <w:trPr>
          <w:trHeight w:val="144"/>
        </w:trPr>
        <w:tc>
          <w:tcPr>
            <w:tcW w:w="1114" w:type="pct"/>
            <w:tcBorders>
              <w:top w:val="single" w:sz="4" w:space="0" w:color="auto"/>
              <w:left w:val="single" w:sz="4" w:space="0" w:color="auto"/>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rPr>
                <w:rFonts w:ascii="Calibri" w:eastAsia="Times New Roman" w:hAnsi="Calibri" w:cs="Arial"/>
                <w:b/>
                <w:bCs/>
                <w:sz w:val="18"/>
                <w:szCs w:val="18"/>
              </w:rPr>
            </w:pPr>
            <w:r w:rsidRPr="009B3EEB">
              <w:rPr>
                <w:rFonts w:ascii="Calibri" w:eastAsia="Times New Roman" w:hAnsi="Calibri" w:cs="Arial"/>
                <w:b/>
                <w:bCs/>
                <w:sz w:val="18"/>
                <w:szCs w:val="18"/>
              </w:rPr>
              <w:t>Females</w:t>
            </w:r>
          </w:p>
        </w:tc>
        <w:tc>
          <w:tcPr>
            <w:tcW w:w="273" w:type="pct"/>
            <w:tcBorders>
              <w:top w:val="single" w:sz="4" w:space="0" w:color="auto"/>
              <w:left w:val="single" w:sz="4" w:space="0" w:color="auto"/>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single" w:sz="4" w:space="0" w:color="auto"/>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273" w:type="pct"/>
            <w:tcBorders>
              <w:top w:val="single" w:sz="4" w:space="0" w:color="auto"/>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single" w:sz="4" w:space="0" w:color="auto"/>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273" w:type="pct"/>
            <w:tcBorders>
              <w:top w:val="single" w:sz="4" w:space="0" w:color="auto"/>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single" w:sz="4" w:space="0" w:color="auto"/>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220" w:type="pct"/>
            <w:tcBorders>
              <w:top w:val="single" w:sz="4" w:space="0" w:color="auto"/>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single" w:sz="4" w:space="0" w:color="auto"/>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171" w:type="pct"/>
            <w:tcBorders>
              <w:top w:val="single" w:sz="4" w:space="0" w:color="auto"/>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48" w:type="pct"/>
            <w:tcBorders>
              <w:top w:val="single" w:sz="4" w:space="0" w:color="auto"/>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578" w:type="pct"/>
            <w:tcBorders>
              <w:top w:val="single" w:sz="4" w:space="0" w:color="auto"/>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c>
          <w:tcPr>
            <w:tcW w:w="356" w:type="pct"/>
            <w:tcBorders>
              <w:top w:val="single" w:sz="4" w:space="0" w:color="auto"/>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center"/>
              <w:rPr>
                <w:rFonts w:ascii="Calibri" w:eastAsia="Times New Roman" w:hAnsi="Calibri" w:cs="Arial"/>
                <w:b/>
                <w:bCs/>
                <w:sz w:val="18"/>
                <w:szCs w:val="18"/>
              </w:rPr>
            </w:pPr>
            <w:r w:rsidRPr="009B3EEB">
              <w:rPr>
                <w:rFonts w:ascii="Calibri" w:eastAsia="Times New Roman" w:hAnsi="Calibri" w:cs="Arial"/>
                <w:b/>
                <w:bCs/>
                <w:sz w:val="18"/>
                <w:szCs w:val="18"/>
              </w:rPr>
              <w:t> </w:t>
            </w:r>
          </w:p>
        </w:tc>
      </w:tr>
      <w:tr w:rsidR="003C3AD0" w:rsidRPr="009B3EEB" w:rsidTr="00D43242">
        <w:trPr>
          <w:trHeight w:val="144"/>
        </w:trPr>
        <w:tc>
          <w:tcPr>
            <w:tcW w:w="1114"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ind w:firstLineChars="100" w:firstLine="180"/>
              <w:rPr>
                <w:rFonts w:ascii="Calibri" w:eastAsia="Times New Roman" w:hAnsi="Calibri" w:cs="Arial"/>
                <w:sz w:val="18"/>
                <w:szCs w:val="18"/>
              </w:rPr>
            </w:pPr>
            <w:r w:rsidRPr="009B3EEB">
              <w:rPr>
                <w:rFonts w:ascii="Calibri" w:eastAsia="Times New Roman" w:hAnsi="Calibri" w:cs="Arial"/>
                <w:sz w:val="18"/>
                <w:szCs w:val="18"/>
              </w:rPr>
              <w:t>IDU</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4</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22%</w:t>
            </w:r>
          </w:p>
        </w:tc>
        <w:tc>
          <w:tcPr>
            <w:tcW w:w="273"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273"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13%</w:t>
            </w:r>
          </w:p>
        </w:tc>
        <w:tc>
          <w:tcPr>
            <w:tcW w:w="220"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171"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ind w:firstLineChars="100" w:firstLine="180"/>
              <w:rPr>
                <w:rFonts w:ascii="Calibri" w:eastAsia="Times New Roman" w:hAnsi="Calibri" w:cs="Arial"/>
                <w:sz w:val="18"/>
                <w:szCs w:val="18"/>
              </w:rPr>
            </w:pPr>
            <w:r w:rsidRPr="009B3EEB">
              <w:rPr>
                <w:rFonts w:ascii="Calibri" w:eastAsia="Times New Roman" w:hAnsi="Calibri" w:cs="Arial"/>
                <w:sz w:val="18"/>
                <w:szCs w:val="18"/>
              </w:rPr>
              <w:t>Heterosexual contact</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6</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33%</w:t>
            </w:r>
          </w:p>
        </w:tc>
        <w:tc>
          <w:tcPr>
            <w:tcW w:w="273"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9</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38%</w:t>
            </w:r>
          </w:p>
        </w:tc>
        <w:tc>
          <w:tcPr>
            <w:tcW w:w="273"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38%</w:t>
            </w:r>
          </w:p>
        </w:tc>
        <w:tc>
          <w:tcPr>
            <w:tcW w:w="220"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2</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33%</w:t>
            </w:r>
          </w:p>
        </w:tc>
        <w:tc>
          <w:tcPr>
            <w:tcW w:w="171"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ind w:firstLineChars="100" w:firstLine="180"/>
              <w:rPr>
                <w:rFonts w:ascii="Calibri" w:eastAsia="Times New Roman" w:hAnsi="Calibri" w:cs="Arial"/>
                <w:sz w:val="18"/>
                <w:szCs w:val="18"/>
              </w:rPr>
            </w:pPr>
            <w:r w:rsidRPr="009B3EEB">
              <w:rPr>
                <w:rFonts w:ascii="Calibri" w:eastAsia="Times New Roman" w:hAnsi="Calibri" w:cs="Arial"/>
                <w:sz w:val="18"/>
                <w:szCs w:val="18"/>
              </w:rPr>
              <w:t>Perinatal exposure</w:t>
            </w:r>
          </w:p>
        </w:tc>
        <w:tc>
          <w:tcPr>
            <w:tcW w:w="273"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6%</w:t>
            </w:r>
          </w:p>
        </w:tc>
        <w:tc>
          <w:tcPr>
            <w:tcW w:w="273"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4%</w:t>
            </w:r>
          </w:p>
        </w:tc>
        <w:tc>
          <w:tcPr>
            <w:tcW w:w="273"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220"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171"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nil"/>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ind w:firstLineChars="100" w:firstLine="180"/>
              <w:rPr>
                <w:rFonts w:ascii="Calibri" w:eastAsia="Times New Roman" w:hAnsi="Calibri" w:cs="Arial"/>
                <w:sz w:val="18"/>
                <w:szCs w:val="18"/>
              </w:rPr>
            </w:pPr>
            <w:r w:rsidRPr="009B3EEB">
              <w:rPr>
                <w:rFonts w:ascii="Calibri" w:eastAsia="Times New Roman" w:hAnsi="Calibri" w:cs="Arial"/>
                <w:sz w:val="18"/>
                <w:szCs w:val="18"/>
              </w:rPr>
              <w:t>NIR/NRR</w:t>
            </w:r>
          </w:p>
        </w:tc>
        <w:tc>
          <w:tcPr>
            <w:tcW w:w="273"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7</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39%</w:t>
            </w:r>
          </w:p>
        </w:tc>
        <w:tc>
          <w:tcPr>
            <w:tcW w:w="273"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14</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58%</w:t>
            </w:r>
          </w:p>
        </w:tc>
        <w:tc>
          <w:tcPr>
            <w:tcW w:w="273"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4</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50%</w:t>
            </w:r>
          </w:p>
        </w:tc>
        <w:tc>
          <w:tcPr>
            <w:tcW w:w="220"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4</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67%</w:t>
            </w:r>
          </w:p>
        </w:tc>
        <w:tc>
          <w:tcPr>
            <w:tcW w:w="171" w:type="pct"/>
            <w:tcBorders>
              <w:top w:val="nil"/>
              <w:left w:val="nil"/>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nil"/>
              <w:left w:val="single" w:sz="4" w:space="0" w:color="auto"/>
              <w:bottom w:val="nil"/>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single" w:sz="4" w:space="0" w:color="auto"/>
              <w:left w:val="single" w:sz="4" w:space="0" w:color="auto"/>
              <w:bottom w:val="single" w:sz="4" w:space="0" w:color="auto"/>
              <w:right w:val="nil"/>
            </w:tcBorders>
            <w:shd w:val="clear" w:color="000000" w:fill="FFFFFF"/>
            <w:hideMark/>
          </w:tcPr>
          <w:p w:rsidR="003C3AD0" w:rsidRPr="009B3EEB" w:rsidRDefault="003C3AD0" w:rsidP="00D43242">
            <w:pPr>
              <w:spacing w:before="0" w:after="0" w:line="240" w:lineRule="auto"/>
              <w:ind w:firstLineChars="100" w:firstLine="181"/>
              <w:rPr>
                <w:rFonts w:ascii="Calibri" w:eastAsia="Times New Roman" w:hAnsi="Calibri" w:cs="Arial"/>
                <w:b/>
                <w:bCs/>
                <w:color w:val="000000"/>
                <w:sz w:val="18"/>
                <w:szCs w:val="18"/>
              </w:rPr>
            </w:pPr>
            <w:r w:rsidRPr="009B3EEB">
              <w:rPr>
                <w:rFonts w:ascii="Calibri" w:eastAsia="Times New Roman" w:hAnsi="Calibri" w:cs="Arial"/>
                <w:b/>
                <w:bCs/>
                <w:color w:val="000000"/>
                <w:sz w:val="18"/>
                <w:szCs w:val="18"/>
              </w:rPr>
              <w:t>Subtotal</w:t>
            </w:r>
          </w:p>
        </w:tc>
        <w:tc>
          <w:tcPr>
            <w:tcW w:w="273"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18</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73"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24</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73"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8</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20"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6</w:t>
            </w:r>
          </w:p>
        </w:tc>
        <w:tc>
          <w:tcPr>
            <w:tcW w:w="348"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171" w:type="pct"/>
            <w:tcBorders>
              <w:top w:val="single" w:sz="4" w:space="0" w:color="auto"/>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0</w:t>
            </w:r>
          </w:p>
        </w:tc>
        <w:tc>
          <w:tcPr>
            <w:tcW w:w="348" w:type="pct"/>
            <w:tcBorders>
              <w:top w:val="nil"/>
              <w:left w:val="nil"/>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c>
          <w:tcPr>
            <w:tcW w:w="5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0</w:t>
            </w:r>
          </w:p>
        </w:tc>
        <w:tc>
          <w:tcPr>
            <w:tcW w:w="356" w:type="pct"/>
            <w:tcBorders>
              <w:top w:val="nil"/>
              <w:left w:val="nil"/>
              <w:bottom w:val="single" w:sz="4" w:space="0" w:color="auto"/>
              <w:right w:val="single" w:sz="4" w:space="0" w:color="auto"/>
            </w:tcBorders>
            <w:shd w:val="clear" w:color="000000" w:fill="FFFFFF"/>
            <w:noWrap/>
            <w:vAlign w:val="bottom"/>
            <w:hideMark/>
          </w:tcPr>
          <w:p w:rsidR="003C3AD0" w:rsidRPr="009B3EEB" w:rsidRDefault="003C3AD0" w:rsidP="00D43242">
            <w:pPr>
              <w:spacing w:before="0" w:after="0" w:line="240" w:lineRule="auto"/>
              <w:jc w:val="right"/>
              <w:rPr>
                <w:rFonts w:ascii="Calibri" w:eastAsia="Times New Roman" w:hAnsi="Calibri" w:cs="Arial"/>
                <w:sz w:val="18"/>
                <w:szCs w:val="18"/>
              </w:rPr>
            </w:pPr>
            <w:r w:rsidRPr="009B3EEB">
              <w:rPr>
                <w:rFonts w:ascii="Calibri" w:eastAsia="Times New Roman" w:hAnsi="Calibri" w:cs="Arial"/>
                <w:sz w:val="18"/>
                <w:szCs w:val="18"/>
              </w:rPr>
              <w:t>0%</w:t>
            </w:r>
          </w:p>
        </w:tc>
      </w:tr>
      <w:tr w:rsidR="003C3AD0" w:rsidRPr="009B3EEB" w:rsidTr="00D43242">
        <w:trPr>
          <w:trHeight w:val="144"/>
        </w:trPr>
        <w:tc>
          <w:tcPr>
            <w:tcW w:w="1114" w:type="pct"/>
            <w:tcBorders>
              <w:top w:val="nil"/>
              <w:left w:val="single" w:sz="4" w:space="0" w:color="auto"/>
              <w:bottom w:val="single" w:sz="4" w:space="0" w:color="auto"/>
              <w:right w:val="nil"/>
            </w:tcBorders>
            <w:shd w:val="clear" w:color="000000" w:fill="D9D9D9"/>
            <w:hideMark/>
          </w:tcPr>
          <w:p w:rsidR="003C3AD0" w:rsidRPr="009B3EEB" w:rsidRDefault="003C3AD0" w:rsidP="00D43242">
            <w:pPr>
              <w:spacing w:before="0" w:after="0" w:line="240" w:lineRule="auto"/>
              <w:rPr>
                <w:rFonts w:ascii="Calibri" w:eastAsia="Times New Roman" w:hAnsi="Calibri" w:cs="Arial"/>
                <w:b/>
                <w:bCs/>
                <w:color w:val="000000"/>
                <w:sz w:val="18"/>
                <w:szCs w:val="18"/>
              </w:rPr>
            </w:pPr>
            <w:r w:rsidRPr="009B3EEB">
              <w:rPr>
                <w:rFonts w:ascii="Calibri" w:eastAsia="Times New Roman" w:hAnsi="Calibri" w:cs="Arial"/>
                <w:b/>
                <w:bCs/>
                <w:color w:val="000000"/>
                <w:sz w:val="18"/>
                <w:szCs w:val="18"/>
              </w:rPr>
              <w:t>Total</w:t>
            </w:r>
          </w:p>
        </w:tc>
        <w:tc>
          <w:tcPr>
            <w:tcW w:w="273" w:type="pct"/>
            <w:tcBorders>
              <w:top w:val="nil"/>
              <w:left w:val="single" w:sz="4" w:space="0" w:color="auto"/>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161</w:t>
            </w:r>
          </w:p>
        </w:tc>
        <w:tc>
          <w:tcPr>
            <w:tcW w:w="348" w:type="pct"/>
            <w:tcBorders>
              <w:top w:val="nil"/>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73" w:type="pct"/>
            <w:tcBorders>
              <w:top w:val="nil"/>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104</w:t>
            </w:r>
          </w:p>
        </w:tc>
        <w:tc>
          <w:tcPr>
            <w:tcW w:w="348" w:type="pct"/>
            <w:tcBorders>
              <w:top w:val="nil"/>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73" w:type="pct"/>
            <w:tcBorders>
              <w:top w:val="nil"/>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137</w:t>
            </w:r>
          </w:p>
        </w:tc>
        <w:tc>
          <w:tcPr>
            <w:tcW w:w="348" w:type="pct"/>
            <w:tcBorders>
              <w:top w:val="nil"/>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220" w:type="pct"/>
            <w:tcBorders>
              <w:top w:val="nil"/>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23</w:t>
            </w:r>
          </w:p>
        </w:tc>
        <w:tc>
          <w:tcPr>
            <w:tcW w:w="348" w:type="pct"/>
            <w:tcBorders>
              <w:top w:val="nil"/>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171" w:type="pct"/>
            <w:tcBorders>
              <w:top w:val="nil"/>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3</w:t>
            </w:r>
          </w:p>
        </w:tc>
        <w:tc>
          <w:tcPr>
            <w:tcW w:w="348" w:type="pct"/>
            <w:tcBorders>
              <w:top w:val="nil"/>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c>
          <w:tcPr>
            <w:tcW w:w="578" w:type="pct"/>
            <w:tcBorders>
              <w:top w:val="nil"/>
              <w:left w:val="nil"/>
              <w:bottom w:val="single" w:sz="4" w:space="0" w:color="auto"/>
              <w:right w:val="nil"/>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w:t>
            </w:r>
          </w:p>
        </w:tc>
        <w:tc>
          <w:tcPr>
            <w:tcW w:w="356" w:type="pct"/>
            <w:tcBorders>
              <w:top w:val="nil"/>
              <w:left w:val="nil"/>
              <w:bottom w:val="single" w:sz="4" w:space="0" w:color="auto"/>
              <w:right w:val="single" w:sz="4" w:space="0" w:color="auto"/>
            </w:tcBorders>
            <w:shd w:val="clear" w:color="000000" w:fill="D9D9D9"/>
            <w:noWrap/>
            <w:vAlign w:val="bottom"/>
            <w:hideMark/>
          </w:tcPr>
          <w:p w:rsidR="003C3AD0" w:rsidRPr="009B3EEB" w:rsidRDefault="003C3AD0" w:rsidP="00D43242">
            <w:pPr>
              <w:spacing w:before="0" w:after="0" w:line="240" w:lineRule="auto"/>
              <w:jc w:val="right"/>
              <w:rPr>
                <w:rFonts w:ascii="Calibri" w:eastAsia="Times New Roman" w:hAnsi="Calibri" w:cs="Arial"/>
                <w:b/>
                <w:bCs/>
                <w:sz w:val="18"/>
                <w:szCs w:val="18"/>
              </w:rPr>
            </w:pPr>
            <w:r w:rsidRPr="009B3EEB">
              <w:rPr>
                <w:rFonts w:ascii="Calibri" w:eastAsia="Times New Roman" w:hAnsi="Calibri" w:cs="Arial"/>
                <w:b/>
                <w:bCs/>
                <w:sz w:val="18"/>
                <w:szCs w:val="18"/>
              </w:rPr>
              <w:t>100%</w:t>
            </w:r>
          </w:p>
        </w:tc>
      </w:tr>
    </w:tbl>
    <w:p w:rsidR="003C3AD0" w:rsidRPr="00F8558B" w:rsidRDefault="003C3AD0" w:rsidP="003E6822">
      <w:pPr>
        <w:widowControl w:val="0"/>
        <w:spacing w:before="120" w:after="0"/>
        <w:rPr>
          <w:i/>
          <w:iCs/>
          <w:color w:val="808080"/>
          <w:sz w:val="16"/>
          <w:szCs w:val="16"/>
        </w:rPr>
      </w:pPr>
      <w:r>
        <w:rPr>
          <w:i/>
          <w:iCs/>
          <w:color w:val="808080"/>
          <w:sz w:val="16"/>
          <w:szCs w:val="16"/>
        </w:rPr>
        <w:t xml:space="preserve">*Data for persons who identified as multi-racial. </w:t>
      </w:r>
    </w:p>
    <w:p w:rsidR="003C3AD0" w:rsidRDefault="003C3AD0" w:rsidP="00E434EF">
      <w:pPr>
        <w:pStyle w:val="Heading5"/>
      </w:pPr>
      <w:r>
        <w:t xml:space="preserve">HIV and </w:t>
      </w:r>
      <w:r w:rsidRPr="00BB44BE">
        <w:t>Injection Drug Users (IDU)</w:t>
      </w:r>
    </w:p>
    <w:p w:rsidR="003C3AD0" w:rsidRDefault="003C3AD0" w:rsidP="00A826FE">
      <w:pPr>
        <w:widowControl w:val="0"/>
        <w:jc w:val="both"/>
        <w:rPr>
          <w:iCs/>
          <w:sz w:val="22"/>
          <w:szCs w:val="22"/>
        </w:rPr>
      </w:pPr>
      <w:r>
        <w:rPr>
          <w:iCs/>
          <w:sz w:val="22"/>
          <w:szCs w:val="22"/>
        </w:rPr>
        <w:t xml:space="preserve">IDU represented 4% of all new HIV diagnoses in 2014 and 8% of persons living with HIV. Six percent of new HIV diagnoses indicated a transmission category of MSM+IDU, while 7% of persons living with HIV had that transmission category in 2014. In 2014, among females with a new HIV diagnosis, 9% reported the transmission category of IDU. In 2014, </w:t>
      </w:r>
      <w:r w:rsidRPr="00B75354">
        <w:rPr>
          <w:iCs/>
          <w:sz w:val="22"/>
          <w:szCs w:val="22"/>
        </w:rPr>
        <w:t>IDU was the transmission category for 16% of females</w:t>
      </w:r>
      <w:r>
        <w:rPr>
          <w:iCs/>
          <w:sz w:val="22"/>
          <w:szCs w:val="22"/>
        </w:rPr>
        <w:t xml:space="preserve"> living with HIV. Among new female HIV diagnoses in 2014, IDU was a transmission risk only for </w:t>
      </w:r>
      <w:r w:rsidR="0024671C">
        <w:rPr>
          <w:iCs/>
          <w:sz w:val="22"/>
          <w:szCs w:val="22"/>
        </w:rPr>
        <w:t>W</w:t>
      </w:r>
      <w:r>
        <w:rPr>
          <w:iCs/>
          <w:sz w:val="22"/>
          <w:szCs w:val="22"/>
        </w:rPr>
        <w:t xml:space="preserve">hite and </w:t>
      </w:r>
      <w:r w:rsidR="0024671C">
        <w:rPr>
          <w:iCs/>
          <w:sz w:val="22"/>
          <w:szCs w:val="22"/>
        </w:rPr>
        <w:t>B</w:t>
      </w:r>
      <w:r>
        <w:rPr>
          <w:iCs/>
          <w:sz w:val="22"/>
          <w:szCs w:val="22"/>
        </w:rPr>
        <w:t xml:space="preserve">lack females (Table 5). </w:t>
      </w:r>
      <w:r w:rsidRPr="00B94E81">
        <w:rPr>
          <w:iCs/>
          <w:sz w:val="22"/>
          <w:szCs w:val="22"/>
        </w:rPr>
        <w:t xml:space="preserve">Among females living with HIV, </w:t>
      </w:r>
      <w:r w:rsidRPr="00B94E81">
        <w:rPr>
          <w:sz w:val="22"/>
          <w:szCs w:val="22"/>
        </w:rPr>
        <w:t>IDU varied across race/ethnicity groups, with the highest percentage among White females (26</w:t>
      </w:r>
      <w:r>
        <w:rPr>
          <w:sz w:val="22"/>
          <w:szCs w:val="22"/>
        </w:rPr>
        <w:t>%) and AI/AN females (22%</w:t>
      </w:r>
      <w:r w:rsidRPr="000B7BF6">
        <w:rPr>
          <w:sz w:val="22"/>
          <w:szCs w:val="22"/>
        </w:rPr>
        <w:t>). IDU was much higher among older age groups of women living with HIV, with the highest proportion</w:t>
      </w:r>
      <w:r>
        <w:rPr>
          <w:sz w:val="22"/>
          <w:szCs w:val="22"/>
        </w:rPr>
        <w:t>s</w:t>
      </w:r>
      <w:r w:rsidRPr="000B7BF6">
        <w:rPr>
          <w:sz w:val="22"/>
          <w:szCs w:val="22"/>
        </w:rPr>
        <w:t xml:space="preserve"> among females 55 to 64 (26%) and 45 to 54 years old (21%).</w:t>
      </w:r>
    </w:p>
    <w:p w:rsidR="003C3AD0" w:rsidRDefault="003C3AD0" w:rsidP="00B94E81">
      <w:pPr>
        <w:widowControl w:val="0"/>
        <w:spacing w:after="0"/>
        <w:jc w:val="both"/>
      </w:pPr>
      <w:r w:rsidRPr="00F11D78">
        <w:rPr>
          <w:iCs/>
          <w:sz w:val="22"/>
          <w:szCs w:val="22"/>
        </w:rPr>
        <w:t>From 2010 to 2014, the percentage of males with a transmission category of (IDU) has decreased from 5% to 3%. Over the past five years, the percentage of newly infected males with a transmission category of MSM+IDU and injection drug use (IDU) has remained relatively stable.</w:t>
      </w:r>
      <w:r>
        <w:rPr>
          <w:iCs/>
          <w:sz w:val="22"/>
          <w:szCs w:val="22"/>
        </w:rPr>
        <w:t xml:space="preserve"> </w:t>
      </w:r>
      <w:r w:rsidRPr="00B75354">
        <w:rPr>
          <w:iCs/>
          <w:sz w:val="22"/>
          <w:szCs w:val="22"/>
        </w:rPr>
        <w:t xml:space="preserve">In 2014, 6% of males living with HIV had a transmission category of IDU, and another 8% of males had a transmission category of combined MSM and IDU. The percentage </w:t>
      </w:r>
      <w:r w:rsidRPr="00B94E81">
        <w:rPr>
          <w:iCs/>
          <w:sz w:val="22"/>
          <w:szCs w:val="22"/>
        </w:rPr>
        <w:t xml:space="preserve">of cases with a transmission category of IDU or combined MSM and IDU has remained relatively stable since 2010. </w:t>
      </w:r>
      <w:r w:rsidRPr="00B94E81">
        <w:rPr>
          <w:sz w:val="22"/>
          <w:szCs w:val="22"/>
        </w:rPr>
        <w:t xml:space="preserve">Blacks and AI/AN had the highest percentage of males </w:t>
      </w:r>
      <w:r>
        <w:rPr>
          <w:sz w:val="22"/>
          <w:szCs w:val="22"/>
        </w:rPr>
        <w:t xml:space="preserve">living with HIV </w:t>
      </w:r>
      <w:r w:rsidRPr="00B94E81">
        <w:rPr>
          <w:sz w:val="22"/>
          <w:szCs w:val="22"/>
        </w:rPr>
        <w:t xml:space="preserve">with a transmission category of IDU (8% and 7% respectively). The percentage of males with a </w:t>
      </w:r>
      <w:r w:rsidRPr="00B94E81">
        <w:rPr>
          <w:sz w:val="22"/>
          <w:szCs w:val="22"/>
        </w:rPr>
        <w:lastRenderedPageBreak/>
        <w:t>transmission category of combined MSM and IDU was highest among multi-racial persons (14%), Whites (10%), and AI/AN (10%).</w:t>
      </w:r>
      <w:r w:rsidRPr="00AC20FB">
        <w:t xml:space="preserve"> </w:t>
      </w:r>
    </w:p>
    <w:p w:rsidR="003C3AD0" w:rsidRPr="00B94E81" w:rsidRDefault="003C3AD0" w:rsidP="00B94E81">
      <w:pPr>
        <w:widowControl w:val="0"/>
        <w:spacing w:after="0"/>
        <w:jc w:val="both"/>
        <w:rPr>
          <w:sz w:val="22"/>
          <w:szCs w:val="22"/>
        </w:rPr>
      </w:pPr>
      <w:r w:rsidRPr="00B94E81">
        <w:rPr>
          <w:sz w:val="22"/>
          <w:szCs w:val="22"/>
        </w:rPr>
        <w:t xml:space="preserve">The percentage of </w:t>
      </w:r>
      <w:r w:rsidR="00571507">
        <w:rPr>
          <w:sz w:val="22"/>
          <w:szCs w:val="22"/>
        </w:rPr>
        <w:t xml:space="preserve">newly diagnosed </w:t>
      </w:r>
      <w:r w:rsidRPr="00B94E81">
        <w:rPr>
          <w:sz w:val="22"/>
          <w:szCs w:val="22"/>
        </w:rPr>
        <w:t>males with a transmission category of IDU was highest among males 45 to 54 years old (6%), while the transmission category of combined MSM and IDU was highest among males 25 to 34 years old (9%) and 45 to 54 years old (8%). The percentage of males living with HIV with a transmission category of Injection drug use (IDU) was highest among males 55 to 64 years old (11%), while the percentage of males with a transmission category of combined MSM and IDU was highest among 45 to 54 year olds (9%).</w:t>
      </w:r>
    </w:p>
    <w:p w:rsidR="003C3AD0" w:rsidRPr="00C35A08" w:rsidRDefault="003C3AD0" w:rsidP="00E434EF">
      <w:pPr>
        <w:pStyle w:val="Heading5"/>
      </w:pPr>
      <w:r>
        <w:t>HIV among Transgender Persons</w:t>
      </w:r>
    </w:p>
    <w:p w:rsidR="003C3AD0" w:rsidRPr="00B75354" w:rsidRDefault="003C3AD0" w:rsidP="00B75354">
      <w:pPr>
        <w:widowControl w:val="0"/>
        <w:spacing w:after="0"/>
        <w:jc w:val="both"/>
        <w:rPr>
          <w:iCs/>
          <w:sz w:val="22"/>
          <w:szCs w:val="22"/>
        </w:rPr>
      </w:pPr>
      <w:r w:rsidRPr="00B75354">
        <w:rPr>
          <w:i/>
          <w:iCs/>
          <w:sz w:val="22"/>
          <w:szCs w:val="22"/>
        </w:rPr>
        <w:t xml:space="preserve">Transgender </w:t>
      </w:r>
      <w:r w:rsidRPr="00B75354">
        <w:rPr>
          <w:iCs/>
          <w:sz w:val="22"/>
          <w:szCs w:val="22"/>
        </w:rPr>
        <w:t>is an umbrella term that refers to people whose current gender identity does not conform to their assigned sex at birth. Information on transgender identities is not collected uniformly in national HIV surveillance data, so information on HIV infection in this population is limited. However, data from local health departments and research studies indicate that this population experiences a high morbidity of HIV. Based on data from CDC funded testing programs, in 2009, 2.6% of transgender individuals tested positive for HIV compared to only 0.9% of males and 0.3% of females.</w:t>
      </w:r>
      <w:r>
        <w:rPr>
          <w:rStyle w:val="EndnoteReference"/>
          <w:iCs/>
          <w:sz w:val="22"/>
          <w:szCs w:val="22"/>
        </w:rPr>
        <w:endnoteReference w:id="9"/>
      </w:r>
      <w:r w:rsidRPr="00B75354">
        <w:rPr>
          <w:iCs/>
          <w:sz w:val="22"/>
          <w:szCs w:val="22"/>
        </w:rPr>
        <w:t xml:space="preserve"> In a review of studies on male-to-female (MTF) transgender women, Herbst et al.</w:t>
      </w:r>
      <w:r>
        <w:rPr>
          <w:rStyle w:val="EndnoteReference"/>
          <w:iCs/>
          <w:sz w:val="22"/>
          <w:szCs w:val="22"/>
        </w:rPr>
        <w:endnoteReference w:id="10"/>
      </w:r>
      <w:r w:rsidRPr="00B75354">
        <w:rPr>
          <w:iCs/>
          <w:sz w:val="22"/>
          <w:szCs w:val="22"/>
        </w:rPr>
        <w:t xml:space="preserve"> estimated that 27.7% [95% CI: (24.8% — 30.6%)] of MTFs tested positive for HIV infection. Considering these findings, efforts to understand the impact of HIV on Nevada’s transgender community are timely and important.</w:t>
      </w:r>
    </w:p>
    <w:p w:rsidR="003C3AD0" w:rsidRDefault="003C3AD0" w:rsidP="00B75354">
      <w:pPr>
        <w:widowControl w:val="0"/>
        <w:spacing w:after="0"/>
        <w:jc w:val="both"/>
        <w:rPr>
          <w:iCs/>
          <w:sz w:val="22"/>
          <w:szCs w:val="22"/>
        </w:rPr>
      </w:pPr>
      <w:r w:rsidRPr="00B75354">
        <w:rPr>
          <w:iCs/>
          <w:sz w:val="22"/>
          <w:szCs w:val="22"/>
        </w:rPr>
        <w:t>In accordance with CDC guidelines, Nevada’s HIV counseling/testing and surveillance programs use a two question model to collect data on sex/gender.</w:t>
      </w:r>
      <w:r>
        <w:rPr>
          <w:rStyle w:val="EndnoteReference"/>
          <w:iCs/>
          <w:sz w:val="22"/>
          <w:szCs w:val="22"/>
        </w:rPr>
        <w:endnoteReference w:id="11"/>
      </w:r>
      <w:r w:rsidRPr="00B75354">
        <w:rPr>
          <w:iCs/>
          <w:sz w:val="22"/>
          <w:szCs w:val="22"/>
        </w:rPr>
        <w:t xml:space="preserve"> One question asks sex at birth and the second asks current gender identity. Data on transgender gender identities has been collected for some time, but not robustly or uniformly. Therefore, in 2012 HIV program staff received additional training on how to more effectively collect information on gender status.  It is important to consider that implementation of these practices is new, and that data presented in this section are most likely an underestimate of HIV morbidity in the transgender population.</w:t>
      </w:r>
    </w:p>
    <w:p w:rsidR="003C3AD0" w:rsidRDefault="003C3AD0" w:rsidP="003C4E74">
      <w:pPr>
        <w:widowControl w:val="0"/>
        <w:spacing w:after="0"/>
        <w:jc w:val="both"/>
        <w:rPr>
          <w:iCs/>
          <w:sz w:val="22"/>
          <w:szCs w:val="22"/>
        </w:rPr>
      </w:pPr>
      <w:r w:rsidRPr="00AD4850">
        <w:rPr>
          <w:noProof/>
        </w:rPr>
        <w:drawing>
          <wp:anchor distT="0" distB="0" distL="114300" distR="114300" simplePos="0" relativeHeight="251759616" behindDoc="0" locked="0" layoutInCell="1" allowOverlap="1" wp14:anchorId="0DF94848" wp14:editId="2F56B777">
            <wp:simplePos x="0" y="0"/>
            <wp:positionH relativeFrom="column">
              <wp:posOffset>-222637</wp:posOffset>
            </wp:positionH>
            <wp:positionV relativeFrom="paragraph">
              <wp:posOffset>62893</wp:posOffset>
            </wp:positionV>
            <wp:extent cx="3466465" cy="2667000"/>
            <wp:effectExtent l="0" t="0" r="635"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C4E74">
        <w:rPr>
          <w:iCs/>
          <w:sz w:val="22"/>
          <w:szCs w:val="22"/>
        </w:rPr>
        <w:t xml:space="preserve">Due to the small number of transgender persons newly diagnosed with HIV, only limited data can be provided on new HIV diagnoses in this population. From 2010 to 2014, of the 1,988 persons newly diagnosed with HIV in Nevada, 36 identified as transgender. The number of transgender persons newly diagnosed with HIV has increased over the past five years, suggesting that gender ascertainment practices are improving and more complete information on gender will be available in the future (Figure </w:t>
      </w:r>
      <w:r w:rsidR="004B752A">
        <w:rPr>
          <w:iCs/>
          <w:sz w:val="22"/>
          <w:szCs w:val="22"/>
        </w:rPr>
        <w:t>10</w:t>
      </w:r>
      <w:r w:rsidRPr="003C4E74">
        <w:rPr>
          <w:iCs/>
          <w:sz w:val="22"/>
          <w:szCs w:val="22"/>
        </w:rPr>
        <w:t>).</w:t>
      </w:r>
    </w:p>
    <w:p w:rsidR="003C3AD0" w:rsidRDefault="003C3AD0" w:rsidP="003C4E74">
      <w:pPr>
        <w:widowControl w:val="0"/>
        <w:spacing w:after="0"/>
        <w:jc w:val="both"/>
        <w:rPr>
          <w:iCs/>
          <w:sz w:val="22"/>
          <w:szCs w:val="22"/>
        </w:rPr>
      </w:pPr>
      <w:r w:rsidRPr="003C4E74">
        <w:rPr>
          <w:sz w:val="22"/>
          <w:szCs w:val="22"/>
        </w:rPr>
        <w:lastRenderedPageBreak/>
        <w:t xml:space="preserve">Out of the 9,733 </w:t>
      </w:r>
      <w:r w:rsidR="0024671C">
        <w:rPr>
          <w:sz w:val="22"/>
          <w:szCs w:val="22"/>
        </w:rPr>
        <w:t>PLWH</w:t>
      </w:r>
      <w:r w:rsidRPr="003C4E74">
        <w:rPr>
          <w:sz w:val="22"/>
          <w:szCs w:val="22"/>
        </w:rPr>
        <w:t xml:space="preserve"> in Nevada at the end of 2014, 127 identified as transgender</w:t>
      </w:r>
      <w:r>
        <w:rPr>
          <w:sz w:val="22"/>
          <w:szCs w:val="22"/>
        </w:rPr>
        <w:t xml:space="preserve"> (Table 6)</w:t>
      </w:r>
      <w:r w:rsidRPr="003C4E74">
        <w:rPr>
          <w:sz w:val="22"/>
          <w:szCs w:val="22"/>
        </w:rPr>
        <w:t xml:space="preserve">, accounting for 1.3% of all </w:t>
      </w:r>
      <w:r w:rsidR="0024671C">
        <w:rPr>
          <w:sz w:val="22"/>
          <w:szCs w:val="22"/>
        </w:rPr>
        <w:t xml:space="preserve">PLWH </w:t>
      </w:r>
      <w:r w:rsidRPr="003C4E74">
        <w:rPr>
          <w:sz w:val="22"/>
          <w:szCs w:val="22"/>
        </w:rPr>
        <w:t>in Nevada (not shown in table).  The majority of transgender persons living with HIV in Nevada identified as MTF (58%) and were diag</w:t>
      </w:r>
      <w:r>
        <w:rPr>
          <w:sz w:val="22"/>
          <w:szCs w:val="22"/>
        </w:rPr>
        <w:t>nosed with HIV in Nevada</w:t>
      </w:r>
      <w:r w:rsidRPr="003C4E74">
        <w:rPr>
          <w:sz w:val="22"/>
          <w:szCs w:val="22"/>
        </w:rPr>
        <w:t xml:space="preserve">. </w:t>
      </w:r>
      <w:r w:rsidRPr="003C4E74">
        <w:rPr>
          <w:iCs/>
          <w:sz w:val="22"/>
          <w:szCs w:val="22"/>
        </w:rPr>
        <w:t xml:space="preserve">Over one third (39%) of transgender persons living with HIV in Nevada were Black, with the next highest percentage identifying as White (24%) followed by Hispanic (22%). The greatest proportions of transgender </w:t>
      </w:r>
      <w:r w:rsidR="0024671C">
        <w:rPr>
          <w:iCs/>
          <w:sz w:val="22"/>
          <w:szCs w:val="22"/>
        </w:rPr>
        <w:t>PLWH</w:t>
      </w:r>
      <w:r w:rsidRPr="003C4E74">
        <w:rPr>
          <w:iCs/>
          <w:sz w:val="22"/>
          <w:szCs w:val="22"/>
        </w:rPr>
        <w:t xml:space="preserve"> were between 35 and 54 years of age (70%) at the end of 2014 for both MTF and </w:t>
      </w:r>
      <w:r w:rsidR="0024671C">
        <w:rPr>
          <w:iCs/>
          <w:sz w:val="22"/>
          <w:szCs w:val="22"/>
        </w:rPr>
        <w:t>Female-to-Male (</w:t>
      </w:r>
      <w:r w:rsidRPr="003C4E74">
        <w:rPr>
          <w:iCs/>
          <w:sz w:val="22"/>
          <w:szCs w:val="22"/>
        </w:rPr>
        <w:t>FTM</w:t>
      </w:r>
      <w:r w:rsidR="0024671C">
        <w:rPr>
          <w:iCs/>
          <w:sz w:val="22"/>
          <w:szCs w:val="22"/>
        </w:rPr>
        <w:t>)</w:t>
      </w:r>
      <w:r w:rsidRPr="003C4E74">
        <w:rPr>
          <w:iCs/>
          <w:sz w:val="22"/>
          <w:szCs w:val="22"/>
        </w:rPr>
        <w:t xml:space="preserve"> individuals. Sexual contact was the most common transmission category for both MTF and FTM persons living with HIV in 2014 (87% and 67% respectively). The second most common mode of transmission for MTF persons was combined sexual contact + IDU (9%), while the second most common transmission mode for FTM persons was IDU (13%).</w:t>
      </w:r>
    </w:p>
    <w:p w:rsidR="003C3AD0" w:rsidRPr="003C4E74" w:rsidRDefault="003C3AD0" w:rsidP="00A826FE">
      <w:pPr>
        <w:spacing w:after="0"/>
        <w:rPr>
          <w:b/>
          <w:sz w:val="22"/>
          <w:szCs w:val="22"/>
        </w:rPr>
      </w:pPr>
      <w:bookmarkStart w:id="27" w:name="_Toc454344429"/>
      <w:bookmarkStart w:id="28" w:name="_Toc456157035"/>
      <w:bookmarkStart w:id="29" w:name="_Toc456247489"/>
      <w:r w:rsidRPr="003C4E74">
        <w:rPr>
          <w:b/>
          <w:sz w:val="22"/>
          <w:szCs w:val="22"/>
        </w:rPr>
        <w:t>Table 6. Transgender Persons Living with HIV in Nevada, 2010-2014</w:t>
      </w:r>
      <w:bookmarkEnd w:id="27"/>
      <w:bookmarkEnd w:id="28"/>
      <w:bookmarkEnd w:id="29"/>
    </w:p>
    <w:tbl>
      <w:tblPr>
        <w:tblW w:w="5005" w:type="pct"/>
        <w:tblInd w:w="-5" w:type="dxa"/>
        <w:tblLook w:val="04A0" w:firstRow="1" w:lastRow="0" w:firstColumn="1" w:lastColumn="0" w:noHBand="0" w:noVBand="1"/>
      </w:tblPr>
      <w:tblGrid>
        <w:gridCol w:w="3140"/>
        <w:gridCol w:w="854"/>
        <w:gridCol w:w="1219"/>
        <w:gridCol w:w="685"/>
        <w:gridCol w:w="1387"/>
        <w:gridCol w:w="685"/>
        <w:gridCol w:w="1389"/>
      </w:tblGrid>
      <w:tr w:rsidR="003C3AD0" w:rsidRPr="00951F63" w:rsidTr="003C4E74">
        <w:trPr>
          <w:trHeight w:val="350"/>
        </w:trPr>
        <w:tc>
          <w:tcPr>
            <w:tcW w:w="1678" w:type="pct"/>
            <w:tcBorders>
              <w:top w:val="single" w:sz="4" w:space="0" w:color="auto"/>
              <w:left w:val="single" w:sz="4" w:space="0" w:color="auto"/>
              <w:bottom w:val="nil"/>
              <w:right w:val="single" w:sz="4" w:space="0" w:color="auto"/>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color w:val="FFFFFF"/>
              </w:rPr>
            </w:pPr>
            <w:r w:rsidRPr="00951F63">
              <w:rPr>
                <w:rFonts w:ascii="Calibri" w:eastAsia="Times New Roman" w:hAnsi="Calibri" w:cs="Arial"/>
                <w:color w:val="FFFFFF"/>
              </w:rPr>
              <w:t> </w:t>
            </w:r>
          </w:p>
        </w:tc>
        <w:tc>
          <w:tcPr>
            <w:tcW w:w="1107" w:type="pct"/>
            <w:gridSpan w:val="2"/>
            <w:tcBorders>
              <w:top w:val="single" w:sz="4" w:space="0" w:color="auto"/>
              <w:left w:val="nil"/>
              <w:bottom w:val="nil"/>
              <w:right w:val="single" w:sz="4" w:space="0" w:color="000000"/>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Total</w:t>
            </w:r>
          </w:p>
        </w:tc>
        <w:tc>
          <w:tcPr>
            <w:tcW w:w="1107" w:type="pct"/>
            <w:gridSpan w:val="2"/>
            <w:tcBorders>
              <w:top w:val="single" w:sz="4" w:space="0" w:color="auto"/>
              <w:left w:val="nil"/>
              <w:bottom w:val="nil"/>
              <w:right w:val="single" w:sz="4" w:space="0" w:color="000000"/>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Male to Female (MTF)</w:t>
            </w:r>
          </w:p>
        </w:tc>
        <w:tc>
          <w:tcPr>
            <w:tcW w:w="1108" w:type="pct"/>
            <w:gridSpan w:val="2"/>
            <w:tcBorders>
              <w:top w:val="single" w:sz="4" w:space="0" w:color="auto"/>
              <w:left w:val="nil"/>
              <w:bottom w:val="nil"/>
              <w:right w:val="single" w:sz="4" w:space="0" w:color="000000"/>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Female to Male (FTM)</w:t>
            </w:r>
          </w:p>
        </w:tc>
      </w:tr>
      <w:tr w:rsidR="003C3AD0" w:rsidRPr="00951F63" w:rsidTr="003C4E74">
        <w:trPr>
          <w:trHeight w:val="250"/>
        </w:trPr>
        <w:tc>
          <w:tcPr>
            <w:tcW w:w="1678" w:type="pct"/>
            <w:tcBorders>
              <w:top w:val="nil"/>
              <w:left w:val="single" w:sz="4" w:space="0" w:color="auto"/>
              <w:bottom w:val="single" w:sz="4" w:space="0" w:color="auto"/>
              <w:right w:val="single" w:sz="4" w:space="0" w:color="auto"/>
            </w:tcBorders>
            <w:shd w:val="clear" w:color="000000" w:fill="4F81BD"/>
            <w:vAlign w:val="center"/>
            <w:hideMark/>
          </w:tcPr>
          <w:p w:rsidR="003C3AD0" w:rsidRPr="00951F63" w:rsidRDefault="003C3AD0" w:rsidP="003C4E74">
            <w:pPr>
              <w:spacing w:before="0" w:after="0" w:line="240" w:lineRule="auto"/>
              <w:jc w:val="center"/>
              <w:rPr>
                <w:rFonts w:ascii="Calibri" w:eastAsia="Times New Roman" w:hAnsi="Calibri" w:cs="Arial"/>
                <w:color w:val="FFFFFF"/>
              </w:rPr>
            </w:pPr>
            <w:r w:rsidRPr="00951F63">
              <w:rPr>
                <w:rFonts w:ascii="Calibri" w:eastAsia="Times New Roman" w:hAnsi="Calibri" w:cs="Arial"/>
                <w:color w:val="FFFFFF"/>
              </w:rPr>
              <w:t> </w:t>
            </w:r>
          </w:p>
        </w:tc>
        <w:tc>
          <w:tcPr>
            <w:tcW w:w="456" w:type="pct"/>
            <w:tcBorders>
              <w:top w:val="nil"/>
              <w:left w:val="nil"/>
              <w:bottom w:val="single" w:sz="4" w:space="0" w:color="auto"/>
              <w:right w:val="nil"/>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N</w:t>
            </w:r>
          </w:p>
        </w:tc>
        <w:tc>
          <w:tcPr>
            <w:tcW w:w="651" w:type="pct"/>
            <w:tcBorders>
              <w:top w:val="nil"/>
              <w:left w:val="nil"/>
              <w:bottom w:val="single" w:sz="4" w:space="0" w:color="auto"/>
              <w:right w:val="single" w:sz="4" w:space="0" w:color="auto"/>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w:t>
            </w:r>
          </w:p>
        </w:tc>
        <w:tc>
          <w:tcPr>
            <w:tcW w:w="366" w:type="pct"/>
            <w:tcBorders>
              <w:top w:val="nil"/>
              <w:left w:val="nil"/>
              <w:bottom w:val="single" w:sz="4" w:space="0" w:color="auto"/>
              <w:right w:val="nil"/>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n</w:t>
            </w:r>
          </w:p>
        </w:tc>
        <w:tc>
          <w:tcPr>
            <w:tcW w:w="741" w:type="pct"/>
            <w:tcBorders>
              <w:top w:val="nil"/>
              <w:left w:val="nil"/>
              <w:bottom w:val="single" w:sz="4" w:space="0" w:color="auto"/>
              <w:right w:val="single" w:sz="4" w:space="0" w:color="auto"/>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w:t>
            </w:r>
          </w:p>
        </w:tc>
        <w:tc>
          <w:tcPr>
            <w:tcW w:w="366" w:type="pct"/>
            <w:tcBorders>
              <w:top w:val="nil"/>
              <w:left w:val="nil"/>
              <w:bottom w:val="single" w:sz="4" w:space="0" w:color="auto"/>
              <w:right w:val="nil"/>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n</w:t>
            </w:r>
          </w:p>
        </w:tc>
        <w:tc>
          <w:tcPr>
            <w:tcW w:w="742" w:type="pct"/>
            <w:tcBorders>
              <w:top w:val="nil"/>
              <w:left w:val="nil"/>
              <w:bottom w:val="single" w:sz="4" w:space="0" w:color="auto"/>
              <w:right w:val="single" w:sz="4" w:space="0" w:color="auto"/>
            </w:tcBorders>
            <w:shd w:val="clear" w:color="000000" w:fill="4F81BD"/>
            <w:noWrap/>
            <w:vAlign w:val="center"/>
            <w:hideMark/>
          </w:tcPr>
          <w:p w:rsidR="003C3AD0" w:rsidRPr="00951F63" w:rsidRDefault="003C3AD0" w:rsidP="003C4E74">
            <w:pPr>
              <w:spacing w:before="0" w:after="0" w:line="240" w:lineRule="auto"/>
              <w:jc w:val="center"/>
              <w:rPr>
                <w:rFonts w:ascii="Calibri" w:eastAsia="Times New Roman" w:hAnsi="Calibri" w:cs="Arial"/>
                <w:b/>
                <w:bCs/>
                <w:color w:val="FFFFFF"/>
              </w:rPr>
            </w:pPr>
            <w:r w:rsidRPr="00951F63">
              <w:rPr>
                <w:rFonts w:ascii="Calibri" w:eastAsia="Times New Roman" w:hAnsi="Calibri" w:cs="Arial"/>
                <w:b/>
                <w:bCs/>
                <w:color w:val="FFFFFF"/>
              </w:rPr>
              <w:t>%</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D9D9D9"/>
            <w:noWrap/>
            <w:vAlign w:val="bottom"/>
            <w:hideMark/>
          </w:tcPr>
          <w:p w:rsidR="003C3AD0" w:rsidRPr="00951F63" w:rsidRDefault="003C3AD0" w:rsidP="003C4E74">
            <w:pPr>
              <w:spacing w:before="0" w:after="0" w:line="240" w:lineRule="auto"/>
              <w:rPr>
                <w:rFonts w:ascii="Calibri" w:eastAsia="Times New Roman" w:hAnsi="Calibri" w:cs="Arial"/>
                <w:b/>
                <w:bCs/>
              </w:rPr>
            </w:pPr>
            <w:r w:rsidRPr="00951F63">
              <w:rPr>
                <w:rFonts w:ascii="Calibri" w:eastAsia="Times New Roman" w:hAnsi="Calibri" w:cs="Arial"/>
                <w:b/>
                <w:bCs/>
              </w:rPr>
              <w:t>Residence at Diagnosis</w:t>
            </w:r>
          </w:p>
        </w:tc>
        <w:tc>
          <w:tcPr>
            <w:tcW w:w="456" w:type="pct"/>
            <w:tcBorders>
              <w:top w:val="nil"/>
              <w:left w:val="single" w:sz="4" w:space="0" w:color="auto"/>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center"/>
              <w:rPr>
                <w:rFonts w:ascii="Calibri" w:eastAsia="Times New Roman" w:hAnsi="Calibri" w:cs="Arial"/>
                <w:b/>
                <w:bCs/>
              </w:rPr>
            </w:pPr>
            <w:r w:rsidRPr="00951F63">
              <w:rPr>
                <w:rFonts w:ascii="Calibri" w:eastAsia="Times New Roman" w:hAnsi="Calibri" w:cs="Arial"/>
                <w:b/>
                <w:bCs/>
              </w:rPr>
              <w:t> </w:t>
            </w:r>
          </w:p>
        </w:tc>
        <w:tc>
          <w:tcPr>
            <w:tcW w:w="651" w:type="pct"/>
            <w:tcBorders>
              <w:top w:val="nil"/>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center"/>
              <w:rPr>
                <w:rFonts w:ascii="Calibri" w:eastAsia="Times New Roman" w:hAnsi="Calibri" w:cs="Arial"/>
                <w:b/>
                <w:bCs/>
              </w:rPr>
            </w:pPr>
            <w:r w:rsidRPr="00951F63">
              <w:rPr>
                <w:rFonts w:ascii="Calibri" w:eastAsia="Times New Roman" w:hAnsi="Calibri" w:cs="Arial"/>
                <w:b/>
                <w:bCs/>
              </w:rPr>
              <w:t> </w:t>
            </w:r>
          </w:p>
        </w:tc>
        <w:tc>
          <w:tcPr>
            <w:tcW w:w="366" w:type="pct"/>
            <w:tcBorders>
              <w:top w:val="nil"/>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center"/>
              <w:rPr>
                <w:rFonts w:ascii="Calibri" w:eastAsia="Times New Roman" w:hAnsi="Calibri" w:cs="Arial"/>
                <w:b/>
                <w:bCs/>
              </w:rPr>
            </w:pPr>
            <w:r w:rsidRPr="00951F63">
              <w:rPr>
                <w:rFonts w:ascii="Calibri" w:eastAsia="Times New Roman" w:hAnsi="Calibri" w:cs="Arial"/>
                <w:b/>
                <w:bCs/>
              </w:rPr>
              <w:t> </w:t>
            </w:r>
          </w:p>
        </w:tc>
        <w:tc>
          <w:tcPr>
            <w:tcW w:w="741" w:type="pct"/>
            <w:tcBorders>
              <w:top w:val="nil"/>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center"/>
              <w:rPr>
                <w:rFonts w:ascii="Calibri" w:eastAsia="Times New Roman" w:hAnsi="Calibri" w:cs="Arial"/>
                <w:b/>
                <w:bCs/>
              </w:rPr>
            </w:pPr>
            <w:r w:rsidRPr="00951F63">
              <w:rPr>
                <w:rFonts w:ascii="Calibri" w:eastAsia="Times New Roman" w:hAnsi="Calibri" w:cs="Arial"/>
                <w:b/>
                <w:bCs/>
              </w:rPr>
              <w:t> </w:t>
            </w:r>
          </w:p>
        </w:tc>
        <w:tc>
          <w:tcPr>
            <w:tcW w:w="366" w:type="pct"/>
            <w:tcBorders>
              <w:top w:val="nil"/>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center"/>
              <w:rPr>
                <w:rFonts w:ascii="Calibri" w:eastAsia="Times New Roman" w:hAnsi="Calibri" w:cs="Arial"/>
                <w:b/>
                <w:bCs/>
              </w:rPr>
            </w:pPr>
            <w:r w:rsidRPr="00951F63">
              <w:rPr>
                <w:rFonts w:ascii="Calibri" w:eastAsia="Times New Roman" w:hAnsi="Calibri" w:cs="Arial"/>
                <w:b/>
                <w:bCs/>
              </w:rPr>
              <w:t> </w:t>
            </w:r>
          </w:p>
        </w:tc>
        <w:tc>
          <w:tcPr>
            <w:tcW w:w="742" w:type="pct"/>
            <w:tcBorders>
              <w:top w:val="nil"/>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center"/>
              <w:rPr>
                <w:rFonts w:ascii="Calibri" w:eastAsia="Times New Roman" w:hAnsi="Calibri" w:cs="Arial"/>
                <w:b/>
                <w:bCs/>
              </w:rPr>
            </w:pPr>
            <w:r w:rsidRPr="00951F63">
              <w:rPr>
                <w:rFonts w:ascii="Calibri" w:eastAsia="Times New Roman" w:hAnsi="Calibri" w:cs="Arial"/>
                <w:b/>
                <w:bCs/>
              </w:rPr>
              <w:t> </w:t>
            </w:r>
          </w:p>
        </w:tc>
      </w:tr>
      <w:tr w:rsidR="003C3AD0" w:rsidRPr="00951F63" w:rsidTr="003C4E74">
        <w:trPr>
          <w:trHeight w:val="250"/>
        </w:trPr>
        <w:tc>
          <w:tcPr>
            <w:tcW w:w="1678" w:type="pct"/>
            <w:tcBorders>
              <w:top w:val="nil"/>
              <w:left w:val="single" w:sz="4" w:space="0" w:color="auto"/>
              <w:bottom w:val="nil"/>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Nevada</w:t>
            </w:r>
          </w:p>
        </w:tc>
        <w:tc>
          <w:tcPr>
            <w:tcW w:w="456" w:type="pct"/>
            <w:tcBorders>
              <w:top w:val="nil"/>
              <w:left w:val="single" w:sz="4" w:space="0" w:color="auto"/>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80</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63%</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56</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58%</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24</w:t>
            </w:r>
          </w:p>
        </w:tc>
        <w:tc>
          <w:tcPr>
            <w:tcW w:w="742"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80%</w:t>
            </w:r>
          </w:p>
        </w:tc>
      </w:tr>
      <w:tr w:rsidR="003C3AD0" w:rsidRPr="00951F63" w:rsidTr="003C4E74">
        <w:trPr>
          <w:trHeight w:val="250"/>
        </w:trPr>
        <w:tc>
          <w:tcPr>
            <w:tcW w:w="16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Out of State</w:t>
            </w:r>
          </w:p>
        </w:tc>
        <w:tc>
          <w:tcPr>
            <w:tcW w:w="456"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47</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37%</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41</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42%</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6</w:t>
            </w:r>
          </w:p>
        </w:tc>
        <w:tc>
          <w:tcPr>
            <w:tcW w:w="742"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20%</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D9D9D9"/>
            <w:noWrap/>
            <w:vAlign w:val="bottom"/>
            <w:hideMark/>
          </w:tcPr>
          <w:p w:rsidR="003C3AD0" w:rsidRPr="00951F63" w:rsidRDefault="003C3AD0" w:rsidP="003C4E74">
            <w:pPr>
              <w:spacing w:before="0" w:after="0" w:line="240" w:lineRule="auto"/>
              <w:rPr>
                <w:rFonts w:ascii="Calibri" w:eastAsia="Times New Roman" w:hAnsi="Calibri" w:cs="Arial"/>
                <w:b/>
                <w:bCs/>
              </w:rPr>
            </w:pPr>
            <w:r w:rsidRPr="00951F63">
              <w:rPr>
                <w:rFonts w:ascii="Calibri" w:eastAsia="Times New Roman" w:hAnsi="Calibri" w:cs="Arial"/>
                <w:b/>
                <w:bCs/>
              </w:rPr>
              <w:t>Race/Ethnicity</w:t>
            </w:r>
          </w:p>
        </w:tc>
        <w:tc>
          <w:tcPr>
            <w:tcW w:w="456" w:type="pct"/>
            <w:tcBorders>
              <w:top w:val="nil"/>
              <w:left w:val="single" w:sz="4" w:space="0" w:color="auto"/>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651" w:type="pct"/>
            <w:tcBorders>
              <w:top w:val="nil"/>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366" w:type="pct"/>
            <w:tcBorders>
              <w:top w:val="nil"/>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741" w:type="pct"/>
            <w:tcBorders>
              <w:top w:val="nil"/>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366" w:type="pct"/>
            <w:tcBorders>
              <w:top w:val="nil"/>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742" w:type="pct"/>
            <w:tcBorders>
              <w:top w:val="nil"/>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r>
      <w:tr w:rsidR="003C3AD0" w:rsidRPr="00951F63" w:rsidTr="003C4E74">
        <w:trPr>
          <w:trHeight w:val="250"/>
        </w:trPr>
        <w:tc>
          <w:tcPr>
            <w:tcW w:w="1678" w:type="pct"/>
            <w:tcBorders>
              <w:top w:val="nil"/>
              <w:left w:val="single" w:sz="4" w:space="0" w:color="auto"/>
              <w:bottom w:val="nil"/>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White, non-Hispanic</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30</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24%</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23</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24%</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7</w:t>
            </w:r>
          </w:p>
        </w:tc>
        <w:tc>
          <w:tcPr>
            <w:tcW w:w="742"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23%</w:t>
            </w:r>
          </w:p>
        </w:tc>
      </w:tr>
      <w:tr w:rsidR="003C3AD0" w:rsidRPr="00951F63" w:rsidTr="003C4E74">
        <w:trPr>
          <w:trHeight w:val="250"/>
        </w:trPr>
        <w:tc>
          <w:tcPr>
            <w:tcW w:w="16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Black, non-Hispanic</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50</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39%</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36</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37%</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14</w:t>
            </w:r>
          </w:p>
        </w:tc>
        <w:tc>
          <w:tcPr>
            <w:tcW w:w="742"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47%</w:t>
            </w:r>
          </w:p>
        </w:tc>
      </w:tr>
      <w:tr w:rsidR="003C3AD0" w:rsidRPr="00951F63" w:rsidTr="003C4E74">
        <w:trPr>
          <w:trHeight w:val="250"/>
        </w:trPr>
        <w:tc>
          <w:tcPr>
            <w:tcW w:w="1678" w:type="pct"/>
            <w:tcBorders>
              <w:top w:val="nil"/>
              <w:left w:val="single" w:sz="4" w:space="0" w:color="auto"/>
              <w:bottom w:val="nil"/>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Hispanic</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28</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22%</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20</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21%</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742"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27%</w:t>
            </w:r>
          </w:p>
        </w:tc>
      </w:tr>
      <w:tr w:rsidR="003C3AD0" w:rsidRPr="00951F63" w:rsidTr="003C4E74">
        <w:trPr>
          <w:trHeight w:val="250"/>
        </w:trPr>
        <w:tc>
          <w:tcPr>
            <w:tcW w:w="16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Asian/Hawaiian/Pacific Islander</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9</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7%</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w:t>
            </w:r>
          </w:p>
        </w:tc>
        <w:tc>
          <w:tcPr>
            <w:tcW w:w="742"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American Indian/Alaska Native</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65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74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742"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r>
      <w:tr w:rsidR="003C3AD0" w:rsidRPr="00951F63" w:rsidTr="003C4E74">
        <w:trPr>
          <w:trHeight w:val="250"/>
        </w:trPr>
        <w:tc>
          <w:tcPr>
            <w:tcW w:w="1678" w:type="pct"/>
            <w:tcBorders>
              <w:top w:val="nil"/>
              <w:left w:val="single" w:sz="4" w:space="0" w:color="auto"/>
              <w:bottom w:val="nil"/>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Multi-race/Other</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6%</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742"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r>
      <w:tr w:rsidR="003C3AD0" w:rsidRPr="00951F63" w:rsidTr="003C4E74">
        <w:trPr>
          <w:trHeight w:val="250"/>
        </w:trPr>
        <w:tc>
          <w:tcPr>
            <w:tcW w:w="1678" w:type="pct"/>
            <w:tcBorders>
              <w:top w:val="single" w:sz="4" w:space="0" w:color="auto"/>
              <w:left w:val="single" w:sz="4" w:space="0" w:color="auto"/>
              <w:bottom w:val="single" w:sz="4" w:space="0" w:color="auto"/>
              <w:right w:val="nil"/>
            </w:tcBorders>
            <w:shd w:val="clear" w:color="000000" w:fill="D9D9D9"/>
            <w:noWrap/>
            <w:vAlign w:val="bottom"/>
            <w:hideMark/>
          </w:tcPr>
          <w:p w:rsidR="003C3AD0" w:rsidRPr="00951F63" w:rsidRDefault="003C3AD0" w:rsidP="003C4E74">
            <w:pPr>
              <w:spacing w:before="0" w:after="0" w:line="240" w:lineRule="auto"/>
              <w:rPr>
                <w:rFonts w:ascii="Calibri" w:eastAsia="Times New Roman" w:hAnsi="Calibri" w:cs="Arial"/>
                <w:b/>
                <w:bCs/>
              </w:rPr>
            </w:pPr>
            <w:r w:rsidRPr="00951F63">
              <w:rPr>
                <w:rFonts w:ascii="Calibri" w:eastAsia="Times New Roman" w:hAnsi="Calibri" w:cs="Arial"/>
                <w:b/>
                <w:bCs/>
              </w:rPr>
              <w:t>Age at End of Calendar Year 2013</w:t>
            </w:r>
          </w:p>
        </w:tc>
        <w:tc>
          <w:tcPr>
            <w:tcW w:w="456" w:type="pct"/>
            <w:tcBorders>
              <w:top w:val="nil"/>
              <w:left w:val="single" w:sz="4" w:space="0" w:color="auto"/>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651" w:type="pct"/>
            <w:tcBorders>
              <w:top w:val="single" w:sz="4" w:space="0" w:color="auto"/>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366" w:type="pct"/>
            <w:tcBorders>
              <w:top w:val="single" w:sz="4" w:space="0" w:color="auto"/>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741" w:type="pct"/>
            <w:tcBorders>
              <w:top w:val="single" w:sz="4" w:space="0" w:color="auto"/>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366" w:type="pct"/>
            <w:tcBorders>
              <w:top w:val="single" w:sz="4" w:space="0" w:color="auto"/>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c>
          <w:tcPr>
            <w:tcW w:w="742" w:type="pct"/>
            <w:tcBorders>
              <w:top w:val="single" w:sz="4" w:space="0" w:color="auto"/>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 </w:t>
            </w:r>
          </w:p>
        </w:tc>
      </w:tr>
      <w:tr w:rsidR="003C3AD0" w:rsidRPr="00951F63" w:rsidTr="003C4E74">
        <w:trPr>
          <w:trHeight w:val="250"/>
        </w:trPr>
        <w:tc>
          <w:tcPr>
            <w:tcW w:w="1678" w:type="pct"/>
            <w:tcBorders>
              <w:top w:val="nil"/>
              <w:left w:val="single" w:sz="4" w:space="0" w:color="auto"/>
              <w:bottom w:val="nil"/>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&lt; 13</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742"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r>
      <w:tr w:rsidR="003C3AD0" w:rsidRPr="00951F63" w:rsidTr="003C4E74">
        <w:trPr>
          <w:trHeight w:val="250"/>
        </w:trPr>
        <w:tc>
          <w:tcPr>
            <w:tcW w:w="16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13 to 24</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6%</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c>
          <w:tcPr>
            <w:tcW w:w="742"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0%</w:t>
            </w:r>
          </w:p>
        </w:tc>
      </w:tr>
      <w:tr w:rsidR="003C3AD0" w:rsidRPr="00951F63" w:rsidTr="003C4E74">
        <w:trPr>
          <w:trHeight w:val="250"/>
        </w:trPr>
        <w:tc>
          <w:tcPr>
            <w:tcW w:w="1678" w:type="pct"/>
            <w:tcBorders>
              <w:top w:val="nil"/>
              <w:left w:val="single" w:sz="4" w:space="0" w:color="auto"/>
              <w:bottom w:val="nil"/>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25 to 34</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31</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24%</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27</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28%</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4</w:t>
            </w:r>
          </w:p>
        </w:tc>
        <w:tc>
          <w:tcPr>
            <w:tcW w:w="742"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13%</w:t>
            </w:r>
          </w:p>
        </w:tc>
      </w:tr>
      <w:tr w:rsidR="003C3AD0" w:rsidRPr="00951F63" w:rsidTr="003C4E74">
        <w:trPr>
          <w:trHeight w:val="250"/>
        </w:trPr>
        <w:tc>
          <w:tcPr>
            <w:tcW w:w="1678" w:type="pct"/>
            <w:tcBorders>
              <w:top w:val="single" w:sz="4" w:space="0" w:color="auto"/>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35 to 44</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36</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28%</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26</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27%</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10</w:t>
            </w:r>
          </w:p>
        </w:tc>
        <w:tc>
          <w:tcPr>
            <w:tcW w:w="742"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33%</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45 to 54</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37</w:t>
            </w:r>
          </w:p>
        </w:tc>
        <w:tc>
          <w:tcPr>
            <w:tcW w:w="65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29%</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26</w:t>
            </w:r>
          </w:p>
        </w:tc>
        <w:tc>
          <w:tcPr>
            <w:tcW w:w="74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27%</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11</w:t>
            </w:r>
          </w:p>
        </w:tc>
        <w:tc>
          <w:tcPr>
            <w:tcW w:w="742"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37%</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55 to 64</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11</w:t>
            </w:r>
          </w:p>
        </w:tc>
        <w:tc>
          <w:tcPr>
            <w:tcW w:w="65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9%</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74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w:t>
            </w:r>
          </w:p>
        </w:tc>
        <w:tc>
          <w:tcPr>
            <w:tcW w:w="742"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10%</w:t>
            </w:r>
          </w:p>
        </w:tc>
      </w:tr>
      <w:tr w:rsidR="003C3AD0" w:rsidRPr="00951F63" w:rsidTr="003C4E74">
        <w:trPr>
          <w:trHeight w:val="250"/>
        </w:trPr>
        <w:tc>
          <w:tcPr>
            <w:tcW w:w="1678" w:type="pct"/>
            <w:tcBorders>
              <w:top w:val="nil"/>
              <w:left w:val="single" w:sz="4" w:space="0" w:color="auto"/>
              <w:bottom w:val="nil"/>
              <w:right w:val="nil"/>
            </w:tcBorders>
            <w:shd w:val="clear" w:color="000000" w:fill="FFFFFF"/>
            <w:noWrap/>
            <w:vAlign w:val="bottom"/>
            <w:hideMark/>
          </w:tcPr>
          <w:p w:rsidR="003C3AD0" w:rsidRPr="00951F63" w:rsidRDefault="003C3AD0" w:rsidP="003C4E74">
            <w:pPr>
              <w:spacing w:before="0" w:after="0" w:line="240" w:lineRule="auto"/>
              <w:rPr>
                <w:rFonts w:ascii="Calibri" w:eastAsia="Times New Roman" w:hAnsi="Calibri" w:cs="Arial"/>
                <w:color w:val="000000"/>
              </w:rPr>
            </w:pPr>
            <w:r w:rsidRPr="00951F63">
              <w:rPr>
                <w:rFonts w:ascii="Calibri" w:eastAsia="Times New Roman" w:hAnsi="Calibri" w:cs="Arial"/>
                <w:color w:val="000000"/>
              </w:rPr>
              <w:t>65 +</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4</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3%</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742"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7%</w:t>
            </w:r>
          </w:p>
        </w:tc>
      </w:tr>
      <w:tr w:rsidR="003C3AD0" w:rsidRPr="00951F63" w:rsidTr="003C4E74">
        <w:trPr>
          <w:trHeight w:val="250"/>
        </w:trPr>
        <w:tc>
          <w:tcPr>
            <w:tcW w:w="1678" w:type="pct"/>
            <w:tcBorders>
              <w:top w:val="single" w:sz="4" w:space="0" w:color="auto"/>
              <w:left w:val="single" w:sz="4" w:space="0" w:color="auto"/>
              <w:bottom w:val="single" w:sz="4" w:space="0" w:color="auto"/>
              <w:right w:val="nil"/>
            </w:tcBorders>
            <w:shd w:val="clear" w:color="000000" w:fill="D9D9D9"/>
            <w:hideMark/>
          </w:tcPr>
          <w:p w:rsidR="003C3AD0" w:rsidRPr="00951F63" w:rsidRDefault="003C3AD0" w:rsidP="003C4E74">
            <w:pPr>
              <w:spacing w:before="0" w:after="0" w:line="240" w:lineRule="auto"/>
              <w:rPr>
                <w:rFonts w:ascii="Calibri" w:eastAsia="Times New Roman" w:hAnsi="Calibri" w:cs="Arial"/>
                <w:b/>
                <w:bCs/>
              </w:rPr>
            </w:pPr>
            <w:r w:rsidRPr="00951F63">
              <w:rPr>
                <w:rFonts w:ascii="Calibri" w:eastAsia="Times New Roman" w:hAnsi="Calibri" w:cs="Arial"/>
                <w:b/>
                <w:bCs/>
              </w:rPr>
              <w:t>Transmission Category</w:t>
            </w:r>
          </w:p>
        </w:tc>
        <w:tc>
          <w:tcPr>
            <w:tcW w:w="456" w:type="pct"/>
            <w:tcBorders>
              <w:top w:val="nil"/>
              <w:left w:val="single" w:sz="4" w:space="0" w:color="auto"/>
              <w:bottom w:val="nil"/>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 </w:t>
            </w:r>
          </w:p>
        </w:tc>
        <w:tc>
          <w:tcPr>
            <w:tcW w:w="651" w:type="pct"/>
            <w:tcBorders>
              <w:top w:val="single" w:sz="4" w:space="0" w:color="auto"/>
              <w:left w:val="nil"/>
              <w:bottom w:val="nil"/>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 </w:t>
            </w:r>
          </w:p>
        </w:tc>
        <w:tc>
          <w:tcPr>
            <w:tcW w:w="366" w:type="pct"/>
            <w:tcBorders>
              <w:top w:val="single" w:sz="4" w:space="0" w:color="auto"/>
              <w:left w:val="nil"/>
              <w:bottom w:val="nil"/>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 </w:t>
            </w:r>
          </w:p>
        </w:tc>
        <w:tc>
          <w:tcPr>
            <w:tcW w:w="741" w:type="pct"/>
            <w:tcBorders>
              <w:top w:val="single" w:sz="4" w:space="0" w:color="auto"/>
              <w:left w:val="nil"/>
              <w:bottom w:val="nil"/>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 </w:t>
            </w:r>
          </w:p>
        </w:tc>
        <w:tc>
          <w:tcPr>
            <w:tcW w:w="366" w:type="pct"/>
            <w:tcBorders>
              <w:top w:val="single" w:sz="4" w:space="0" w:color="auto"/>
              <w:left w:val="nil"/>
              <w:bottom w:val="nil"/>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 </w:t>
            </w:r>
          </w:p>
        </w:tc>
        <w:tc>
          <w:tcPr>
            <w:tcW w:w="742" w:type="pct"/>
            <w:tcBorders>
              <w:top w:val="single" w:sz="4" w:space="0" w:color="auto"/>
              <w:left w:val="nil"/>
              <w:bottom w:val="nil"/>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 </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FFFFFF"/>
            <w:hideMark/>
          </w:tcPr>
          <w:p w:rsidR="003C3AD0" w:rsidRPr="00951F63" w:rsidRDefault="003C3AD0" w:rsidP="003C4E74">
            <w:pPr>
              <w:spacing w:before="0" w:after="0" w:line="240" w:lineRule="auto"/>
              <w:rPr>
                <w:rFonts w:ascii="Calibri" w:eastAsia="Times New Roman" w:hAnsi="Calibri" w:cs="Arial"/>
              </w:rPr>
            </w:pPr>
            <w:r w:rsidRPr="00951F63">
              <w:rPr>
                <w:rFonts w:ascii="Calibri" w:eastAsia="Times New Roman" w:hAnsi="Calibri" w:cs="Arial"/>
              </w:rPr>
              <w:t>Sexual Contact*</w:t>
            </w:r>
          </w:p>
        </w:tc>
        <w:tc>
          <w:tcPr>
            <w:tcW w:w="456"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104</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82%</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84</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87%</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20</w:t>
            </w:r>
          </w:p>
        </w:tc>
        <w:tc>
          <w:tcPr>
            <w:tcW w:w="742"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67%</w:t>
            </w:r>
          </w:p>
        </w:tc>
      </w:tr>
      <w:tr w:rsidR="003C3AD0" w:rsidRPr="00951F63" w:rsidTr="003C4E74">
        <w:trPr>
          <w:trHeight w:val="250"/>
        </w:trPr>
        <w:tc>
          <w:tcPr>
            <w:tcW w:w="1678" w:type="pct"/>
            <w:tcBorders>
              <w:top w:val="nil"/>
              <w:left w:val="single" w:sz="4" w:space="0" w:color="auto"/>
              <w:bottom w:val="single" w:sz="4" w:space="0" w:color="auto"/>
              <w:right w:val="single" w:sz="4" w:space="0" w:color="auto"/>
            </w:tcBorders>
            <w:shd w:val="clear" w:color="000000" w:fill="FFFFFF"/>
            <w:hideMark/>
          </w:tcPr>
          <w:p w:rsidR="003C3AD0" w:rsidRPr="00951F63" w:rsidRDefault="003C3AD0" w:rsidP="003C4E74">
            <w:pPr>
              <w:spacing w:before="0" w:after="0" w:line="240" w:lineRule="auto"/>
              <w:rPr>
                <w:rFonts w:ascii="Calibri" w:eastAsia="Times New Roman" w:hAnsi="Calibri" w:cs="Arial"/>
              </w:rPr>
            </w:pPr>
            <w:r w:rsidRPr="00951F63">
              <w:rPr>
                <w:rFonts w:ascii="Calibri" w:eastAsia="Times New Roman" w:hAnsi="Calibri" w:cs="Arial"/>
              </w:rPr>
              <w:t>IDU</w:t>
            </w:r>
          </w:p>
        </w:tc>
        <w:tc>
          <w:tcPr>
            <w:tcW w:w="45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4</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3%</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0</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0%</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4</w:t>
            </w:r>
          </w:p>
        </w:tc>
        <w:tc>
          <w:tcPr>
            <w:tcW w:w="742"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13%</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FFFFFF"/>
            <w:hideMark/>
          </w:tcPr>
          <w:p w:rsidR="003C3AD0" w:rsidRPr="00951F63" w:rsidRDefault="003C3AD0" w:rsidP="003C4E74">
            <w:pPr>
              <w:spacing w:before="0" w:after="0" w:line="240" w:lineRule="auto"/>
              <w:rPr>
                <w:rFonts w:ascii="Calibri" w:eastAsia="Times New Roman" w:hAnsi="Calibri" w:cs="Arial"/>
              </w:rPr>
            </w:pPr>
            <w:r w:rsidRPr="00951F63">
              <w:rPr>
                <w:rFonts w:ascii="Calibri" w:eastAsia="Times New Roman" w:hAnsi="Calibri" w:cs="Arial"/>
              </w:rPr>
              <w:t>Sexual Contact</w:t>
            </w:r>
            <w:r>
              <w:rPr>
                <w:rFonts w:ascii="Calibri" w:eastAsia="Times New Roman" w:hAnsi="Calibri" w:cs="Arial"/>
              </w:rPr>
              <w:t xml:space="preserve"> </w:t>
            </w:r>
            <w:r w:rsidRPr="00951F63">
              <w:rPr>
                <w:rFonts w:ascii="Calibri" w:eastAsia="Times New Roman" w:hAnsi="Calibri" w:cs="Arial"/>
              </w:rPr>
              <w:t>+</w:t>
            </w:r>
            <w:r>
              <w:rPr>
                <w:rFonts w:ascii="Calibri" w:eastAsia="Times New Roman" w:hAnsi="Calibri" w:cs="Arial"/>
              </w:rPr>
              <w:t xml:space="preserve"> </w:t>
            </w:r>
            <w:r w:rsidRPr="00951F63">
              <w:rPr>
                <w:rFonts w:ascii="Calibri" w:eastAsia="Times New Roman" w:hAnsi="Calibri" w:cs="Arial"/>
              </w:rPr>
              <w:t>IDU*</w:t>
            </w:r>
          </w:p>
        </w:tc>
        <w:tc>
          <w:tcPr>
            <w:tcW w:w="456" w:type="pct"/>
            <w:tcBorders>
              <w:top w:val="nil"/>
              <w:left w:val="single" w:sz="4" w:space="0" w:color="auto"/>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9</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7%</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9</w:t>
            </w:r>
          </w:p>
        </w:tc>
        <w:tc>
          <w:tcPr>
            <w:tcW w:w="741"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9%</w:t>
            </w:r>
          </w:p>
        </w:tc>
        <w:tc>
          <w:tcPr>
            <w:tcW w:w="366" w:type="pct"/>
            <w:tcBorders>
              <w:top w:val="single" w:sz="4" w:space="0" w:color="auto"/>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0</w:t>
            </w:r>
          </w:p>
        </w:tc>
        <w:tc>
          <w:tcPr>
            <w:tcW w:w="742"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0%</w:t>
            </w:r>
          </w:p>
        </w:tc>
      </w:tr>
      <w:tr w:rsidR="003C3AD0" w:rsidRPr="00951F63" w:rsidTr="003C4E74">
        <w:trPr>
          <w:trHeight w:val="250"/>
        </w:trPr>
        <w:tc>
          <w:tcPr>
            <w:tcW w:w="1678" w:type="pct"/>
            <w:tcBorders>
              <w:top w:val="nil"/>
              <w:left w:val="single" w:sz="4" w:space="0" w:color="auto"/>
              <w:bottom w:val="single" w:sz="4" w:space="0" w:color="auto"/>
              <w:right w:val="single" w:sz="4" w:space="0" w:color="auto"/>
            </w:tcBorders>
            <w:shd w:val="clear" w:color="000000" w:fill="FFFFFF"/>
            <w:hideMark/>
          </w:tcPr>
          <w:p w:rsidR="003C3AD0" w:rsidRPr="00951F63" w:rsidRDefault="003C3AD0" w:rsidP="003C4E74">
            <w:pPr>
              <w:spacing w:before="0" w:after="0" w:line="240" w:lineRule="auto"/>
              <w:rPr>
                <w:rFonts w:ascii="Calibri" w:eastAsia="Times New Roman" w:hAnsi="Calibri" w:cs="Arial"/>
              </w:rPr>
            </w:pPr>
            <w:r w:rsidRPr="00951F63">
              <w:rPr>
                <w:rFonts w:ascii="Calibri" w:eastAsia="Times New Roman" w:hAnsi="Calibri" w:cs="Arial"/>
              </w:rPr>
              <w:t>Perinatal exposure</w:t>
            </w:r>
          </w:p>
        </w:tc>
        <w:tc>
          <w:tcPr>
            <w:tcW w:w="45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2</w:t>
            </w:r>
          </w:p>
        </w:tc>
        <w:tc>
          <w:tcPr>
            <w:tcW w:w="65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2%</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2</w:t>
            </w:r>
          </w:p>
        </w:tc>
        <w:tc>
          <w:tcPr>
            <w:tcW w:w="741"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2%</w:t>
            </w:r>
          </w:p>
        </w:tc>
        <w:tc>
          <w:tcPr>
            <w:tcW w:w="36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0</w:t>
            </w:r>
          </w:p>
        </w:tc>
        <w:tc>
          <w:tcPr>
            <w:tcW w:w="742"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0%</w:t>
            </w:r>
          </w:p>
        </w:tc>
      </w:tr>
      <w:tr w:rsidR="003C3AD0" w:rsidRPr="00951F63" w:rsidTr="003C4E74">
        <w:trPr>
          <w:trHeight w:val="250"/>
        </w:trPr>
        <w:tc>
          <w:tcPr>
            <w:tcW w:w="1678" w:type="pct"/>
            <w:tcBorders>
              <w:top w:val="nil"/>
              <w:left w:val="single" w:sz="4" w:space="0" w:color="auto"/>
              <w:bottom w:val="single" w:sz="4" w:space="0" w:color="auto"/>
              <w:right w:val="single" w:sz="4" w:space="0" w:color="auto"/>
            </w:tcBorders>
            <w:shd w:val="clear" w:color="000000" w:fill="FFFFFF"/>
            <w:hideMark/>
          </w:tcPr>
          <w:p w:rsidR="003C3AD0" w:rsidRPr="00951F63" w:rsidRDefault="003C3AD0" w:rsidP="003C4E74">
            <w:pPr>
              <w:spacing w:before="0" w:after="0" w:line="240" w:lineRule="auto"/>
              <w:rPr>
                <w:rFonts w:ascii="Calibri" w:eastAsia="Times New Roman" w:hAnsi="Calibri" w:cs="Arial"/>
              </w:rPr>
            </w:pPr>
            <w:r w:rsidRPr="00951F63">
              <w:rPr>
                <w:rFonts w:ascii="Calibri" w:eastAsia="Times New Roman" w:hAnsi="Calibri" w:cs="Arial"/>
              </w:rPr>
              <w:t>NIR/NRR</w:t>
            </w:r>
          </w:p>
        </w:tc>
        <w:tc>
          <w:tcPr>
            <w:tcW w:w="456" w:type="pct"/>
            <w:tcBorders>
              <w:top w:val="nil"/>
              <w:left w:val="nil"/>
              <w:bottom w:val="single" w:sz="4" w:space="0" w:color="auto"/>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color w:val="000000"/>
              </w:rPr>
            </w:pPr>
            <w:r w:rsidRPr="00951F63">
              <w:rPr>
                <w:rFonts w:ascii="Calibri" w:eastAsia="Times New Roman" w:hAnsi="Calibri" w:cs="Arial"/>
                <w:color w:val="000000"/>
              </w:rPr>
              <w:t>8</w:t>
            </w:r>
          </w:p>
        </w:tc>
        <w:tc>
          <w:tcPr>
            <w:tcW w:w="65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6%</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2</w:t>
            </w:r>
          </w:p>
        </w:tc>
        <w:tc>
          <w:tcPr>
            <w:tcW w:w="741" w:type="pct"/>
            <w:tcBorders>
              <w:top w:val="nil"/>
              <w:left w:val="nil"/>
              <w:bottom w:val="nil"/>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2%</w:t>
            </w:r>
          </w:p>
        </w:tc>
        <w:tc>
          <w:tcPr>
            <w:tcW w:w="366" w:type="pct"/>
            <w:tcBorders>
              <w:top w:val="nil"/>
              <w:left w:val="nil"/>
              <w:bottom w:val="nil"/>
              <w:right w:val="nil"/>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6</w:t>
            </w:r>
          </w:p>
        </w:tc>
        <w:tc>
          <w:tcPr>
            <w:tcW w:w="742" w:type="pct"/>
            <w:tcBorders>
              <w:top w:val="nil"/>
              <w:left w:val="nil"/>
              <w:bottom w:val="single" w:sz="4" w:space="0" w:color="auto"/>
              <w:right w:val="single" w:sz="4" w:space="0" w:color="auto"/>
            </w:tcBorders>
            <w:shd w:val="clear" w:color="000000" w:fill="FFFFFF"/>
            <w:noWrap/>
            <w:vAlign w:val="center"/>
            <w:hideMark/>
          </w:tcPr>
          <w:p w:rsidR="003C3AD0" w:rsidRPr="00951F63" w:rsidRDefault="003C3AD0" w:rsidP="003C4E74">
            <w:pPr>
              <w:spacing w:before="0" w:after="0" w:line="240" w:lineRule="auto"/>
              <w:jc w:val="right"/>
              <w:rPr>
                <w:rFonts w:ascii="Calibri" w:eastAsia="Times New Roman" w:hAnsi="Calibri" w:cs="Arial"/>
              </w:rPr>
            </w:pPr>
            <w:r w:rsidRPr="00951F63">
              <w:rPr>
                <w:rFonts w:ascii="Calibri" w:eastAsia="Times New Roman" w:hAnsi="Calibri" w:cs="Arial"/>
              </w:rPr>
              <w:t>20%</w:t>
            </w:r>
          </w:p>
        </w:tc>
      </w:tr>
      <w:tr w:rsidR="003C3AD0" w:rsidRPr="00951F63" w:rsidTr="003C4E74">
        <w:trPr>
          <w:trHeight w:val="250"/>
        </w:trPr>
        <w:tc>
          <w:tcPr>
            <w:tcW w:w="1678" w:type="pct"/>
            <w:tcBorders>
              <w:top w:val="nil"/>
              <w:left w:val="single" w:sz="4" w:space="0" w:color="auto"/>
              <w:bottom w:val="single" w:sz="4" w:space="0" w:color="auto"/>
              <w:right w:val="nil"/>
            </w:tcBorders>
            <w:shd w:val="clear" w:color="000000" w:fill="D9D9D9"/>
            <w:noWrap/>
            <w:vAlign w:val="bottom"/>
            <w:hideMark/>
          </w:tcPr>
          <w:p w:rsidR="003C3AD0" w:rsidRPr="00951F63" w:rsidRDefault="003C3AD0" w:rsidP="003C4E74">
            <w:pPr>
              <w:spacing w:before="0" w:after="0" w:line="240" w:lineRule="auto"/>
              <w:rPr>
                <w:rFonts w:ascii="Calibri" w:eastAsia="Times New Roman" w:hAnsi="Calibri" w:cs="Arial"/>
                <w:b/>
                <w:bCs/>
              </w:rPr>
            </w:pPr>
            <w:r w:rsidRPr="00951F63">
              <w:rPr>
                <w:rFonts w:ascii="Calibri" w:eastAsia="Times New Roman" w:hAnsi="Calibri" w:cs="Arial"/>
                <w:b/>
                <w:bCs/>
              </w:rPr>
              <w:t>Total</w:t>
            </w:r>
          </w:p>
        </w:tc>
        <w:tc>
          <w:tcPr>
            <w:tcW w:w="456" w:type="pct"/>
            <w:tcBorders>
              <w:top w:val="nil"/>
              <w:left w:val="single" w:sz="4" w:space="0" w:color="auto"/>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127</w:t>
            </w:r>
          </w:p>
        </w:tc>
        <w:tc>
          <w:tcPr>
            <w:tcW w:w="651" w:type="pct"/>
            <w:tcBorders>
              <w:top w:val="single" w:sz="4" w:space="0" w:color="auto"/>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100%</w:t>
            </w:r>
          </w:p>
        </w:tc>
        <w:tc>
          <w:tcPr>
            <w:tcW w:w="366" w:type="pct"/>
            <w:tcBorders>
              <w:top w:val="single" w:sz="4" w:space="0" w:color="auto"/>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97</w:t>
            </w:r>
          </w:p>
        </w:tc>
        <w:tc>
          <w:tcPr>
            <w:tcW w:w="741" w:type="pct"/>
            <w:tcBorders>
              <w:top w:val="single" w:sz="4" w:space="0" w:color="auto"/>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100%</w:t>
            </w:r>
          </w:p>
        </w:tc>
        <w:tc>
          <w:tcPr>
            <w:tcW w:w="366" w:type="pct"/>
            <w:tcBorders>
              <w:top w:val="single" w:sz="4" w:space="0" w:color="auto"/>
              <w:left w:val="nil"/>
              <w:bottom w:val="single" w:sz="4" w:space="0" w:color="auto"/>
              <w:right w:val="nil"/>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30</w:t>
            </w:r>
          </w:p>
        </w:tc>
        <w:tc>
          <w:tcPr>
            <w:tcW w:w="742" w:type="pct"/>
            <w:tcBorders>
              <w:top w:val="nil"/>
              <w:left w:val="nil"/>
              <w:bottom w:val="single" w:sz="4" w:space="0" w:color="auto"/>
              <w:right w:val="single" w:sz="4" w:space="0" w:color="auto"/>
            </w:tcBorders>
            <w:shd w:val="clear" w:color="000000" w:fill="D9D9D9"/>
            <w:noWrap/>
            <w:vAlign w:val="center"/>
            <w:hideMark/>
          </w:tcPr>
          <w:p w:rsidR="003C3AD0" w:rsidRPr="00951F63" w:rsidRDefault="003C3AD0" w:rsidP="003C4E74">
            <w:pPr>
              <w:spacing w:before="0" w:after="0" w:line="240" w:lineRule="auto"/>
              <w:jc w:val="right"/>
              <w:rPr>
                <w:rFonts w:ascii="Calibri" w:eastAsia="Times New Roman" w:hAnsi="Calibri" w:cs="Arial"/>
                <w:b/>
                <w:bCs/>
              </w:rPr>
            </w:pPr>
            <w:r w:rsidRPr="00951F63">
              <w:rPr>
                <w:rFonts w:ascii="Calibri" w:eastAsia="Times New Roman" w:hAnsi="Calibri" w:cs="Arial"/>
                <w:b/>
                <w:bCs/>
              </w:rPr>
              <w:t>100%</w:t>
            </w:r>
          </w:p>
        </w:tc>
      </w:tr>
      <w:tr w:rsidR="003C3AD0" w:rsidRPr="00951F63" w:rsidTr="003C4E74">
        <w:trPr>
          <w:trHeight w:val="250"/>
        </w:trPr>
        <w:tc>
          <w:tcPr>
            <w:tcW w:w="5000" w:type="pct"/>
            <w:gridSpan w:val="7"/>
            <w:tcBorders>
              <w:top w:val="single" w:sz="4" w:space="0" w:color="auto"/>
              <w:left w:val="nil"/>
              <w:bottom w:val="nil"/>
              <w:right w:val="nil"/>
            </w:tcBorders>
            <w:shd w:val="clear" w:color="000000" w:fill="FFFFFF"/>
            <w:vAlign w:val="bottom"/>
            <w:hideMark/>
          </w:tcPr>
          <w:p w:rsidR="003C3AD0" w:rsidRPr="005A2039" w:rsidRDefault="003C3AD0" w:rsidP="003C4E74">
            <w:pPr>
              <w:spacing w:before="0" w:after="0" w:line="240" w:lineRule="auto"/>
              <w:rPr>
                <w:rFonts w:ascii="Calibri" w:eastAsia="Times New Roman" w:hAnsi="Calibri" w:cs="Arial"/>
                <w:i/>
                <w:iCs/>
                <w:sz w:val="16"/>
                <w:szCs w:val="16"/>
              </w:rPr>
            </w:pPr>
            <w:r w:rsidRPr="005A2039">
              <w:rPr>
                <w:rFonts w:ascii="Calibri" w:eastAsia="Times New Roman" w:hAnsi="Calibri" w:cs="Arial"/>
                <w:i/>
                <w:iCs/>
                <w:sz w:val="16"/>
                <w:szCs w:val="16"/>
              </w:rPr>
              <w:t>*Sexual contact includes any sexual contact and does not differentiate between male to male sexual contact and heterosexual contact.</w:t>
            </w:r>
          </w:p>
        </w:tc>
      </w:tr>
      <w:tr w:rsidR="003C3AD0" w:rsidRPr="00951F63" w:rsidTr="003C4E74">
        <w:trPr>
          <w:trHeight w:val="250"/>
        </w:trPr>
        <w:tc>
          <w:tcPr>
            <w:tcW w:w="5000" w:type="pct"/>
            <w:gridSpan w:val="7"/>
            <w:tcBorders>
              <w:top w:val="nil"/>
              <w:left w:val="nil"/>
              <w:bottom w:val="nil"/>
              <w:right w:val="nil"/>
            </w:tcBorders>
            <w:shd w:val="clear" w:color="000000" w:fill="FFFFFF"/>
            <w:vAlign w:val="bottom"/>
            <w:hideMark/>
          </w:tcPr>
          <w:p w:rsidR="003C3AD0" w:rsidRPr="005A2039" w:rsidRDefault="003C3AD0" w:rsidP="003C4E74">
            <w:pPr>
              <w:spacing w:before="0" w:after="0" w:line="240" w:lineRule="auto"/>
              <w:rPr>
                <w:rFonts w:ascii="Calibri" w:eastAsia="Times New Roman" w:hAnsi="Calibri" w:cs="Arial"/>
                <w:i/>
                <w:iCs/>
                <w:color w:val="000000"/>
                <w:sz w:val="16"/>
                <w:szCs w:val="16"/>
              </w:rPr>
            </w:pPr>
            <w:r w:rsidRPr="005A2039">
              <w:rPr>
                <w:rFonts w:ascii="Calibri" w:eastAsia="Times New Roman" w:hAnsi="Calibri" w:cs="Arial"/>
                <w:i/>
                <w:iCs/>
                <w:color w:val="000000"/>
                <w:sz w:val="16"/>
                <w:szCs w:val="16"/>
              </w:rPr>
              <w:t xml:space="preserve">Source: Nevada State Health Division HIV/AIDS Reporting System (eHARS), (March 2016) </w:t>
            </w:r>
          </w:p>
        </w:tc>
      </w:tr>
    </w:tbl>
    <w:p w:rsidR="003C3AD0" w:rsidRDefault="003C3AD0" w:rsidP="00A826FE"/>
    <w:p w:rsidR="002833CA" w:rsidRDefault="002833CA" w:rsidP="00A826FE"/>
    <w:p w:rsidR="003C3AD0" w:rsidRDefault="003C3AD0" w:rsidP="00A826FE"/>
    <w:p w:rsidR="003C3AD0" w:rsidRDefault="003C3AD0" w:rsidP="00E434EF">
      <w:pPr>
        <w:pStyle w:val="Heading5"/>
      </w:pPr>
      <w:r>
        <w:lastRenderedPageBreak/>
        <w:t>HIV and Race/Ethnicity</w:t>
      </w:r>
    </w:p>
    <w:p w:rsidR="003C3AD0" w:rsidRDefault="0024671C" w:rsidP="00F37169">
      <w:pPr>
        <w:widowControl w:val="0"/>
        <w:jc w:val="both"/>
        <w:rPr>
          <w:sz w:val="22"/>
          <w:szCs w:val="22"/>
        </w:rPr>
      </w:pPr>
      <w:r w:rsidRPr="00AD4850">
        <w:rPr>
          <w:noProof/>
        </w:rPr>
        <w:drawing>
          <wp:anchor distT="0" distB="0" distL="114300" distR="114300" simplePos="0" relativeHeight="251761664" behindDoc="0" locked="0" layoutInCell="1" allowOverlap="1" wp14:anchorId="65F139B4" wp14:editId="723F9EB5">
            <wp:simplePos x="0" y="0"/>
            <wp:positionH relativeFrom="column">
              <wp:posOffset>2305685</wp:posOffset>
            </wp:positionH>
            <wp:positionV relativeFrom="paragraph">
              <wp:posOffset>2988559</wp:posOffset>
            </wp:positionV>
            <wp:extent cx="3858260" cy="3291840"/>
            <wp:effectExtent l="0" t="0" r="0" b="0"/>
            <wp:wrapSquare wrapText="bothSides"/>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D4850">
        <w:rPr>
          <w:noProof/>
        </w:rPr>
        <w:drawing>
          <wp:anchor distT="0" distB="0" distL="114300" distR="114300" simplePos="0" relativeHeight="251760640" behindDoc="0" locked="0" layoutInCell="1" allowOverlap="1" wp14:anchorId="5C2E2860" wp14:editId="71CFC59C">
            <wp:simplePos x="0" y="0"/>
            <wp:positionH relativeFrom="column">
              <wp:posOffset>2305050</wp:posOffset>
            </wp:positionH>
            <wp:positionV relativeFrom="paragraph">
              <wp:posOffset>157066</wp:posOffset>
            </wp:positionV>
            <wp:extent cx="3772535" cy="2739390"/>
            <wp:effectExtent l="0" t="0" r="0" b="3810"/>
            <wp:wrapSquare wrapText="bothSides"/>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C3AD0">
        <w:rPr>
          <w:sz w:val="22"/>
          <w:szCs w:val="22"/>
        </w:rPr>
        <w:t>Large racial/ethnic disparities exist within Nevada, especially among Blacks/African Americans. In 2014, the rate of new HIV diagnoses among Blacks was over 4 times that of Whites (43.6 vs. 10.5 per 100,000 population</w:t>
      </w:r>
      <w:r w:rsidR="004B752A">
        <w:rPr>
          <w:sz w:val="22"/>
          <w:szCs w:val="22"/>
        </w:rPr>
        <w:t>; Figure 11</w:t>
      </w:r>
      <w:r w:rsidR="003C3AD0">
        <w:rPr>
          <w:sz w:val="22"/>
          <w:szCs w:val="22"/>
        </w:rPr>
        <w:t xml:space="preserve">). This disparity is even greater for Black females, whose rate of new HIV diagnoses was 8.4 times higher than that of White females (20.2 vs. 2.4 per 100,000 population).  In addition, the rate of new HIV diagnoses among Black youths (13-24 years) was over 9 times higher than that of White youths (90.7 vs. 9.9 per 100,000 population). </w:t>
      </w:r>
      <w:r w:rsidR="003C3AD0" w:rsidRPr="00F37169">
        <w:rPr>
          <w:iCs/>
          <w:sz w:val="22"/>
          <w:szCs w:val="22"/>
        </w:rPr>
        <w:t xml:space="preserve">From 2010 to 2014, the rate of new HIV diagnoses increased among APIs, while the rate among Blacks and Whites decreased. However, the rate among Blacks dropped suddenly in 2012, which may have been caused by the unexpected disruption in </w:t>
      </w:r>
      <w:r>
        <w:rPr>
          <w:iCs/>
          <w:sz w:val="22"/>
          <w:szCs w:val="22"/>
        </w:rPr>
        <w:t>SNHD</w:t>
      </w:r>
      <w:r w:rsidR="003C3AD0" w:rsidRPr="00F37169">
        <w:rPr>
          <w:iCs/>
          <w:sz w:val="22"/>
          <w:szCs w:val="22"/>
        </w:rPr>
        <w:t xml:space="preserve">’s testing services in 2012. Due to the small number of new diagnoses, the </w:t>
      </w:r>
      <w:r w:rsidR="003C3AD0" w:rsidRPr="00F37169">
        <w:rPr>
          <w:sz w:val="22"/>
          <w:szCs w:val="22"/>
        </w:rPr>
        <w:t>rate among American Indians/ Alaska Natives (AI/AN) has been unstable over the past five years. </w:t>
      </w:r>
    </w:p>
    <w:p w:rsidR="003C3AD0" w:rsidRDefault="003C3AD0" w:rsidP="00F37169">
      <w:pPr>
        <w:widowControl w:val="0"/>
        <w:jc w:val="both"/>
        <w:rPr>
          <w:color w:val="221E1F"/>
          <w:sz w:val="22"/>
          <w:szCs w:val="22"/>
        </w:rPr>
      </w:pPr>
      <w:r w:rsidRPr="00F37169">
        <w:rPr>
          <w:color w:val="221E1F"/>
          <w:sz w:val="22"/>
          <w:szCs w:val="22"/>
        </w:rPr>
        <w:t xml:space="preserve">Among males, the highest rates of new </w:t>
      </w:r>
      <w:r w:rsidRPr="00F37169">
        <w:rPr>
          <w:iCs/>
          <w:sz w:val="22"/>
          <w:szCs w:val="22"/>
        </w:rPr>
        <w:t xml:space="preserve">diagnoses </w:t>
      </w:r>
      <w:r w:rsidRPr="00F37169">
        <w:rPr>
          <w:color w:val="221E1F"/>
          <w:sz w:val="22"/>
          <w:szCs w:val="22"/>
        </w:rPr>
        <w:t xml:space="preserve">were among Blacks (66.5 per 100,000 population) and Hispanics (31.9 per 100,000).  From 2010 to 2014, AI/AN males experienced a large increase in their rate of new </w:t>
      </w:r>
      <w:r w:rsidRPr="00F37169">
        <w:rPr>
          <w:iCs/>
          <w:sz w:val="22"/>
          <w:szCs w:val="22"/>
        </w:rPr>
        <w:t>diagnoses</w:t>
      </w:r>
      <w:r w:rsidRPr="00F37169">
        <w:rPr>
          <w:color w:val="221E1F"/>
          <w:sz w:val="22"/>
          <w:szCs w:val="22"/>
        </w:rPr>
        <w:t>, from 6.4 per 100,000 to 18.5 per 100,000 population</w:t>
      </w:r>
      <w:r>
        <w:rPr>
          <w:color w:val="221E1F"/>
          <w:sz w:val="22"/>
          <w:szCs w:val="22"/>
        </w:rPr>
        <w:t xml:space="preserve"> (Figure 1</w:t>
      </w:r>
      <w:r w:rsidR="004B752A">
        <w:rPr>
          <w:color w:val="221E1F"/>
          <w:sz w:val="22"/>
          <w:szCs w:val="22"/>
        </w:rPr>
        <w:t>2</w:t>
      </w:r>
      <w:r>
        <w:rPr>
          <w:color w:val="221E1F"/>
          <w:sz w:val="22"/>
          <w:szCs w:val="22"/>
        </w:rPr>
        <w:t>)</w:t>
      </w:r>
      <w:r w:rsidRPr="00F37169">
        <w:rPr>
          <w:color w:val="221E1F"/>
          <w:sz w:val="22"/>
          <w:szCs w:val="22"/>
        </w:rPr>
        <w:t xml:space="preserve">. During this same time period, there was a substantial decrease in the rate of new </w:t>
      </w:r>
      <w:r w:rsidRPr="00F37169">
        <w:rPr>
          <w:iCs/>
          <w:sz w:val="22"/>
          <w:szCs w:val="22"/>
        </w:rPr>
        <w:t xml:space="preserve">diagnoses </w:t>
      </w:r>
      <w:r w:rsidRPr="00F37169">
        <w:rPr>
          <w:color w:val="221E1F"/>
          <w:sz w:val="22"/>
          <w:szCs w:val="22"/>
        </w:rPr>
        <w:t xml:space="preserve">among API males, while the rate among Black, Hispanic and White males remained relatively stable. As discussed previously, the rate among Blacks decreased suddenly in 2012, and this decline may be due to disruptions in testing services. </w:t>
      </w:r>
    </w:p>
    <w:p w:rsidR="002833CA" w:rsidRDefault="002833CA" w:rsidP="00F37169">
      <w:pPr>
        <w:widowControl w:val="0"/>
        <w:jc w:val="both"/>
        <w:rPr>
          <w:color w:val="221E1F"/>
          <w:sz w:val="22"/>
          <w:szCs w:val="22"/>
        </w:rPr>
      </w:pPr>
    </w:p>
    <w:p w:rsidR="002833CA" w:rsidRDefault="002833CA" w:rsidP="00F37169">
      <w:pPr>
        <w:widowControl w:val="0"/>
        <w:jc w:val="both"/>
        <w:rPr>
          <w:color w:val="221E1F"/>
          <w:sz w:val="22"/>
          <w:szCs w:val="22"/>
        </w:rPr>
      </w:pPr>
    </w:p>
    <w:p w:rsidR="003C3AD0" w:rsidRDefault="00303AC3" w:rsidP="005D48A0">
      <w:pPr>
        <w:widowControl w:val="0"/>
        <w:jc w:val="both"/>
        <w:rPr>
          <w:color w:val="221E1F"/>
          <w:sz w:val="22"/>
          <w:szCs w:val="22"/>
        </w:rPr>
      </w:pPr>
      <w:r w:rsidRPr="00AD4850">
        <w:rPr>
          <w:noProof/>
        </w:rPr>
        <w:lastRenderedPageBreak/>
        <w:drawing>
          <wp:anchor distT="0" distB="0" distL="114300" distR="114300" simplePos="0" relativeHeight="251762688" behindDoc="0" locked="0" layoutInCell="1" allowOverlap="1" wp14:anchorId="576477B7" wp14:editId="445179D4">
            <wp:simplePos x="0" y="0"/>
            <wp:positionH relativeFrom="column">
              <wp:posOffset>-47625</wp:posOffset>
            </wp:positionH>
            <wp:positionV relativeFrom="paragraph">
              <wp:posOffset>990600</wp:posOffset>
            </wp:positionV>
            <wp:extent cx="3702050" cy="2971800"/>
            <wp:effectExtent l="0" t="0" r="0" b="0"/>
            <wp:wrapSquare wrapText="bothSides"/>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833CA" w:rsidRPr="002833CA">
        <w:rPr>
          <w:noProof/>
          <w:color w:val="221E1F"/>
          <w:sz w:val="22"/>
          <w:szCs w:val="22"/>
        </w:rPr>
        <mc:AlternateContent>
          <mc:Choice Requires="wps">
            <w:drawing>
              <wp:anchor distT="91440" distB="91440" distL="114300" distR="114300" simplePos="0" relativeHeight="251776000" behindDoc="1" locked="0" layoutInCell="1" allowOverlap="1" wp14:anchorId="04BB90DD" wp14:editId="2AB10F68">
                <wp:simplePos x="0" y="0"/>
                <wp:positionH relativeFrom="page">
                  <wp:posOffset>946205</wp:posOffset>
                </wp:positionH>
                <wp:positionV relativeFrom="paragraph">
                  <wp:posOffset>122997</wp:posOffset>
                </wp:positionV>
                <wp:extent cx="5946775" cy="818515"/>
                <wp:effectExtent l="0" t="0" r="0" b="635"/>
                <wp:wrapTight wrapText="bothSides">
                  <wp:wrapPolygon edited="0">
                    <wp:start x="208" y="0"/>
                    <wp:lineTo x="208" y="21114"/>
                    <wp:lineTo x="21381" y="21114"/>
                    <wp:lineTo x="21381" y="0"/>
                    <wp:lineTo x="208"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818515"/>
                        </a:xfrm>
                        <a:prstGeom prst="rect">
                          <a:avLst/>
                        </a:prstGeom>
                        <a:noFill/>
                        <a:ln w="9525">
                          <a:noFill/>
                          <a:miter lim="800000"/>
                          <a:headEnd/>
                          <a:tailEnd/>
                        </a:ln>
                      </wps:spPr>
                      <wps:txbx>
                        <w:txbxContent>
                          <w:p w:rsidR="002E77F2" w:rsidRDefault="002E77F2" w:rsidP="002833CA">
                            <w:pPr>
                              <w:pBdr>
                                <w:top w:val="single" w:sz="24" w:space="8" w:color="4F81BD" w:themeColor="accent1"/>
                                <w:bottom w:val="single" w:sz="24" w:space="8" w:color="4F81BD" w:themeColor="accent1"/>
                              </w:pBdr>
                              <w:spacing w:before="0" w:after="0"/>
                              <w:rPr>
                                <w:i/>
                                <w:iCs/>
                                <w:color w:val="4F81BD" w:themeColor="accent1"/>
                                <w:sz w:val="24"/>
                              </w:rPr>
                            </w:pPr>
                            <w:r>
                              <w:rPr>
                                <w:i/>
                                <w:iCs/>
                                <w:color w:val="4F81BD" w:themeColor="accent1"/>
                                <w:sz w:val="24"/>
                                <w:szCs w:val="24"/>
                              </w:rPr>
                              <w:t xml:space="preserve">The rate of new </w:t>
                            </w:r>
                            <w:r w:rsidRPr="002833CA">
                              <w:rPr>
                                <w:i/>
                                <w:iCs/>
                                <w:color w:val="4F81BD" w:themeColor="accent1"/>
                                <w:sz w:val="24"/>
                                <w:szCs w:val="24"/>
                              </w:rPr>
                              <w:t xml:space="preserve">diagnoses among Blacks was 4 times higher than among Whites. Among females, the rate of new diagnoses is </w:t>
                            </w:r>
                            <w:r w:rsidRPr="002833CA">
                              <w:rPr>
                                <w:i/>
                                <w:color w:val="4F81BD" w:themeColor="accent1"/>
                                <w:sz w:val="24"/>
                                <w:szCs w:val="24"/>
                              </w:rPr>
                              <w:t>8.4 times higher for Black females than White females</w:t>
                            </w:r>
                            <w:r>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BB90DD" id="_x0000_s1030" type="#_x0000_t202" style="position:absolute;left:0;text-align:left;margin-left:74.5pt;margin-top:9.7pt;width:468.25pt;height:64.45pt;z-index:-251540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CDgIAAPoDAAAOAAAAZHJzL2Uyb0RvYy54bWysU9uO2yAQfa/Uf0C8N74o3iRWnNV2t1tV&#10;2m4r7fYDCMYxKjAUSOz06zvgJI3at6o8IIZhzsw5M6xvR63IQTgvwTS0mOWUCMOhlWbX0G+vj++W&#10;lPjATMsUGNHQo/D0dvP2zXqwtSihB9UKRxDE+HqwDe1DsHWWed4LzfwMrDDo7MBpFtB0u6x1bEB0&#10;rbIyz2+yAVxrHXDhPd4+TE66SfhdJ3j40nVeBKIairWFtLu0b+Oebdas3jlme8lPZbB/qEIzaTDp&#10;BeqBBUb2Tv4FpSV34KELMw46g66TXCQOyKbI/2Dz0jMrEhcUx9uLTP7/wfLnw1dHZNvQsqTEMI09&#10;ehVjIO9hJGWUZ7C+xlcvFt+FEa+xzYmqt0/Av3ti4L5nZifunIOhF6zF8ooYmV2FTjg+gmyHz9Bi&#10;GrYPkIDGzumoHapBEB3bdLy0JpbC8bJazW8Wi4oSjr5lsayKKqVg9TnaOh8+CtAkHhrqsPUJnR2e&#10;fIjVsPr8JCYz8CiVSu1XhgwNXVVllQKuPFoGnE4lNebM45rmJZL8YNoUHJhU0xkTKHNiHYlOlMO4&#10;HZO+87OYW2iPKIODaRjx8+ChB/eTkgEHsaH+x545QYn6ZFDKVTGfx8lNxrxalGi4a8/22sMMR6iG&#10;Bkqm431I0z5RvkPJO5nUiL2ZKjmVjAOWRDp9hjjB13Z69fvLbn4BAAD//wMAUEsDBBQABgAIAAAA&#10;IQB4mYlS3QAAAAsBAAAPAAAAZHJzL2Rvd25yZXYueG1sTI/BTsMwEETvSPyDtUjcqA0kKAlxKgTi&#10;CqJApd7ceJtExOsodpvw92xO9LajGc2+Kdez68UJx9B50nC7UiCQam87ajR8fb7eZCBCNGRN7wk1&#10;/GKAdXV5UZrC+ok+8LSJjeASCoXR0MY4FFKGukVnwsoPSOwd/OhMZDk20o5m4nLXyzulHqQzHfGH&#10;1gz43GL9szk6Dd9vh902Ue/Ni0uHyc9Kksul1tdX89MjiIhz/A/Dgs/oUDHT3h/JBtGzTnLeEvnI&#10;ExBLQGVpCmK/WNk9yKqU5xuqPwAAAP//AwBQSwECLQAUAAYACAAAACEAtoM4kv4AAADhAQAAEwAA&#10;AAAAAAAAAAAAAAAAAAAAW0NvbnRlbnRfVHlwZXNdLnhtbFBLAQItABQABgAIAAAAIQA4/SH/1gAA&#10;AJQBAAALAAAAAAAAAAAAAAAAAC8BAABfcmVscy8ucmVsc1BLAQItABQABgAIAAAAIQBJRJ/CDgIA&#10;APoDAAAOAAAAAAAAAAAAAAAAAC4CAABkcnMvZTJvRG9jLnhtbFBLAQItABQABgAIAAAAIQB4mYlS&#10;3QAAAAsBAAAPAAAAAAAAAAAAAAAAAGgEAABkcnMvZG93bnJldi54bWxQSwUGAAAAAAQABADzAAAA&#10;cgUAAAAA&#10;" filled="f" stroked="f">
                <v:textbox>
                  <w:txbxContent>
                    <w:p w:rsidR="002E77F2" w:rsidRDefault="002E77F2" w:rsidP="002833CA">
                      <w:pPr>
                        <w:pBdr>
                          <w:top w:val="single" w:sz="24" w:space="8" w:color="4F81BD" w:themeColor="accent1"/>
                          <w:bottom w:val="single" w:sz="24" w:space="8" w:color="4F81BD" w:themeColor="accent1"/>
                        </w:pBdr>
                        <w:spacing w:before="0" w:after="0"/>
                        <w:rPr>
                          <w:i/>
                          <w:iCs/>
                          <w:color w:val="4F81BD" w:themeColor="accent1"/>
                          <w:sz w:val="24"/>
                        </w:rPr>
                      </w:pPr>
                      <w:r>
                        <w:rPr>
                          <w:i/>
                          <w:iCs/>
                          <w:color w:val="4F81BD" w:themeColor="accent1"/>
                          <w:sz w:val="24"/>
                          <w:szCs w:val="24"/>
                        </w:rPr>
                        <w:t xml:space="preserve">The rate of new </w:t>
                      </w:r>
                      <w:r w:rsidRPr="002833CA">
                        <w:rPr>
                          <w:i/>
                          <w:iCs/>
                          <w:color w:val="4F81BD" w:themeColor="accent1"/>
                          <w:sz w:val="24"/>
                          <w:szCs w:val="24"/>
                        </w:rPr>
                        <w:t xml:space="preserve">diagnoses among Blacks was 4 times higher than among Whites. Among females, the rate of new diagnoses is </w:t>
                      </w:r>
                      <w:r w:rsidRPr="002833CA">
                        <w:rPr>
                          <w:i/>
                          <w:color w:val="4F81BD" w:themeColor="accent1"/>
                          <w:sz w:val="24"/>
                          <w:szCs w:val="24"/>
                        </w:rPr>
                        <w:t>8.4 times higher for Black females than White females</w:t>
                      </w:r>
                      <w:r>
                        <w:rPr>
                          <w:sz w:val="22"/>
                          <w:szCs w:val="22"/>
                        </w:rPr>
                        <w:t>.</w:t>
                      </w:r>
                    </w:p>
                  </w:txbxContent>
                </v:textbox>
                <w10:wrap type="tight" anchorx="page"/>
              </v:shape>
            </w:pict>
          </mc:Fallback>
        </mc:AlternateContent>
      </w:r>
      <w:r w:rsidR="003C3AD0" w:rsidRPr="00F37169">
        <w:rPr>
          <w:color w:val="221E1F"/>
          <w:sz w:val="22"/>
          <w:szCs w:val="22"/>
        </w:rPr>
        <w:t xml:space="preserve">For all race/ethnicity groups, the rate of new </w:t>
      </w:r>
      <w:r w:rsidR="003C3AD0" w:rsidRPr="00F37169">
        <w:rPr>
          <w:iCs/>
          <w:sz w:val="22"/>
          <w:szCs w:val="22"/>
        </w:rPr>
        <w:t xml:space="preserve">diagnoses </w:t>
      </w:r>
      <w:r w:rsidR="003C3AD0" w:rsidRPr="00F37169">
        <w:rPr>
          <w:color w:val="221E1F"/>
          <w:sz w:val="22"/>
          <w:szCs w:val="22"/>
        </w:rPr>
        <w:t xml:space="preserve">among females has been much lower than that of males. However, the rate of new </w:t>
      </w:r>
      <w:r w:rsidR="003C3AD0" w:rsidRPr="00F37169">
        <w:rPr>
          <w:iCs/>
          <w:sz w:val="22"/>
          <w:szCs w:val="22"/>
        </w:rPr>
        <w:t xml:space="preserve">diagnoses </w:t>
      </w:r>
      <w:r w:rsidR="003C3AD0" w:rsidRPr="00F37169">
        <w:rPr>
          <w:color w:val="221E1F"/>
          <w:sz w:val="22"/>
          <w:szCs w:val="22"/>
        </w:rPr>
        <w:t>among Black females is alarmingly high. In 2014, the rate among Black females (31.1 per 100,000 population) was 13 times higher than that of White females (2.4 per 100,000 population</w:t>
      </w:r>
      <w:r w:rsidR="003C3AD0">
        <w:rPr>
          <w:color w:val="221E1F"/>
          <w:sz w:val="22"/>
          <w:szCs w:val="22"/>
        </w:rPr>
        <w:t>; Figure 1</w:t>
      </w:r>
      <w:r w:rsidR="004B752A">
        <w:rPr>
          <w:color w:val="221E1F"/>
          <w:sz w:val="22"/>
          <w:szCs w:val="22"/>
        </w:rPr>
        <w:t>3</w:t>
      </w:r>
      <w:r w:rsidR="003C3AD0" w:rsidRPr="00F37169">
        <w:rPr>
          <w:color w:val="221E1F"/>
          <w:sz w:val="22"/>
          <w:szCs w:val="22"/>
        </w:rPr>
        <w:t>). The rate among Black women decreased greatly in 2012, and has remained fairly stable since. During this same time period</w:t>
      </w:r>
      <w:r w:rsidR="003C3AD0" w:rsidRPr="004B752A">
        <w:rPr>
          <w:color w:val="221E1F"/>
          <w:sz w:val="22"/>
          <w:szCs w:val="22"/>
        </w:rPr>
        <w:t>,</w:t>
      </w:r>
      <w:r w:rsidR="003C3AD0" w:rsidRPr="00F37169">
        <w:rPr>
          <w:color w:val="221E1F"/>
          <w:sz w:val="22"/>
          <w:szCs w:val="22"/>
        </w:rPr>
        <w:t xml:space="preserve"> the rates among Hispanic and White females have remained s</w:t>
      </w:r>
      <w:r w:rsidR="004B752A">
        <w:rPr>
          <w:color w:val="221E1F"/>
          <w:sz w:val="22"/>
          <w:szCs w:val="22"/>
        </w:rPr>
        <w:t xml:space="preserve">table over the </w:t>
      </w:r>
      <w:r w:rsidR="00B56801">
        <w:rPr>
          <w:color w:val="221E1F"/>
          <w:sz w:val="22"/>
          <w:szCs w:val="22"/>
        </w:rPr>
        <w:t>five-year</w:t>
      </w:r>
      <w:r w:rsidR="004B752A">
        <w:rPr>
          <w:color w:val="221E1F"/>
          <w:sz w:val="22"/>
          <w:szCs w:val="22"/>
        </w:rPr>
        <w:t xml:space="preserve"> period, possibly due to a lack of testing among those populations. R</w:t>
      </w:r>
      <w:r w:rsidR="003C3AD0" w:rsidRPr="00F37169">
        <w:rPr>
          <w:color w:val="221E1F"/>
          <w:sz w:val="22"/>
          <w:szCs w:val="22"/>
        </w:rPr>
        <w:t xml:space="preserve">ates among API and AI/AN females fluctuated greatly due to the small number of new </w:t>
      </w:r>
      <w:r w:rsidR="003C3AD0" w:rsidRPr="00F37169">
        <w:rPr>
          <w:iCs/>
          <w:sz w:val="22"/>
          <w:szCs w:val="22"/>
        </w:rPr>
        <w:t xml:space="preserve">diagnoses </w:t>
      </w:r>
      <w:r w:rsidR="003C3AD0" w:rsidRPr="00F37169">
        <w:rPr>
          <w:color w:val="221E1F"/>
          <w:sz w:val="22"/>
          <w:szCs w:val="22"/>
        </w:rPr>
        <w:t>in these populations.</w:t>
      </w:r>
    </w:p>
    <w:p w:rsidR="003C3AD0" w:rsidRDefault="003C3AD0" w:rsidP="00E434EF">
      <w:pPr>
        <w:pStyle w:val="Heading5"/>
      </w:pPr>
      <w:r>
        <w:t>HIV and Age</w:t>
      </w:r>
    </w:p>
    <w:p w:rsidR="003C3AD0" w:rsidRPr="00724B66" w:rsidRDefault="003C3AD0" w:rsidP="008E72A8">
      <w:pPr>
        <w:widowControl w:val="0"/>
        <w:spacing w:after="0"/>
        <w:jc w:val="both"/>
        <w:rPr>
          <w:b/>
          <w:bCs/>
          <w:i/>
          <w:iCs/>
          <w:color w:val="1F497D"/>
          <w:sz w:val="22"/>
          <w:szCs w:val="22"/>
        </w:rPr>
      </w:pPr>
      <w:r w:rsidRPr="00724B66">
        <w:rPr>
          <w:iCs/>
          <w:caps/>
          <w:sz w:val="22"/>
          <w:szCs w:val="22"/>
        </w:rPr>
        <w:t>F</w:t>
      </w:r>
      <w:r w:rsidRPr="00724B66">
        <w:rPr>
          <w:iCs/>
          <w:sz w:val="22"/>
          <w:szCs w:val="22"/>
        </w:rPr>
        <w:t>rom 2010 to 2014, 25 to 34 year olds had the greatest increase in rate of new diagnoses</w:t>
      </w:r>
      <w:r>
        <w:rPr>
          <w:iCs/>
          <w:sz w:val="22"/>
          <w:szCs w:val="22"/>
        </w:rPr>
        <w:t xml:space="preserve"> (Figure 1</w:t>
      </w:r>
      <w:r w:rsidR="004B752A">
        <w:rPr>
          <w:iCs/>
          <w:sz w:val="22"/>
          <w:szCs w:val="22"/>
        </w:rPr>
        <w:t>4</w:t>
      </w:r>
      <w:r>
        <w:rPr>
          <w:iCs/>
          <w:sz w:val="22"/>
          <w:szCs w:val="22"/>
        </w:rPr>
        <w:t>)</w:t>
      </w:r>
      <w:r w:rsidRPr="00724B66">
        <w:rPr>
          <w:iCs/>
          <w:sz w:val="22"/>
          <w:szCs w:val="22"/>
        </w:rPr>
        <w:t>. The rate among those under the age of 24 and above 55 years of age remained relatively stable. While some rates have fluctuated over the years</w:t>
      </w:r>
      <w:r w:rsidR="0024671C">
        <w:rPr>
          <w:iCs/>
          <w:sz w:val="22"/>
          <w:szCs w:val="22"/>
        </w:rPr>
        <w:t>,</w:t>
      </w:r>
      <w:r w:rsidRPr="00724B66">
        <w:rPr>
          <w:iCs/>
          <w:sz w:val="22"/>
          <w:szCs w:val="22"/>
        </w:rPr>
        <w:t xml:space="preserve"> no significant changes occurred.  </w:t>
      </w:r>
      <w:r w:rsidRPr="00724B66">
        <w:rPr>
          <w:iCs/>
          <w:caps/>
          <w:sz w:val="22"/>
          <w:szCs w:val="22"/>
        </w:rPr>
        <w:t>F</w:t>
      </w:r>
      <w:r w:rsidRPr="00724B66">
        <w:rPr>
          <w:iCs/>
          <w:sz w:val="22"/>
          <w:szCs w:val="22"/>
        </w:rPr>
        <w:t xml:space="preserve">rom 2011 to 2012, all age groups, except for 35 to 44 year olds, experienced a decrease or no change in the rate of new diagnoses. This may have been due to the closure of </w:t>
      </w:r>
      <w:r w:rsidR="0024671C">
        <w:rPr>
          <w:iCs/>
          <w:sz w:val="22"/>
          <w:szCs w:val="22"/>
        </w:rPr>
        <w:t>SNHD</w:t>
      </w:r>
      <w:r w:rsidRPr="00724B66">
        <w:rPr>
          <w:iCs/>
          <w:sz w:val="22"/>
          <w:szCs w:val="22"/>
        </w:rPr>
        <w:t>’s main building and disruptions in testing services.</w:t>
      </w:r>
    </w:p>
    <w:p w:rsidR="003C3AD0" w:rsidRDefault="003C3AD0" w:rsidP="008E72A8">
      <w:pPr>
        <w:widowControl w:val="0"/>
        <w:spacing w:after="0"/>
        <w:jc w:val="both"/>
        <w:rPr>
          <w:iCs/>
          <w:sz w:val="22"/>
          <w:szCs w:val="22"/>
        </w:rPr>
      </w:pPr>
      <w:r w:rsidRPr="00724B66">
        <w:rPr>
          <w:iCs/>
          <w:sz w:val="22"/>
          <w:szCs w:val="22"/>
        </w:rPr>
        <w:t xml:space="preserve">Among males, in 2014, the highest rates of new HIV infection were among persons 25 to 34 years old (66.8 per 100,000 population), followed by persons 13 to 24 years old (42.4 per 100,000 population). From 2010 to 2014, HIV infection rates increased among 13 to 24 year olds, 25 to 34 year olds and 45 to 54 year olds. The only groups to experience declines in the rate of new diagnoses are those aged 35 to 44 and over the age of 65.   </w:t>
      </w:r>
    </w:p>
    <w:p w:rsidR="00303AC3" w:rsidRPr="00724B66" w:rsidRDefault="00303AC3" w:rsidP="008E72A8">
      <w:pPr>
        <w:widowControl w:val="0"/>
        <w:spacing w:after="0"/>
        <w:jc w:val="both"/>
        <w:rPr>
          <w:iCs/>
          <w:color w:val="000000"/>
          <w:sz w:val="22"/>
          <w:szCs w:val="22"/>
        </w:rPr>
      </w:pPr>
      <w:r w:rsidRPr="00724B66">
        <w:rPr>
          <w:iCs/>
          <w:sz w:val="22"/>
          <w:szCs w:val="22"/>
        </w:rPr>
        <w:t>In 2014, 35 to 44-year-old females had the highest rate of new diagnoses in 2012 (10.7 per 100,000 population), followed by 45 to 55 year olds (7.4 per 100,000 population). From 2010 to 2014, there has been a steady decline in the rate of new HIV diagnoses among 35 to 44 and 55 to 64-year-old females. The rate among other age groups has fluctuated over this time period, which is most likely due to the small number of new diagnoses within each age group</w:t>
      </w:r>
      <w:r>
        <w:rPr>
          <w:iCs/>
          <w:sz w:val="22"/>
          <w:szCs w:val="22"/>
        </w:rPr>
        <w:t>.</w:t>
      </w:r>
    </w:p>
    <w:p w:rsidR="003C3AD0" w:rsidRPr="00724B66" w:rsidRDefault="00303AC3" w:rsidP="00724B66">
      <w:pPr>
        <w:widowControl w:val="0"/>
        <w:spacing w:after="0"/>
        <w:jc w:val="both"/>
        <w:rPr>
          <w:rFonts w:ascii="Times New Roman" w:hAnsi="Times New Roman"/>
          <w:iCs/>
          <w:sz w:val="22"/>
          <w:szCs w:val="22"/>
        </w:rPr>
      </w:pPr>
      <w:r w:rsidRPr="00AD4850">
        <w:rPr>
          <w:noProof/>
        </w:rPr>
        <w:lastRenderedPageBreak/>
        <w:drawing>
          <wp:anchor distT="0" distB="0" distL="114300" distR="114300" simplePos="0" relativeHeight="251764736" behindDoc="0" locked="0" layoutInCell="1" allowOverlap="1" wp14:anchorId="65A8C732" wp14:editId="16EEAEC5">
            <wp:simplePos x="0" y="0"/>
            <wp:positionH relativeFrom="column">
              <wp:posOffset>-95885</wp:posOffset>
            </wp:positionH>
            <wp:positionV relativeFrom="paragraph">
              <wp:posOffset>3034030</wp:posOffset>
            </wp:positionV>
            <wp:extent cx="4031615" cy="2933700"/>
            <wp:effectExtent l="0" t="0" r="0" b="0"/>
            <wp:wrapSquare wrapText="bothSides"/>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2833CA" w:rsidRPr="00AD4850">
        <w:rPr>
          <w:noProof/>
        </w:rPr>
        <w:drawing>
          <wp:anchor distT="0" distB="0" distL="114300" distR="114300" simplePos="0" relativeHeight="251763712" behindDoc="0" locked="0" layoutInCell="1" allowOverlap="1" wp14:anchorId="5DB37ABB" wp14:editId="4978367E">
            <wp:simplePos x="0" y="0"/>
            <wp:positionH relativeFrom="column">
              <wp:posOffset>-154305</wp:posOffset>
            </wp:positionH>
            <wp:positionV relativeFrom="paragraph">
              <wp:posOffset>55604</wp:posOffset>
            </wp:positionV>
            <wp:extent cx="4087495" cy="2905125"/>
            <wp:effectExtent l="0" t="0" r="8255" b="0"/>
            <wp:wrapSquare wrapText="bothSides"/>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3C3AD0" w:rsidRPr="00724B66">
        <w:rPr>
          <w:sz w:val="22"/>
          <w:szCs w:val="22"/>
        </w:rPr>
        <w:t xml:space="preserve">From 2010 to 2014, all age groups experienced an increase in the rate of </w:t>
      </w:r>
      <w:r w:rsidR="00650F55">
        <w:rPr>
          <w:sz w:val="22"/>
          <w:szCs w:val="22"/>
        </w:rPr>
        <w:t>PLWH,</w:t>
      </w:r>
      <w:r w:rsidR="003C3AD0" w:rsidRPr="00724B66">
        <w:rPr>
          <w:sz w:val="22"/>
          <w:szCs w:val="22"/>
        </w:rPr>
        <w:t xml:space="preserve"> except for persons</w:t>
      </w:r>
      <w:r w:rsidR="003C3AD0">
        <w:rPr>
          <w:sz w:val="22"/>
          <w:szCs w:val="22"/>
        </w:rPr>
        <w:t xml:space="preserve"> under 13 and</w:t>
      </w:r>
      <w:r w:rsidR="003C3AD0" w:rsidRPr="00724B66">
        <w:rPr>
          <w:sz w:val="22"/>
          <w:szCs w:val="22"/>
        </w:rPr>
        <w:t xml:space="preserve"> 35 to 44 years old </w:t>
      </w:r>
      <w:r w:rsidR="003C3AD0">
        <w:rPr>
          <w:sz w:val="22"/>
          <w:szCs w:val="22"/>
        </w:rPr>
        <w:t>(Figure 1</w:t>
      </w:r>
      <w:r w:rsidR="004B752A">
        <w:rPr>
          <w:sz w:val="22"/>
          <w:szCs w:val="22"/>
        </w:rPr>
        <w:t>5</w:t>
      </w:r>
      <w:r w:rsidR="003C3AD0">
        <w:rPr>
          <w:sz w:val="22"/>
          <w:szCs w:val="22"/>
        </w:rPr>
        <w:t>)</w:t>
      </w:r>
      <w:r w:rsidR="003C3AD0" w:rsidRPr="00724B66">
        <w:rPr>
          <w:sz w:val="22"/>
          <w:szCs w:val="22"/>
        </w:rPr>
        <w:t xml:space="preserve">. For both age groups, these declines were most likely due to their large decreases in number of new diagnoses. There were increases in the rates of </w:t>
      </w:r>
      <w:r w:rsidR="00650F55">
        <w:rPr>
          <w:sz w:val="22"/>
          <w:szCs w:val="22"/>
        </w:rPr>
        <w:t>PLWH</w:t>
      </w:r>
      <w:r w:rsidR="003C3AD0" w:rsidRPr="00724B66">
        <w:rPr>
          <w:sz w:val="22"/>
          <w:szCs w:val="22"/>
        </w:rPr>
        <w:t xml:space="preserve"> among persons 13 to 24 and 25 to 34, which may be due to the use of targeted testing which specifically focuses on high risk populations such as youth or those with certain risky behaviors. The increase in </w:t>
      </w:r>
      <w:r w:rsidR="00650F55">
        <w:rPr>
          <w:sz w:val="22"/>
          <w:szCs w:val="22"/>
        </w:rPr>
        <w:t xml:space="preserve">rates for those </w:t>
      </w:r>
      <w:r w:rsidR="003C3AD0" w:rsidRPr="00724B66">
        <w:rPr>
          <w:sz w:val="22"/>
          <w:szCs w:val="22"/>
        </w:rPr>
        <w:t>over the age of 45 could be attributed to people living longer once they become infected and “aging” into these older age groups.</w:t>
      </w:r>
    </w:p>
    <w:p w:rsidR="003C3AD0" w:rsidRPr="00724B66" w:rsidRDefault="003C3AD0" w:rsidP="008E72A8">
      <w:pPr>
        <w:spacing w:after="0"/>
        <w:ind w:right="-38"/>
        <w:jc w:val="both"/>
        <w:rPr>
          <w:rFonts w:ascii="Times New Roman" w:hAnsi="Times New Roman"/>
          <w:sz w:val="22"/>
          <w:szCs w:val="22"/>
        </w:rPr>
      </w:pPr>
      <w:r w:rsidRPr="00724B66">
        <w:rPr>
          <w:sz w:val="22"/>
          <w:szCs w:val="22"/>
        </w:rPr>
        <w:t xml:space="preserve">Among males living with HIV, there was an increase in rates for all age groups except 35 to 44 years old (998.2 per 100,000 in 2010 to 867.5 per 100,000 in 2014). </w:t>
      </w:r>
      <w:r w:rsidR="002320EC">
        <w:rPr>
          <w:sz w:val="22"/>
          <w:szCs w:val="22"/>
        </w:rPr>
        <w:t>T</w:t>
      </w:r>
      <w:r w:rsidR="008F090F">
        <w:rPr>
          <w:sz w:val="22"/>
          <w:szCs w:val="22"/>
        </w:rPr>
        <w:t xml:space="preserve">he decrease in the 35 to 44-year-old age group is likely due to the </w:t>
      </w:r>
      <w:r w:rsidR="002320EC" w:rsidRPr="00724B66">
        <w:rPr>
          <w:sz w:val="22"/>
          <w:szCs w:val="22"/>
        </w:rPr>
        <w:t xml:space="preserve">sharp decline in new diagnoses in </w:t>
      </w:r>
      <w:r w:rsidR="008F090F">
        <w:rPr>
          <w:sz w:val="22"/>
          <w:szCs w:val="22"/>
        </w:rPr>
        <w:t>that</w:t>
      </w:r>
      <w:r w:rsidR="002320EC" w:rsidRPr="00724B66">
        <w:rPr>
          <w:sz w:val="22"/>
          <w:szCs w:val="22"/>
        </w:rPr>
        <w:t xml:space="preserve"> age group</w:t>
      </w:r>
      <w:r w:rsidR="002320EC">
        <w:rPr>
          <w:sz w:val="22"/>
          <w:szCs w:val="22"/>
        </w:rPr>
        <w:t xml:space="preserve">. </w:t>
      </w:r>
      <w:r w:rsidRPr="00724B66">
        <w:rPr>
          <w:sz w:val="22"/>
          <w:szCs w:val="22"/>
        </w:rPr>
        <w:t xml:space="preserve">In 2014, the highest rates of </w:t>
      </w:r>
      <w:r w:rsidR="00650F55">
        <w:rPr>
          <w:sz w:val="22"/>
          <w:szCs w:val="22"/>
        </w:rPr>
        <w:t>PLWH</w:t>
      </w:r>
      <w:r w:rsidRPr="00724B66">
        <w:rPr>
          <w:sz w:val="22"/>
          <w:szCs w:val="22"/>
        </w:rPr>
        <w:t xml:space="preserve"> were among males 455 to 54 years old (1,440.2 per 100,000 population) followed by males 55 to 64 years old (874.2 per 100,000 population).</w:t>
      </w:r>
    </w:p>
    <w:p w:rsidR="003C3AD0" w:rsidRDefault="003C3AD0" w:rsidP="008E72A8">
      <w:pPr>
        <w:spacing w:after="0"/>
        <w:ind w:right="-38"/>
        <w:jc w:val="both"/>
        <w:rPr>
          <w:sz w:val="22"/>
          <w:szCs w:val="22"/>
        </w:rPr>
      </w:pPr>
      <w:r w:rsidRPr="00724B66">
        <w:rPr>
          <w:sz w:val="22"/>
          <w:szCs w:val="22"/>
        </w:rPr>
        <w:t xml:space="preserve">Overall trends among females mirrored those of males, in particular, the decline in the rate of persons less than 24 years old and 35 to 44 years old living with HIV. The highest rates of females living with HIV in 2014 were among persons 45 to 54 years old (263.8 per 100,000 population) and persons 35 to 44 years old (196.8 per 100,000 population). </w:t>
      </w:r>
    </w:p>
    <w:p w:rsidR="00650F55" w:rsidRDefault="00650F55" w:rsidP="008E72A8">
      <w:pPr>
        <w:spacing w:after="0"/>
        <w:ind w:right="-38"/>
        <w:jc w:val="both"/>
        <w:rPr>
          <w:color w:val="000000"/>
          <w:sz w:val="22"/>
          <w:szCs w:val="22"/>
        </w:rPr>
      </w:pPr>
    </w:p>
    <w:p w:rsidR="002E77F2" w:rsidRPr="00724B66" w:rsidRDefault="002E77F2" w:rsidP="008E72A8">
      <w:pPr>
        <w:spacing w:after="0"/>
        <w:ind w:right="-38"/>
        <w:jc w:val="both"/>
        <w:rPr>
          <w:color w:val="000000"/>
          <w:sz w:val="22"/>
          <w:szCs w:val="22"/>
        </w:rPr>
      </w:pPr>
    </w:p>
    <w:p w:rsidR="003C3AD0" w:rsidRPr="00ED2B32" w:rsidRDefault="003C3AD0" w:rsidP="00E434EF">
      <w:pPr>
        <w:pStyle w:val="Heading5"/>
        <w:rPr>
          <w:color w:val="1F497D"/>
          <w:u w:val="single"/>
        </w:rPr>
      </w:pPr>
      <w:r w:rsidRPr="00ED2B32">
        <w:lastRenderedPageBreak/>
        <w:t>persons who know they are hiv-positive, but who are not recieving primary care</w:t>
      </w:r>
    </w:p>
    <w:p w:rsidR="003C3AD0" w:rsidRDefault="003C3AD0" w:rsidP="00F23788">
      <w:pPr>
        <w:widowControl w:val="0"/>
        <w:jc w:val="both"/>
        <w:rPr>
          <w:sz w:val="22"/>
          <w:szCs w:val="22"/>
        </w:rPr>
      </w:pPr>
      <w:r>
        <w:rPr>
          <w:sz w:val="22"/>
          <w:szCs w:val="22"/>
        </w:rPr>
        <w:t xml:space="preserve">The number of clients considered “out-of-care” are also known as the “unmet need” in Nevada. The HIV/AIDS Surveillance Program has developed several strategies for identifying persons who know their status but who are not receiving primary medical care. The first project focuses on enumerating the persons who are reported as HIV infected, currently living in Nevada and receiving routine medical care versus those who are not receiving care. To be counted as receiving care, the client must have received laboratory testing in the previous year or have been enrolled and active in ADAP. </w:t>
      </w:r>
      <w:r w:rsidRPr="00D3705A">
        <w:rPr>
          <w:sz w:val="22"/>
          <w:szCs w:val="22"/>
        </w:rPr>
        <w:t>The number of persons living with HIV/AIDS (PLWHA) in Nevada in 2013, was 9,114. Based on HIV/AIDS Surveillance data (eHARS) and the number of clients receiving care through ADAP, it was estimated that 5,158 (56.6%) of PLWHA were receiving primary medical care in 2013.</w:t>
      </w:r>
      <w:r>
        <w:rPr>
          <w:sz w:val="22"/>
          <w:szCs w:val="22"/>
        </w:rPr>
        <w:t xml:space="preserve">  Nevada’s RW Program, in collaboration with the HIV Prevention Program, works with partner organizations to identify PLWHA and refer them into care. RW Program case partner organizations are all required to have policies in place to follow-up with clients who drop out of service. </w:t>
      </w:r>
    </w:p>
    <w:p w:rsidR="003C3AD0" w:rsidRDefault="003C3AD0" w:rsidP="00F23788">
      <w:pPr>
        <w:widowControl w:val="0"/>
        <w:jc w:val="both"/>
        <w:rPr>
          <w:sz w:val="22"/>
          <w:szCs w:val="22"/>
        </w:rPr>
      </w:pPr>
      <w:r>
        <w:rPr>
          <w:sz w:val="22"/>
          <w:szCs w:val="22"/>
        </w:rPr>
        <w:t xml:space="preserve">In 2007, a law was passed to make it mandatory that testing organizations refer HIV-positive people into </w:t>
      </w:r>
      <w:r w:rsidR="004B752A">
        <w:rPr>
          <w:sz w:val="22"/>
          <w:szCs w:val="22"/>
        </w:rPr>
        <w:t>treatment; if</w:t>
      </w:r>
      <w:r>
        <w:rPr>
          <w:sz w:val="22"/>
          <w:szCs w:val="22"/>
        </w:rPr>
        <w:t xml:space="preserve"> the organization does not have ability to make referrals it can access referrals through the Health Districts. The 2009 Legislative Session approved a Rapid Testing Law that allows community based organizations (CBOs) to offer rapid testing. Also in 2009, the Nevada HIV Prevention Program and State AIDS Task Force increased testing efforts statewide to identify individuals with HIV/AIDS and refer them into services. </w:t>
      </w:r>
    </w:p>
    <w:p w:rsidR="003C3AD0" w:rsidRDefault="003C3AD0" w:rsidP="00F23788">
      <w:pPr>
        <w:widowControl w:val="0"/>
        <w:jc w:val="both"/>
        <w:rPr>
          <w:sz w:val="22"/>
          <w:szCs w:val="22"/>
        </w:rPr>
      </w:pPr>
      <w:r>
        <w:rPr>
          <w:sz w:val="22"/>
          <w:szCs w:val="22"/>
        </w:rPr>
        <w:t xml:space="preserve">Outreach services are provided by the </w:t>
      </w:r>
      <w:r w:rsidR="00B70E90">
        <w:rPr>
          <w:sz w:val="22"/>
          <w:szCs w:val="22"/>
        </w:rPr>
        <w:t>SNHD</w:t>
      </w:r>
      <w:r>
        <w:rPr>
          <w:sz w:val="22"/>
          <w:szCs w:val="22"/>
        </w:rPr>
        <w:t xml:space="preserve">, the Northern Nevada Outreach Team, ACCEPT, Washoe County Health District, and HOPES. Early intervention services are provided by HOPES, UMC Medical Services, Southern Nevada Health District, </w:t>
      </w:r>
      <w:r w:rsidR="00571507">
        <w:rPr>
          <w:sz w:val="22"/>
          <w:szCs w:val="22"/>
        </w:rPr>
        <w:t xml:space="preserve">AIDS Healthcare Foundation, </w:t>
      </w:r>
      <w:r>
        <w:rPr>
          <w:sz w:val="22"/>
          <w:szCs w:val="22"/>
        </w:rPr>
        <w:t>University of Nevada, Reno Sch</w:t>
      </w:r>
      <w:r w:rsidR="008F090F">
        <w:rPr>
          <w:sz w:val="22"/>
          <w:szCs w:val="22"/>
        </w:rPr>
        <w:t>ool of Medicine Clinic for high risk</w:t>
      </w:r>
      <w:r>
        <w:rPr>
          <w:sz w:val="22"/>
          <w:szCs w:val="22"/>
        </w:rPr>
        <w:t xml:space="preserve"> pregnancies and the Veterans Hospital. Clark County’s HIV program conducts database matches and identifies out-of-care positive individuals, contacts them to see if they are still in the area, and attempts to bring them into care.</w:t>
      </w:r>
    </w:p>
    <w:p w:rsidR="003C3AD0" w:rsidRDefault="003C3AD0" w:rsidP="00E434EF">
      <w:pPr>
        <w:pStyle w:val="Heading5"/>
        <w:rPr>
          <w:color w:val="1F497D"/>
          <w:u w:val="single"/>
        </w:rPr>
      </w:pPr>
      <w:r>
        <w:t xml:space="preserve">Unmet need among person living with </w:t>
      </w:r>
      <w:r w:rsidR="00F103A5">
        <w:t>HIV/AIDS</w:t>
      </w:r>
    </w:p>
    <w:p w:rsidR="003C3AD0" w:rsidRDefault="003C3AD0" w:rsidP="00F23788">
      <w:pPr>
        <w:widowControl w:val="0"/>
        <w:jc w:val="both"/>
        <w:rPr>
          <w:sz w:val="22"/>
          <w:szCs w:val="22"/>
        </w:rPr>
      </w:pPr>
      <w:r>
        <w:rPr>
          <w:sz w:val="22"/>
          <w:szCs w:val="22"/>
        </w:rPr>
        <w:t xml:space="preserve">Unmet need is defined as an HIV-positive individual not having any laboratory tests (i.e., CD4 count/percent and/or viral load test) or medical care visit within a </w:t>
      </w:r>
      <w:r w:rsidR="00752497">
        <w:rPr>
          <w:sz w:val="22"/>
          <w:szCs w:val="22"/>
        </w:rPr>
        <w:t>one-year</w:t>
      </w:r>
      <w:r>
        <w:rPr>
          <w:sz w:val="22"/>
          <w:szCs w:val="22"/>
        </w:rPr>
        <w:t xml:space="preserve"> period. This definition is commonly used by HIV/AIDS surveillance and prevention programs across the United States. Laboratory data was obtained from eHARS, </w:t>
      </w:r>
      <w:r w:rsidR="006876F3">
        <w:rPr>
          <w:sz w:val="22"/>
          <w:szCs w:val="22"/>
        </w:rPr>
        <w:t>and individuals</w:t>
      </w:r>
      <w:r>
        <w:rPr>
          <w:sz w:val="22"/>
          <w:szCs w:val="22"/>
        </w:rPr>
        <w:t xml:space="preserve"> were matched to the ADAP registry in order to identify individuals who are in care but may not have had laboratory results in eHARS. One of the major limitations of this analysis is that in Nevada not all CD4 and viral load test results were reportable at the time this data was available. As stated in NAC.441A, only CD4 results less than 500 cells/µL and detectable viral loads are required to be reported to the state or local health department. Thus, our measures of the number of persons with unmet need are most likely over-estimates. This statute has since been revised so future profiles will have more accurate estimates.</w:t>
      </w:r>
    </w:p>
    <w:p w:rsidR="00A77829" w:rsidRPr="00465ED1" w:rsidRDefault="00A77829" w:rsidP="00A77829">
      <w:pPr>
        <w:jc w:val="both"/>
        <w:rPr>
          <w:sz w:val="22"/>
          <w:szCs w:val="22"/>
        </w:rPr>
      </w:pPr>
      <w:r w:rsidRPr="00465ED1">
        <w:rPr>
          <w:sz w:val="22"/>
          <w:szCs w:val="22"/>
        </w:rPr>
        <w:lastRenderedPageBreak/>
        <w:t xml:space="preserve">In 2014, 39% of </w:t>
      </w:r>
      <w:r w:rsidR="00B70E90">
        <w:rPr>
          <w:sz w:val="22"/>
          <w:szCs w:val="22"/>
        </w:rPr>
        <w:t>PLWH</w:t>
      </w:r>
      <w:r w:rsidRPr="00465ED1">
        <w:rPr>
          <w:sz w:val="22"/>
          <w:szCs w:val="22"/>
        </w:rPr>
        <w:t xml:space="preserve"> in Nevada had unmet need with </w:t>
      </w:r>
      <w:r w:rsidR="00B70E90">
        <w:rPr>
          <w:sz w:val="22"/>
          <w:szCs w:val="22"/>
        </w:rPr>
        <w:t>PLWH</w:t>
      </w:r>
      <w:r w:rsidRPr="00465ED1">
        <w:rPr>
          <w:sz w:val="22"/>
          <w:szCs w:val="22"/>
        </w:rPr>
        <w:t xml:space="preserve"> (not AIDS) having a higher proportion of unmet needs (42%) than persons living with AIDS (36%).  There were a higher proportion of males with unmet need (40%) than females (36%).  All other counties region had the highest proportion of persons living with HIV/AIDS with unmet need (46%), while Washoe County had the lowest proportion of persons living with HIV/AIDs with unmet need (36%).</w:t>
      </w:r>
    </w:p>
    <w:p w:rsidR="00A77829" w:rsidRDefault="00D00FE6" w:rsidP="00A77829">
      <w:pPr>
        <w:widowControl w:val="0"/>
        <w:spacing w:before="0" w:after="0"/>
        <w:jc w:val="both"/>
        <w:rPr>
          <w:sz w:val="22"/>
          <w:szCs w:val="22"/>
        </w:rPr>
      </w:pPr>
      <w:r>
        <w:rPr>
          <w:noProof/>
          <w:sz w:val="22"/>
          <w:szCs w:val="22"/>
        </w:rPr>
        <w:drawing>
          <wp:anchor distT="0" distB="0" distL="114300" distR="114300" simplePos="0" relativeHeight="251782144" behindDoc="0" locked="0" layoutInCell="1" allowOverlap="1" wp14:anchorId="23CF6275" wp14:editId="6600DE72">
            <wp:simplePos x="0" y="0"/>
            <wp:positionH relativeFrom="column">
              <wp:posOffset>0</wp:posOffset>
            </wp:positionH>
            <wp:positionV relativeFrom="paragraph">
              <wp:posOffset>1309701</wp:posOffset>
            </wp:positionV>
            <wp:extent cx="5860111" cy="3200400"/>
            <wp:effectExtent l="0" t="0" r="762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A77829" w:rsidRPr="00465ED1">
        <w:rPr>
          <w:sz w:val="22"/>
          <w:szCs w:val="22"/>
        </w:rPr>
        <w:t>Ages 25 to 34 year olds had the highest proportion of person living with HIV/AIDS with unmet need (43%), followed by 13 to 24 year olds</w:t>
      </w:r>
      <w:r w:rsidR="00B70E90">
        <w:rPr>
          <w:sz w:val="22"/>
          <w:szCs w:val="22"/>
        </w:rPr>
        <w:t xml:space="preserve"> (42%).  Persons 64 </w:t>
      </w:r>
      <w:r w:rsidR="00A77829" w:rsidRPr="00465ED1">
        <w:rPr>
          <w:sz w:val="22"/>
          <w:szCs w:val="22"/>
        </w:rPr>
        <w:t>years</w:t>
      </w:r>
      <w:r w:rsidR="00B70E90">
        <w:rPr>
          <w:sz w:val="22"/>
          <w:szCs w:val="22"/>
        </w:rPr>
        <w:t xml:space="preserve"> and older </w:t>
      </w:r>
      <w:r w:rsidR="00A77829" w:rsidRPr="00465ED1">
        <w:rPr>
          <w:sz w:val="22"/>
          <w:szCs w:val="22"/>
        </w:rPr>
        <w:t>had the lowest proportion of unmet needs (15%).  Between the years of 2010 to 2014, the proportion of persons living with HIV/AIDS who were out of care decreased by 6%, overall</w:t>
      </w:r>
      <w:r w:rsidR="00FB51EE">
        <w:rPr>
          <w:sz w:val="22"/>
          <w:szCs w:val="22"/>
        </w:rPr>
        <w:t xml:space="preserve"> (Figure 16).</w:t>
      </w:r>
      <w:r w:rsidR="00A77829">
        <w:rPr>
          <w:sz w:val="22"/>
          <w:szCs w:val="22"/>
        </w:rPr>
        <w:t xml:space="preserve"> </w:t>
      </w:r>
      <w:r w:rsidR="00A77829" w:rsidRPr="00465ED1">
        <w:rPr>
          <w:sz w:val="22"/>
          <w:szCs w:val="22"/>
        </w:rPr>
        <w:t>Out of care persons living with HIV</w:t>
      </w:r>
      <w:r w:rsidR="00A77829">
        <w:rPr>
          <w:sz w:val="22"/>
          <w:szCs w:val="22"/>
        </w:rPr>
        <w:t xml:space="preserve"> (not AIDS)</w:t>
      </w:r>
      <w:r w:rsidR="00A77829" w:rsidRPr="00465ED1">
        <w:rPr>
          <w:sz w:val="22"/>
          <w:szCs w:val="22"/>
        </w:rPr>
        <w:t xml:space="preserve"> experienced the highest decrease (8% decrease) followed by out of care person living with AIDS (5% decrease) during the 5-year period.</w:t>
      </w:r>
    </w:p>
    <w:p w:rsidR="003C3AD0" w:rsidRDefault="003C3AD0" w:rsidP="00A77829">
      <w:pPr>
        <w:widowControl w:val="0"/>
        <w:spacing w:before="0" w:after="0"/>
        <w:rPr>
          <w:sz w:val="22"/>
          <w:szCs w:val="22"/>
        </w:rPr>
      </w:pPr>
      <w:r>
        <w:t> </w:t>
      </w:r>
      <w:r>
        <w:rPr>
          <w:sz w:val="22"/>
          <w:szCs w:val="22"/>
        </w:rPr>
        <w:t xml:space="preserve"> </w:t>
      </w:r>
    </w:p>
    <w:p w:rsidR="003C3AD0" w:rsidRPr="00C927C1" w:rsidRDefault="003C3AD0" w:rsidP="00E434EF">
      <w:pPr>
        <w:pStyle w:val="Heading5"/>
      </w:pPr>
      <w:r>
        <w:t xml:space="preserve">HIV and </w:t>
      </w:r>
      <w:r w:rsidRPr="00C927C1">
        <w:t>Mortality</w:t>
      </w:r>
    </w:p>
    <w:p w:rsidR="008111BE" w:rsidRDefault="003C3AD0" w:rsidP="00C927C1">
      <w:pPr>
        <w:widowControl w:val="0"/>
        <w:spacing w:line="285" w:lineRule="auto"/>
        <w:jc w:val="both"/>
        <w:rPr>
          <w:color w:val="000000"/>
          <w:kern w:val="28"/>
          <w:sz w:val="22"/>
          <w:szCs w:val="22"/>
          <w14:cntxtAlts/>
        </w:rPr>
      </w:pPr>
      <w:r w:rsidRPr="00C927C1">
        <w:rPr>
          <w:sz w:val="22"/>
          <w:szCs w:val="22"/>
        </w:rPr>
        <w:t xml:space="preserve">In this report, death information was obtained from eHARS. Several measures are taken to ensure the quality of this data, including annual matches to the state electronic death registry, the national Social Security Death Index, and the National Death Index. Throughout this report, cause of death is not specified; some of these deaths may have been due to HIV related causes, while others may have been due to unrelated causes. </w:t>
      </w:r>
      <w:r w:rsidRPr="00C927C1">
        <w:rPr>
          <w:color w:val="000000"/>
          <w:kern w:val="28"/>
          <w:sz w:val="22"/>
          <w:szCs w:val="22"/>
          <w14:cntxtAlts/>
        </w:rPr>
        <w:t xml:space="preserve">In Table </w:t>
      </w:r>
      <w:r w:rsidR="00B70E90">
        <w:rPr>
          <w:color w:val="000000"/>
          <w:kern w:val="28"/>
          <w:sz w:val="22"/>
          <w:szCs w:val="22"/>
          <w14:cntxtAlts/>
        </w:rPr>
        <w:t>7</w:t>
      </w:r>
      <w:r w:rsidRPr="00C927C1">
        <w:rPr>
          <w:color w:val="000000"/>
          <w:kern w:val="28"/>
          <w:sz w:val="22"/>
          <w:szCs w:val="22"/>
          <w14:cntxtAlts/>
        </w:rPr>
        <w:t xml:space="preserve">, age-adjusted death rates were calculated as the number of deaths of persons living with HIV/AIDS in Nevada per 100,000 persons and weighted to reflect standard age distributions.  </w:t>
      </w:r>
    </w:p>
    <w:p w:rsidR="00D00FE6" w:rsidRDefault="00D00FE6" w:rsidP="00C927C1">
      <w:pPr>
        <w:widowControl w:val="0"/>
        <w:spacing w:line="285" w:lineRule="auto"/>
        <w:jc w:val="both"/>
        <w:rPr>
          <w:color w:val="000000"/>
          <w:kern w:val="28"/>
          <w:sz w:val="22"/>
          <w:szCs w:val="22"/>
          <w14:cntxtAlts/>
        </w:rPr>
      </w:pPr>
    </w:p>
    <w:p w:rsidR="008111BE" w:rsidRDefault="008111BE" w:rsidP="008111BE">
      <w:pPr>
        <w:widowControl w:val="0"/>
        <w:spacing w:line="285" w:lineRule="auto"/>
        <w:jc w:val="both"/>
        <w:rPr>
          <w:color w:val="000000"/>
          <w:kern w:val="28"/>
          <w:sz w:val="22"/>
          <w:szCs w:val="22"/>
          <w14:cntxtAlts/>
        </w:rPr>
      </w:pPr>
      <w:r w:rsidRPr="00C927C1">
        <w:rPr>
          <w:color w:val="000000"/>
          <w:kern w:val="28"/>
          <w:sz w:val="22"/>
          <w:szCs w:val="22"/>
          <w14:cntxtAlts/>
        </w:rPr>
        <w:lastRenderedPageBreak/>
        <w:t xml:space="preserve">In 2014, the death rate of persons living with HIV/AIDS in Nevada was 4.5 per 100,000 persons. This rate was highest in Clark County (5.2 per 100,000 population) and lowest in the all other counties region (1.0 per 100,000 population). For females, Blacks had the highest age-adjusted death rate. For males, API had the highest rate of 28.7 per 100,000 followed by 27.1 per 100,000 for Blacks. Of all age groups, 45 to 54-year-old males had the highest death rate (13.4 per 100,000 population). Among males, persons with a transmission category of male-to-male sexual contact (MSM) accounted for the greatest proportion of deaths (63%), while among females, persons with a transmission category of heterosexual contact and IDU tied accounted for the greatest proportion of deaths (35%). </w:t>
      </w:r>
    </w:p>
    <w:p w:rsidR="003C3AD0" w:rsidRPr="002F601A" w:rsidRDefault="006876F3" w:rsidP="002F601A">
      <w:pPr>
        <w:spacing w:after="0"/>
        <w:rPr>
          <w:b/>
          <w:sz w:val="22"/>
        </w:rPr>
      </w:pPr>
      <w:bookmarkStart w:id="30" w:name="_Toc454344433"/>
      <w:bookmarkStart w:id="31" w:name="_Toc456157039"/>
      <w:bookmarkStart w:id="32" w:name="_Toc456247493"/>
      <w:r w:rsidRPr="002F601A">
        <w:rPr>
          <w:b/>
          <w:sz w:val="22"/>
        </w:rPr>
        <w:t xml:space="preserve">Table </w:t>
      </w:r>
      <w:r w:rsidR="008111BE">
        <w:rPr>
          <w:b/>
          <w:sz w:val="22"/>
        </w:rPr>
        <w:t>7</w:t>
      </w:r>
      <w:r w:rsidRPr="002F601A">
        <w:rPr>
          <w:b/>
          <w:sz w:val="22"/>
        </w:rPr>
        <w:t>. Deaths</w:t>
      </w:r>
      <w:r w:rsidR="003C3AD0" w:rsidRPr="002F601A">
        <w:rPr>
          <w:b/>
          <w:sz w:val="22"/>
        </w:rPr>
        <w:t xml:space="preserve"> among Persons Living with HIV in Nevada, 201</w:t>
      </w:r>
      <w:bookmarkEnd w:id="30"/>
      <w:r w:rsidR="003C3AD0" w:rsidRPr="002F601A">
        <w:rPr>
          <w:b/>
          <w:sz w:val="22"/>
        </w:rPr>
        <w:t>4</w:t>
      </w:r>
      <w:bookmarkEnd w:id="31"/>
      <w:bookmarkEnd w:id="32"/>
    </w:p>
    <w:tbl>
      <w:tblPr>
        <w:tblW w:w="5003" w:type="pct"/>
        <w:tblInd w:w="-5" w:type="dxa"/>
        <w:tblLook w:val="04A0" w:firstRow="1" w:lastRow="0" w:firstColumn="1" w:lastColumn="0" w:noHBand="0" w:noVBand="1"/>
      </w:tblPr>
      <w:tblGrid>
        <w:gridCol w:w="2780"/>
        <w:gridCol w:w="521"/>
        <w:gridCol w:w="744"/>
        <w:gridCol w:w="922"/>
        <w:gridCol w:w="521"/>
        <w:gridCol w:w="775"/>
        <w:gridCol w:w="889"/>
        <w:gridCol w:w="419"/>
        <w:gridCol w:w="851"/>
        <w:gridCol w:w="934"/>
      </w:tblGrid>
      <w:tr w:rsidR="003C3AD0" w:rsidRPr="00FD45D3" w:rsidTr="002F601A">
        <w:trPr>
          <w:trHeight w:val="20"/>
        </w:trPr>
        <w:tc>
          <w:tcPr>
            <w:tcW w:w="1486" w:type="pct"/>
            <w:tcBorders>
              <w:top w:val="single" w:sz="4" w:space="0" w:color="auto"/>
              <w:left w:val="single" w:sz="4" w:space="0" w:color="auto"/>
              <w:bottom w:val="nil"/>
              <w:right w:val="single" w:sz="4" w:space="0" w:color="auto"/>
            </w:tcBorders>
            <w:shd w:val="clear" w:color="000000" w:fill="4F81BD"/>
            <w:noWrap/>
            <w:vAlign w:val="center"/>
            <w:hideMark/>
          </w:tcPr>
          <w:p w:rsidR="003C3AD0" w:rsidRPr="00FD45D3" w:rsidRDefault="003C3AD0" w:rsidP="005D48A0">
            <w:pPr>
              <w:spacing w:before="0" w:after="0"/>
              <w:jc w:val="center"/>
              <w:rPr>
                <w:color w:val="FFFFFF"/>
              </w:rPr>
            </w:pPr>
            <w:r w:rsidRPr="00FD45D3">
              <w:rPr>
                <w:color w:val="FFFFFF"/>
              </w:rPr>
              <w:t> </w:t>
            </w:r>
          </w:p>
        </w:tc>
        <w:tc>
          <w:tcPr>
            <w:tcW w:w="1169" w:type="pct"/>
            <w:gridSpan w:val="3"/>
            <w:tcBorders>
              <w:top w:val="single" w:sz="4" w:space="0" w:color="auto"/>
              <w:left w:val="nil"/>
              <w:bottom w:val="nil"/>
              <w:right w:val="single" w:sz="4" w:space="0" w:color="000000"/>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Total</w:t>
            </w:r>
          </w:p>
        </w:tc>
        <w:tc>
          <w:tcPr>
            <w:tcW w:w="1167" w:type="pct"/>
            <w:gridSpan w:val="3"/>
            <w:tcBorders>
              <w:top w:val="single" w:sz="4" w:space="0" w:color="auto"/>
              <w:left w:val="nil"/>
              <w:bottom w:val="nil"/>
              <w:right w:val="single" w:sz="4" w:space="0" w:color="000000"/>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Male</w:t>
            </w:r>
          </w:p>
        </w:tc>
        <w:tc>
          <w:tcPr>
            <w:tcW w:w="1179" w:type="pct"/>
            <w:gridSpan w:val="3"/>
            <w:tcBorders>
              <w:top w:val="single" w:sz="4" w:space="0" w:color="auto"/>
              <w:left w:val="nil"/>
              <w:bottom w:val="nil"/>
              <w:right w:val="single" w:sz="4" w:space="0" w:color="000000"/>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Female</w:t>
            </w:r>
          </w:p>
        </w:tc>
      </w:tr>
      <w:tr w:rsidR="003C3AD0" w:rsidRPr="00FD45D3" w:rsidTr="002F601A">
        <w:trPr>
          <w:trHeight w:val="20"/>
        </w:trPr>
        <w:tc>
          <w:tcPr>
            <w:tcW w:w="1486" w:type="pct"/>
            <w:tcBorders>
              <w:top w:val="nil"/>
              <w:left w:val="single" w:sz="4" w:space="0" w:color="auto"/>
              <w:bottom w:val="single" w:sz="4" w:space="0" w:color="auto"/>
              <w:right w:val="single" w:sz="4" w:space="0" w:color="auto"/>
            </w:tcBorders>
            <w:shd w:val="clear" w:color="000000" w:fill="4F81BD"/>
            <w:vAlign w:val="center"/>
            <w:hideMark/>
          </w:tcPr>
          <w:p w:rsidR="003C3AD0" w:rsidRPr="00FD45D3" w:rsidRDefault="003C3AD0" w:rsidP="005D48A0">
            <w:pPr>
              <w:spacing w:before="0" w:after="0"/>
              <w:jc w:val="center"/>
              <w:rPr>
                <w:color w:val="FFFFFF"/>
              </w:rPr>
            </w:pPr>
            <w:r w:rsidRPr="00FD45D3">
              <w:rPr>
                <w:color w:val="FFFFFF"/>
              </w:rPr>
              <w:t> </w:t>
            </w:r>
          </w:p>
        </w:tc>
        <w:tc>
          <w:tcPr>
            <w:tcW w:w="278" w:type="pct"/>
            <w:tcBorders>
              <w:top w:val="nil"/>
              <w:left w:val="nil"/>
              <w:bottom w:val="single" w:sz="4" w:space="0" w:color="auto"/>
              <w:right w:val="nil"/>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N</w:t>
            </w:r>
          </w:p>
        </w:tc>
        <w:tc>
          <w:tcPr>
            <w:tcW w:w="398" w:type="pct"/>
            <w:tcBorders>
              <w:top w:val="nil"/>
              <w:left w:val="nil"/>
              <w:bottom w:val="single" w:sz="4" w:space="0" w:color="auto"/>
              <w:right w:val="nil"/>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w:t>
            </w:r>
          </w:p>
        </w:tc>
        <w:tc>
          <w:tcPr>
            <w:tcW w:w="493" w:type="pct"/>
            <w:tcBorders>
              <w:top w:val="nil"/>
              <w:left w:val="nil"/>
              <w:bottom w:val="single" w:sz="4" w:space="0" w:color="auto"/>
              <w:right w:val="single" w:sz="4" w:space="0" w:color="auto"/>
            </w:tcBorders>
            <w:shd w:val="clear" w:color="000000" w:fill="4F81BD"/>
            <w:vAlign w:val="center"/>
            <w:hideMark/>
          </w:tcPr>
          <w:p w:rsidR="003C3AD0" w:rsidRPr="00FD45D3" w:rsidRDefault="003C3AD0" w:rsidP="005D48A0">
            <w:pPr>
              <w:spacing w:before="0" w:after="0"/>
              <w:jc w:val="center"/>
              <w:rPr>
                <w:b/>
                <w:bCs/>
                <w:color w:val="FFFFFF"/>
              </w:rPr>
            </w:pPr>
            <w:r w:rsidRPr="00FD45D3">
              <w:rPr>
                <w:b/>
                <w:bCs/>
                <w:color w:val="FFFFFF"/>
              </w:rPr>
              <w:t>Rate*</w:t>
            </w:r>
          </w:p>
        </w:tc>
        <w:tc>
          <w:tcPr>
            <w:tcW w:w="278" w:type="pct"/>
            <w:tcBorders>
              <w:top w:val="nil"/>
              <w:left w:val="nil"/>
              <w:bottom w:val="single" w:sz="4" w:space="0" w:color="auto"/>
              <w:right w:val="nil"/>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n</w:t>
            </w:r>
          </w:p>
        </w:tc>
        <w:tc>
          <w:tcPr>
            <w:tcW w:w="414" w:type="pct"/>
            <w:tcBorders>
              <w:top w:val="nil"/>
              <w:left w:val="nil"/>
              <w:bottom w:val="single" w:sz="4" w:space="0" w:color="auto"/>
              <w:right w:val="nil"/>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w:t>
            </w:r>
          </w:p>
        </w:tc>
        <w:tc>
          <w:tcPr>
            <w:tcW w:w="475" w:type="pct"/>
            <w:tcBorders>
              <w:top w:val="nil"/>
              <w:left w:val="nil"/>
              <w:bottom w:val="single" w:sz="4" w:space="0" w:color="auto"/>
              <w:right w:val="single" w:sz="4" w:space="0" w:color="auto"/>
            </w:tcBorders>
            <w:shd w:val="clear" w:color="000000" w:fill="4F81BD"/>
            <w:vAlign w:val="center"/>
            <w:hideMark/>
          </w:tcPr>
          <w:p w:rsidR="003C3AD0" w:rsidRPr="00FD45D3" w:rsidRDefault="003C3AD0" w:rsidP="005D48A0">
            <w:pPr>
              <w:spacing w:before="0" w:after="0"/>
              <w:jc w:val="center"/>
              <w:rPr>
                <w:b/>
                <w:bCs/>
                <w:color w:val="FFFFFF"/>
              </w:rPr>
            </w:pPr>
            <w:r w:rsidRPr="00FD45D3">
              <w:rPr>
                <w:b/>
                <w:bCs/>
                <w:color w:val="FFFFFF"/>
              </w:rPr>
              <w:t>Rate*</w:t>
            </w:r>
          </w:p>
        </w:tc>
        <w:tc>
          <w:tcPr>
            <w:tcW w:w="224" w:type="pct"/>
            <w:tcBorders>
              <w:top w:val="nil"/>
              <w:left w:val="nil"/>
              <w:bottom w:val="single" w:sz="4" w:space="0" w:color="auto"/>
              <w:right w:val="nil"/>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n</w:t>
            </w:r>
          </w:p>
        </w:tc>
        <w:tc>
          <w:tcPr>
            <w:tcW w:w="455" w:type="pct"/>
            <w:tcBorders>
              <w:top w:val="nil"/>
              <w:left w:val="nil"/>
              <w:bottom w:val="single" w:sz="4" w:space="0" w:color="auto"/>
              <w:right w:val="nil"/>
            </w:tcBorders>
            <w:shd w:val="clear" w:color="000000" w:fill="4F81BD"/>
            <w:noWrap/>
            <w:vAlign w:val="center"/>
            <w:hideMark/>
          </w:tcPr>
          <w:p w:rsidR="003C3AD0" w:rsidRPr="00FD45D3" w:rsidRDefault="003C3AD0" w:rsidP="005D48A0">
            <w:pPr>
              <w:spacing w:before="0" w:after="0"/>
              <w:jc w:val="center"/>
              <w:rPr>
                <w:b/>
                <w:bCs/>
                <w:color w:val="FFFFFF"/>
              </w:rPr>
            </w:pPr>
            <w:r w:rsidRPr="00FD45D3">
              <w:rPr>
                <w:b/>
                <w:bCs/>
                <w:color w:val="FFFFFF"/>
              </w:rPr>
              <w:t>%</w:t>
            </w:r>
          </w:p>
        </w:tc>
        <w:tc>
          <w:tcPr>
            <w:tcW w:w="500" w:type="pct"/>
            <w:tcBorders>
              <w:top w:val="nil"/>
              <w:left w:val="nil"/>
              <w:bottom w:val="single" w:sz="4" w:space="0" w:color="auto"/>
              <w:right w:val="single" w:sz="4" w:space="0" w:color="auto"/>
            </w:tcBorders>
            <w:shd w:val="clear" w:color="000000" w:fill="4F81BD"/>
            <w:vAlign w:val="center"/>
            <w:hideMark/>
          </w:tcPr>
          <w:p w:rsidR="003C3AD0" w:rsidRPr="00FD45D3" w:rsidRDefault="003C3AD0" w:rsidP="005D48A0">
            <w:pPr>
              <w:spacing w:before="0" w:after="0"/>
              <w:jc w:val="center"/>
              <w:rPr>
                <w:b/>
                <w:bCs/>
                <w:color w:val="FFFFFF"/>
              </w:rPr>
            </w:pPr>
            <w:r w:rsidRPr="00FD45D3">
              <w:rPr>
                <w:b/>
                <w:bCs/>
                <w:color w:val="FFFFFF"/>
              </w:rPr>
              <w:t>Rate*</w:t>
            </w:r>
          </w:p>
        </w:tc>
      </w:tr>
      <w:tr w:rsidR="003C3AD0" w:rsidRPr="00FD45D3" w:rsidTr="002F601A">
        <w:trPr>
          <w:trHeight w:val="20"/>
        </w:trPr>
        <w:tc>
          <w:tcPr>
            <w:tcW w:w="1486" w:type="pct"/>
            <w:tcBorders>
              <w:top w:val="nil"/>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rPr>
                <w:b/>
                <w:bCs/>
              </w:rPr>
            </w:pPr>
            <w:r w:rsidRPr="00FD45D3">
              <w:rPr>
                <w:b/>
                <w:bCs/>
              </w:rPr>
              <w:t>County at Diagnosis</w:t>
            </w:r>
          </w:p>
        </w:tc>
        <w:tc>
          <w:tcPr>
            <w:tcW w:w="278" w:type="pct"/>
            <w:tcBorders>
              <w:top w:val="nil"/>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398" w:type="pct"/>
            <w:tcBorders>
              <w:top w:val="nil"/>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93" w:type="pct"/>
            <w:tcBorders>
              <w:top w:val="nil"/>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278" w:type="pct"/>
            <w:tcBorders>
              <w:top w:val="nil"/>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14" w:type="pct"/>
            <w:tcBorders>
              <w:top w:val="nil"/>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75" w:type="pct"/>
            <w:tcBorders>
              <w:top w:val="nil"/>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224" w:type="pct"/>
            <w:tcBorders>
              <w:top w:val="nil"/>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55" w:type="pct"/>
            <w:tcBorders>
              <w:top w:val="nil"/>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500" w:type="pct"/>
            <w:tcBorders>
              <w:top w:val="nil"/>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Clark County</w:t>
            </w:r>
          </w:p>
        </w:tc>
        <w:tc>
          <w:tcPr>
            <w:tcW w:w="278"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108</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90%</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5.2</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90</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90%</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8.5</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18</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90%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1.8</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Washoe County</w:t>
            </w:r>
          </w:p>
        </w:tc>
        <w:tc>
          <w:tcPr>
            <w:tcW w:w="278"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9</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8%</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8</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8%</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All Other C</w:t>
            </w:r>
            <w:r w:rsidR="006876F3">
              <w:rPr>
                <w:color w:val="000000"/>
              </w:rPr>
              <w:t>ounties</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rPr>
                <w:b/>
                <w:bCs/>
              </w:rPr>
            </w:pPr>
            <w:r w:rsidRPr="00FD45D3">
              <w:rPr>
                <w:b/>
                <w:bCs/>
              </w:rPr>
              <w:t>Race/Ethnicity</w:t>
            </w:r>
          </w:p>
        </w:tc>
        <w:tc>
          <w:tcPr>
            <w:tcW w:w="278" w:type="pct"/>
            <w:tcBorders>
              <w:top w:val="nil"/>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398"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93" w:type="pct"/>
            <w:tcBorders>
              <w:top w:val="nil"/>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278"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14"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75" w:type="pct"/>
            <w:tcBorders>
              <w:top w:val="nil"/>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224" w:type="pct"/>
            <w:tcBorders>
              <w:top w:val="single" w:sz="4" w:space="0" w:color="auto"/>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55"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500" w:type="pct"/>
            <w:tcBorders>
              <w:top w:val="nil"/>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White, non-Hispanic</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52</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43%</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2.7</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46</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46%</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4.7</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6</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Black, non-Hispanic</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38</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32%</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19.8</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26</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26%</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27.1</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12</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60%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12.8</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Hispanic</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23</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19%</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4.2</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21</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21%</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7.4</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Asian/Hawaiian/Pacific Islander</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0.0</w:t>
            </w:r>
          </w:p>
        </w:tc>
      </w:tr>
      <w:tr w:rsidR="003C3AD0" w:rsidRPr="00FD45D3" w:rsidTr="002F601A">
        <w:trPr>
          <w:trHeight w:val="20"/>
        </w:trPr>
        <w:tc>
          <w:tcPr>
            <w:tcW w:w="1486"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American Indian/Alaska Native</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w:t>
            </w:r>
          </w:p>
        </w:tc>
        <w:tc>
          <w:tcPr>
            <w:tcW w:w="39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7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w:t>
            </w:r>
          </w:p>
        </w:tc>
        <w:tc>
          <w:tcPr>
            <w:tcW w:w="414"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24"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55"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0.0</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Multi-race/Other</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NA</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7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NA</w:t>
            </w:r>
          </w:p>
        </w:tc>
        <w:tc>
          <w:tcPr>
            <w:tcW w:w="224"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500" w:type="pct"/>
            <w:tcBorders>
              <w:top w:val="nil"/>
              <w:left w:val="nil"/>
              <w:bottom w:val="nil"/>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NA</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rPr>
                <w:b/>
                <w:bCs/>
              </w:rPr>
            </w:pPr>
            <w:r w:rsidRPr="00FD45D3">
              <w:rPr>
                <w:b/>
                <w:bCs/>
              </w:rPr>
              <w:t>Age at End of Year</w:t>
            </w:r>
          </w:p>
        </w:tc>
        <w:tc>
          <w:tcPr>
            <w:tcW w:w="278" w:type="pct"/>
            <w:tcBorders>
              <w:top w:val="nil"/>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398"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93" w:type="pct"/>
            <w:tcBorders>
              <w:top w:val="nil"/>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278"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14"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75"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224" w:type="pct"/>
            <w:tcBorders>
              <w:top w:val="single" w:sz="4" w:space="0" w:color="auto"/>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455"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c>
          <w:tcPr>
            <w:tcW w:w="500" w:type="pct"/>
            <w:tcBorders>
              <w:top w:val="single" w:sz="4" w:space="0" w:color="auto"/>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 </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&lt; 13</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0.0</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0.0</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0.0</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13 to 24</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25 to 34</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29</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24%</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7.4</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24</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24%</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11.8</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25%</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35 to 44</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32</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27%</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8.5</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26</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26%</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13.3</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6</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45 to 54</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30</w:t>
            </w:r>
          </w:p>
        </w:tc>
        <w:tc>
          <w:tcPr>
            <w:tcW w:w="39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25%</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8.0</w:t>
            </w:r>
          </w:p>
        </w:tc>
        <w:tc>
          <w:tcPr>
            <w:tcW w:w="27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26</w:t>
            </w:r>
          </w:p>
        </w:tc>
        <w:tc>
          <w:tcPr>
            <w:tcW w:w="414"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26%</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13.4</w:t>
            </w:r>
          </w:p>
        </w:tc>
        <w:tc>
          <w:tcPr>
            <w:tcW w:w="224"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w:t>
            </w:r>
          </w:p>
        </w:tc>
        <w:tc>
          <w:tcPr>
            <w:tcW w:w="455"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55 to 64</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18</w:t>
            </w:r>
          </w:p>
        </w:tc>
        <w:tc>
          <w:tcPr>
            <w:tcW w:w="39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15%</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5.6</w:t>
            </w:r>
          </w:p>
        </w:tc>
        <w:tc>
          <w:tcPr>
            <w:tcW w:w="27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14</w:t>
            </w:r>
          </w:p>
        </w:tc>
        <w:tc>
          <w:tcPr>
            <w:tcW w:w="414"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14%</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8.9</w:t>
            </w:r>
          </w:p>
        </w:tc>
        <w:tc>
          <w:tcPr>
            <w:tcW w:w="224"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4</w:t>
            </w:r>
          </w:p>
        </w:tc>
        <w:tc>
          <w:tcPr>
            <w:tcW w:w="455"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r>
      <w:tr w:rsidR="003C3AD0" w:rsidRPr="00FD45D3" w:rsidTr="002F601A">
        <w:trPr>
          <w:trHeight w:val="20"/>
        </w:trPr>
        <w:tc>
          <w:tcPr>
            <w:tcW w:w="1486" w:type="pct"/>
            <w:tcBorders>
              <w:top w:val="nil"/>
              <w:left w:val="single" w:sz="4" w:space="0" w:color="auto"/>
              <w:bottom w:val="nil"/>
              <w:right w:val="nil"/>
            </w:tcBorders>
            <w:shd w:val="clear" w:color="000000" w:fill="FFFFFF"/>
            <w:noWrap/>
            <w:vAlign w:val="center"/>
            <w:hideMark/>
          </w:tcPr>
          <w:p w:rsidR="003C3AD0" w:rsidRPr="00FD45D3" w:rsidRDefault="003C3AD0" w:rsidP="005D48A0">
            <w:pPr>
              <w:spacing w:before="0" w:after="0"/>
              <w:rPr>
                <w:color w:val="000000"/>
              </w:rPr>
            </w:pPr>
            <w:r w:rsidRPr="00FD45D3">
              <w:rPr>
                <w:color w:val="000000"/>
              </w:rPr>
              <w:t>65 +</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6</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5%</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6</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6%</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0.0</w:t>
            </w:r>
          </w:p>
        </w:tc>
      </w:tr>
      <w:tr w:rsidR="003C3AD0" w:rsidRPr="00FD45D3" w:rsidTr="002F601A">
        <w:trPr>
          <w:trHeight w:val="20"/>
        </w:trPr>
        <w:tc>
          <w:tcPr>
            <w:tcW w:w="1486" w:type="pct"/>
            <w:tcBorders>
              <w:top w:val="single" w:sz="4" w:space="0" w:color="auto"/>
              <w:left w:val="single" w:sz="4" w:space="0" w:color="auto"/>
              <w:bottom w:val="single" w:sz="4" w:space="0" w:color="auto"/>
              <w:right w:val="nil"/>
            </w:tcBorders>
            <w:shd w:val="clear" w:color="000000" w:fill="D9D9D9"/>
            <w:vAlign w:val="center"/>
            <w:hideMark/>
          </w:tcPr>
          <w:p w:rsidR="003C3AD0" w:rsidRPr="00FD45D3" w:rsidRDefault="003C3AD0" w:rsidP="005D48A0">
            <w:pPr>
              <w:spacing w:before="0" w:after="0"/>
              <w:rPr>
                <w:b/>
                <w:bCs/>
              </w:rPr>
            </w:pPr>
            <w:r w:rsidRPr="00FD45D3">
              <w:rPr>
                <w:b/>
                <w:bCs/>
              </w:rPr>
              <w:t>Transmission Category</w:t>
            </w:r>
          </w:p>
        </w:tc>
        <w:tc>
          <w:tcPr>
            <w:tcW w:w="278" w:type="pct"/>
            <w:tcBorders>
              <w:top w:val="nil"/>
              <w:left w:val="single" w:sz="4" w:space="0" w:color="auto"/>
              <w:bottom w:val="nil"/>
              <w:right w:val="nil"/>
            </w:tcBorders>
            <w:shd w:val="clear" w:color="000000" w:fill="D9D9D9"/>
            <w:noWrap/>
            <w:vAlign w:val="center"/>
            <w:hideMark/>
          </w:tcPr>
          <w:p w:rsidR="003C3AD0" w:rsidRPr="00FD45D3" w:rsidRDefault="003C3AD0" w:rsidP="005D48A0">
            <w:pPr>
              <w:spacing w:before="0" w:after="0"/>
              <w:jc w:val="right"/>
            </w:pPr>
            <w:r w:rsidRPr="00FD45D3">
              <w:t> </w:t>
            </w:r>
          </w:p>
        </w:tc>
        <w:tc>
          <w:tcPr>
            <w:tcW w:w="398" w:type="pct"/>
            <w:tcBorders>
              <w:top w:val="single" w:sz="4" w:space="0" w:color="auto"/>
              <w:left w:val="nil"/>
              <w:bottom w:val="nil"/>
              <w:right w:val="nil"/>
            </w:tcBorders>
            <w:shd w:val="clear" w:color="000000" w:fill="D9D9D9"/>
            <w:noWrap/>
            <w:vAlign w:val="center"/>
            <w:hideMark/>
          </w:tcPr>
          <w:p w:rsidR="003C3AD0" w:rsidRPr="00FD45D3" w:rsidRDefault="003C3AD0" w:rsidP="005D48A0">
            <w:pPr>
              <w:spacing w:before="0" w:after="0"/>
              <w:jc w:val="right"/>
            </w:pPr>
            <w:r w:rsidRPr="00FD45D3">
              <w:t> </w:t>
            </w:r>
          </w:p>
        </w:tc>
        <w:tc>
          <w:tcPr>
            <w:tcW w:w="493" w:type="pct"/>
            <w:tcBorders>
              <w:top w:val="nil"/>
              <w:left w:val="nil"/>
              <w:bottom w:val="nil"/>
              <w:right w:val="single" w:sz="4" w:space="0" w:color="auto"/>
            </w:tcBorders>
            <w:shd w:val="clear" w:color="000000" w:fill="D9D9D9"/>
            <w:noWrap/>
            <w:vAlign w:val="center"/>
            <w:hideMark/>
          </w:tcPr>
          <w:p w:rsidR="003C3AD0" w:rsidRPr="00FD45D3" w:rsidRDefault="003C3AD0" w:rsidP="005D48A0">
            <w:pPr>
              <w:spacing w:before="0" w:after="0"/>
              <w:jc w:val="right"/>
            </w:pPr>
            <w:r w:rsidRPr="00FD45D3">
              <w:t> </w:t>
            </w:r>
          </w:p>
        </w:tc>
        <w:tc>
          <w:tcPr>
            <w:tcW w:w="278" w:type="pct"/>
            <w:tcBorders>
              <w:top w:val="single" w:sz="4" w:space="0" w:color="auto"/>
              <w:left w:val="nil"/>
              <w:bottom w:val="nil"/>
              <w:right w:val="nil"/>
            </w:tcBorders>
            <w:shd w:val="clear" w:color="000000" w:fill="D9D9D9"/>
            <w:noWrap/>
            <w:vAlign w:val="center"/>
            <w:hideMark/>
          </w:tcPr>
          <w:p w:rsidR="003C3AD0" w:rsidRPr="00FD45D3" w:rsidRDefault="003C3AD0" w:rsidP="005D48A0">
            <w:pPr>
              <w:spacing w:before="0" w:after="0"/>
              <w:jc w:val="right"/>
            </w:pPr>
            <w:r w:rsidRPr="00FD45D3">
              <w:t> </w:t>
            </w:r>
          </w:p>
        </w:tc>
        <w:tc>
          <w:tcPr>
            <w:tcW w:w="414" w:type="pct"/>
            <w:tcBorders>
              <w:top w:val="single" w:sz="4" w:space="0" w:color="auto"/>
              <w:left w:val="nil"/>
              <w:bottom w:val="nil"/>
              <w:right w:val="nil"/>
            </w:tcBorders>
            <w:shd w:val="clear" w:color="000000" w:fill="D9D9D9"/>
            <w:noWrap/>
            <w:vAlign w:val="center"/>
            <w:hideMark/>
          </w:tcPr>
          <w:p w:rsidR="003C3AD0" w:rsidRPr="00FD45D3" w:rsidRDefault="003C3AD0" w:rsidP="005D48A0">
            <w:pPr>
              <w:spacing w:before="0" w:after="0"/>
              <w:jc w:val="right"/>
            </w:pPr>
            <w:r w:rsidRPr="00FD45D3">
              <w:t> </w:t>
            </w:r>
          </w:p>
        </w:tc>
        <w:tc>
          <w:tcPr>
            <w:tcW w:w="475" w:type="pct"/>
            <w:tcBorders>
              <w:top w:val="nil"/>
              <w:left w:val="nil"/>
              <w:bottom w:val="nil"/>
              <w:right w:val="single" w:sz="4" w:space="0" w:color="auto"/>
            </w:tcBorders>
            <w:shd w:val="clear" w:color="000000" w:fill="D9D9D9"/>
            <w:noWrap/>
            <w:vAlign w:val="center"/>
            <w:hideMark/>
          </w:tcPr>
          <w:p w:rsidR="003C3AD0" w:rsidRPr="00FD45D3" w:rsidRDefault="003C3AD0" w:rsidP="005D48A0">
            <w:pPr>
              <w:spacing w:before="0" w:after="0"/>
              <w:jc w:val="right"/>
            </w:pPr>
            <w:r w:rsidRPr="00FD45D3">
              <w:t> </w:t>
            </w:r>
          </w:p>
        </w:tc>
        <w:tc>
          <w:tcPr>
            <w:tcW w:w="224" w:type="pct"/>
            <w:tcBorders>
              <w:top w:val="single" w:sz="4" w:space="0" w:color="auto"/>
              <w:left w:val="nil"/>
              <w:bottom w:val="nil"/>
              <w:right w:val="nil"/>
            </w:tcBorders>
            <w:shd w:val="clear" w:color="000000" w:fill="D9D9D9"/>
            <w:noWrap/>
            <w:vAlign w:val="center"/>
            <w:hideMark/>
          </w:tcPr>
          <w:p w:rsidR="003C3AD0" w:rsidRPr="00FD45D3" w:rsidRDefault="003C3AD0" w:rsidP="005D48A0">
            <w:pPr>
              <w:spacing w:before="0" w:after="0"/>
              <w:jc w:val="right"/>
            </w:pPr>
            <w:r w:rsidRPr="00FD45D3">
              <w:t> </w:t>
            </w:r>
          </w:p>
        </w:tc>
        <w:tc>
          <w:tcPr>
            <w:tcW w:w="455" w:type="pct"/>
            <w:tcBorders>
              <w:top w:val="single" w:sz="4" w:space="0" w:color="auto"/>
              <w:left w:val="nil"/>
              <w:bottom w:val="nil"/>
              <w:right w:val="nil"/>
            </w:tcBorders>
            <w:shd w:val="clear" w:color="000000" w:fill="D9D9D9"/>
            <w:noWrap/>
            <w:vAlign w:val="center"/>
            <w:hideMark/>
          </w:tcPr>
          <w:p w:rsidR="003C3AD0" w:rsidRPr="00FD45D3" w:rsidRDefault="003C3AD0" w:rsidP="005D48A0">
            <w:pPr>
              <w:spacing w:before="0" w:after="0"/>
              <w:jc w:val="right"/>
            </w:pPr>
            <w:r w:rsidRPr="00FD45D3">
              <w:t> </w:t>
            </w:r>
          </w:p>
        </w:tc>
        <w:tc>
          <w:tcPr>
            <w:tcW w:w="500" w:type="pct"/>
            <w:tcBorders>
              <w:top w:val="nil"/>
              <w:left w:val="nil"/>
              <w:bottom w:val="nil"/>
              <w:right w:val="single" w:sz="4" w:space="0" w:color="auto"/>
            </w:tcBorders>
            <w:shd w:val="clear" w:color="000000" w:fill="D9D9D9"/>
            <w:noWrap/>
            <w:vAlign w:val="center"/>
            <w:hideMark/>
          </w:tcPr>
          <w:p w:rsidR="003C3AD0" w:rsidRPr="00FD45D3" w:rsidRDefault="003C3AD0" w:rsidP="005D48A0">
            <w:pPr>
              <w:spacing w:before="0" w:after="0"/>
              <w:jc w:val="right"/>
            </w:pPr>
            <w:r w:rsidRPr="00FD45D3">
              <w:t> </w:t>
            </w:r>
          </w:p>
        </w:tc>
      </w:tr>
      <w:tr w:rsidR="003C3AD0" w:rsidRPr="00FD45D3" w:rsidTr="002F601A">
        <w:trPr>
          <w:trHeight w:val="20"/>
        </w:trPr>
        <w:tc>
          <w:tcPr>
            <w:tcW w:w="1486" w:type="pct"/>
            <w:tcBorders>
              <w:top w:val="nil"/>
              <w:left w:val="single" w:sz="4" w:space="0" w:color="auto"/>
              <w:bottom w:val="single" w:sz="4" w:space="0" w:color="auto"/>
              <w:right w:val="nil"/>
            </w:tcBorders>
            <w:shd w:val="clear" w:color="000000" w:fill="FFFFFF"/>
            <w:vAlign w:val="center"/>
            <w:hideMark/>
          </w:tcPr>
          <w:p w:rsidR="003C3AD0" w:rsidRPr="00FD45D3" w:rsidRDefault="003C3AD0" w:rsidP="005D48A0">
            <w:pPr>
              <w:spacing w:before="0" w:after="0"/>
            </w:pPr>
            <w:r w:rsidRPr="00FD45D3">
              <w:t>MSM</w:t>
            </w:r>
          </w:p>
        </w:tc>
        <w:tc>
          <w:tcPr>
            <w:tcW w:w="278" w:type="pct"/>
            <w:tcBorders>
              <w:top w:val="single" w:sz="4" w:space="0" w:color="auto"/>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63</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53%</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63</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63%</w:t>
            </w:r>
          </w:p>
        </w:tc>
        <w:tc>
          <w:tcPr>
            <w:tcW w:w="475"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r>
      <w:tr w:rsidR="003C3AD0" w:rsidRPr="00FD45D3" w:rsidTr="002F601A">
        <w:trPr>
          <w:trHeight w:val="20"/>
        </w:trPr>
        <w:tc>
          <w:tcPr>
            <w:tcW w:w="1486" w:type="pct"/>
            <w:tcBorders>
              <w:top w:val="nil"/>
              <w:left w:val="single" w:sz="4" w:space="0" w:color="auto"/>
              <w:bottom w:val="single" w:sz="4" w:space="0" w:color="auto"/>
              <w:right w:val="single" w:sz="4" w:space="0" w:color="auto"/>
            </w:tcBorders>
            <w:shd w:val="clear" w:color="000000" w:fill="FFFFFF"/>
            <w:vAlign w:val="center"/>
            <w:hideMark/>
          </w:tcPr>
          <w:p w:rsidR="003C3AD0" w:rsidRPr="00FD45D3" w:rsidRDefault="003C3AD0" w:rsidP="005D48A0">
            <w:pPr>
              <w:spacing w:before="0" w:after="0"/>
            </w:pPr>
            <w:r w:rsidRPr="00FD45D3">
              <w:t>IDU</w:t>
            </w:r>
          </w:p>
        </w:tc>
        <w:tc>
          <w:tcPr>
            <w:tcW w:w="27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26</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22%</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19</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19%</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7</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35%</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r>
      <w:tr w:rsidR="003C3AD0" w:rsidRPr="00FD45D3" w:rsidTr="002F601A">
        <w:trPr>
          <w:trHeight w:val="20"/>
        </w:trPr>
        <w:tc>
          <w:tcPr>
            <w:tcW w:w="1486" w:type="pct"/>
            <w:tcBorders>
              <w:top w:val="nil"/>
              <w:left w:val="single" w:sz="4" w:space="0" w:color="auto"/>
              <w:bottom w:val="single" w:sz="4" w:space="0" w:color="auto"/>
              <w:right w:val="nil"/>
            </w:tcBorders>
            <w:shd w:val="clear" w:color="000000" w:fill="FFFFFF"/>
            <w:vAlign w:val="center"/>
            <w:hideMark/>
          </w:tcPr>
          <w:p w:rsidR="003C3AD0" w:rsidRPr="00FD45D3" w:rsidRDefault="003C3AD0" w:rsidP="005D48A0">
            <w:pPr>
              <w:spacing w:before="0" w:after="0"/>
            </w:pPr>
            <w:r w:rsidRPr="00FD45D3">
              <w:t>MSM+IDU</w:t>
            </w:r>
          </w:p>
        </w:tc>
        <w:tc>
          <w:tcPr>
            <w:tcW w:w="278" w:type="pct"/>
            <w:tcBorders>
              <w:top w:val="nil"/>
              <w:left w:val="single" w:sz="4" w:space="0" w:color="auto"/>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11</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9%</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11</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11%</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r>
      <w:tr w:rsidR="003C3AD0" w:rsidRPr="00FD45D3" w:rsidTr="002F601A">
        <w:trPr>
          <w:trHeight w:val="20"/>
        </w:trPr>
        <w:tc>
          <w:tcPr>
            <w:tcW w:w="1486" w:type="pct"/>
            <w:tcBorders>
              <w:top w:val="nil"/>
              <w:left w:val="single" w:sz="4" w:space="0" w:color="auto"/>
              <w:bottom w:val="single" w:sz="4" w:space="0" w:color="auto"/>
              <w:right w:val="single" w:sz="4" w:space="0" w:color="auto"/>
            </w:tcBorders>
            <w:shd w:val="clear" w:color="000000" w:fill="FFFFFF"/>
            <w:vAlign w:val="center"/>
            <w:hideMark/>
          </w:tcPr>
          <w:p w:rsidR="003C3AD0" w:rsidRPr="00FD45D3" w:rsidRDefault="003C3AD0" w:rsidP="005D48A0">
            <w:pPr>
              <w:spacing w:before="0" w:after="0"/>
            </w:pPr>
            <w:r w:rsidRPr="00FD45D3">
              <w:t>Heterosexual contact</w:t>
            </w:r>
          </w:p>
        </w:tc>
        <w:tc>
          <w:tcPr>
            <w:tcW w:w="27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10</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8%</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3</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3%</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7</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35%</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r>
      <w:tr w:rsidR="003C3AD0" w:rsidRPr="00FD45D3" w:rsidTr="002F601A">
        <w:trPr>
          <w:trHeight w:val="20"/>
        </w:trPr>
        <w:tc>
          <w:tcPr>
            <w:tcW w:w="1486" w:type="pct"/>
            <w:tcBorders>
              <w:top w:val="nil"/>
              <w:left w:val="single" w:sz="4" w:space="0" w:color="auto"/>
              <w:bottom w:val="single" w:sz="4" w:space="0" w:color="auto"/>
              <w:right w:val="single" w:sz="4" w:space="0" w:color="auto"/>
            </w:tcBorders>
            <w:shd w:val="clear" w:color="000000" w:fill="FFFFFF"/>
            <w:vAlign w:val="center"/>
            <w:hideMark/>
          </w:tcPr>
          <w:p w:rsidR="003C3AD0" w:rsidRPr="00FD45D3" w:rsidRDefault="003C3AD0" w:rsidP="005D48A0">
            <w:pPr>
              <w:spacing w:before="0" w:after="0"/>
            </w:pPr>
            <w:r w:rsidRPr="00FD45D3">
              <w:t>Perinatal exposure</w:t>
            </w:r>
          </w:p>
        </w:tc>
        <w:tc>
          <w:tcPr>
            <w:tcW w:w="27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0</w:t>
            </w:r>
          </w:p>
        </w:tc>
        <w:tc>
          <w:tcPr>
            <w:tcW w:w="39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78"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41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24"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455" w:type="pct"/>
            <w:tcBorders>
              <w:top w:val="single" w:sz="4" w:space="0" w:color="auto"/>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pPr>
            <w:r w:rsidRPr="00FD45D3">
              <w:t>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r>
      <w:tr w:rsidR="003C3AD0" w:rsidRPr="00FD45D3" w:rsidTr="002F601A">
        <w:trPr>
          <w:trHeight w:val="20"/>
        </w:trPr>
        <w:tc>
          <w:tcPr>
            <w:tcW w:w="1486" w:type="pct"/>
            <w:tcBorders>
              <w:top w:val="nil"/>
              <w:left w:val="single" w:sz="4" w:space="0" w:color="auto"/>
              <w:bottom w:val="single" w:sz="4" w:space="0" w:color="auto"/>
              <w:right w:val="single" w:sz="4" w:space="0" w:color="auto"/>
            </w:tcBorders>
            <w:shd w:val="clear" w:color="000000" w:fill="FFFFFF"/>
            <w:vAlign w:val="center"/>
            <w:hideMark/>
          </w:tcPr>
          <w:p w:rsidR="003C3AD0" w:rsidRPr="00FD45D3" w:rsidRDefault="003C3AD0" w:rsidP="005D48A0">
            <w:pPr>
              <w:spacing w:before="0" w:after="0"/>
            </w:pPr>
            <w:r w:rsidRPr="00FD45D3">
              <w:t>NIR/NRR</w:t>
            </w:r>
          </w:p>
        </w:tc>
        <w:tc>
          <w:tcPr>
            <w:tcW w:w="278" w:type="pct"/>
            <w:tcBorders>
              <w:top w:val="nil"/>
              <w:left w:val="nil"/>
              <w:bottom w:val="single" w:sz="4" w:space="0" w:color="auto"/>
              <w:right w:val="nil"/>
            </w:tcBorders>
            <w:shd w:val="clear" w:color="000000" w:fill="FFFFFF"/>
            <w:noWrap/>
            <w:vAlign w:val="center"/>
            <w:hideMark/>
          </w:tcPr>
          <w:p w:rsidR="003C3AD0" w:rsidRPr="00FD45D3" w:rsidRDefault="003C3AD0" w:rsidP="005D48A0">
            <w:pPr>
              <w:spacing w:before="0" w:after="0"/>
              <w:jc w:val="right"/>
              <w:rPr>
                <w:color w:val="000000"/>
              </w:rPr>
            </w:pPr>
            <w:r w:rsidRPr="00FD45D3">
              <w:rPr>
                <w:color w:val="000000"/>
              </w:rPr>
              <w:t>10</w:t>
            </w:r>
          </w:p>
        </w:tc>
        <w:tc>
          <w:tcPr>
            <w:tcW w:w="39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8%</w:t>
            </w:r>
          </w:p>
        </w:tc>
        <w:tc>
          <w:tcPr>
            <w:tcW w:w="493"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78"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4</w:t>
            </w:r>
          </w:p>
        </w:tc>
        <w:tc>
          <w:tcPr>
            <w:tcW w:w="41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4%</w:t>
            </w:r>
          </w:p>
        </w:tc>
        <w:tc>
          <w:tcPr>
            <w:tcW w:w="475"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c>
          <w:tcPr>
            <w:tcW w:w="224"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6</w:t>
            </w:r>
          </w:p>
        </w:tc>
        <w:tc>
          <w:tcPr>
            <w:tcW w:w="455" w:type="pct"/>
            <w:tcBorders>
              <w:top w:val="nil"/>
              <w:left w:val="nil"/>
              <w:bottom w:val="nil"/>
              <w:right w:val="nil"/>
            </w:tcBorders>
            <w:shd w:val="clear" w:color="000000" w:fill="FFFFFF"/>
            <w:noWrap/>
            <w:vAlign w:val="center"/>
            <w:hideMark/>
          </w:tcPr>
          <w:p w:rsidR="003C3AD0" w:rsidRPr="00FD45D3" w:rsidRDefault="003C3AD0" w:rsidP="005D48A0">
            <w:pPr>
              <w:spacing w:before="0" w:after="0"/>
              <w:jc w:val="right"/>
            </w:pPr>
            <w:r w:rsidRPr="00FD45D3">
              <w:t>30%</w:t>
            </w:r>
          </w:p>
        </w:tc>
        <w:tc>
          <w:tcPr>
            <w:tcW w:w="500" w:type="pct"/>
            <w:tcBorders>
              <w:top w:val="nil"/>
              <w:left w:val="nil"/>
              <w:bottom w:val="single" w:sz="4" w:space="0" w:color="auto"/>
              <w:right w:val="single" w:sz="4" w:space="0" w:color="auto"/>
            </w:tcBorders>
            <w:shd w:val="clear" w:color="000000" w:fill="FFFFFF"/>
            <w:noWrap/>
            <w:vAlign w:val="center"/>
            <w:hideMark/>
          </w:tcPr>
          <w:p w:rsidR="003C3AD0" w:rsidRPr="00FD45D3" w:rsidRDefault="003C3AD0" w:rsidP="005D48A0">
            <w:pPr>
              <w:spacing w:before="0" w:after="0"/>
              <w:jc w:val="right"/>
            </w:pPr>
            <w:r w:rsidRPr="00FD45D3">
              <w:t>NA</w:t>
            </w:r>
          </w:p>
        </w:tc>
      </w:tr>
      <w:tr w:rsidR="003C3AD0" w:rsidRPr="00FD45D3" w:rsidTr="002F601A">
        <w:trPr>
          <w:trHeight w:val="20"/>
        </w:trPr>
        <w:tc>
          <w:tcPr>
            <w:tcW w:w="1486" w:type="pct"/>
            <w:tcBorders>
              <w:top w:val="nil"/>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rPr>
                <w:b/>
                <w:bCs/>
              </w:rPr>
            </w:pPr>
            <w:r w:rsidRPr="00FD45D3">
              <w:rPr>
                <w:b/>
                <w:bCs/>
              </w:rPr>
              <w:t>Total</w:t>
            </w:r>
          </w:p>
        </w:tc>
        <w:tc>
          <w:tcPr>
            <w:tcW w:w="278" w:type="pct"/>
            <w:tcBorders>
              <w:top w:val="nil"/>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120</w:t>
            </w:r>
          </w:p>
        </w:tc>
        <w:tc>
          <w:tcPr>
            <w:tcW w:w="398"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100%</w:t>
            </w:r>
          </w:p>
        </w:tc>
        <w:tc>
          <w:tcPr>
            <w:tcW w:w="493" w:type="pct"/>
            <w:tcBorders>
              <w:top w:val="nil"/>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4.5</w:t>
            </w:r>
          </w:p>
        </w:tc>
        <w:tc>
          <w:tcPr>
            <w:tcW w:w="278"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100</w:t>
            </w:r>
          </w:p>
        </w:tc>
        <w:tc>
          <w:tcPr>
            <w:tcW w:w="414"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100%</w:t>
            </w:r>
          </w:p>
        </w:tc>
        <w:tc>
          <w:tcPr>
            <w:tcW w:w="475" w:type="pct"/>
            <w:tcBorders>
              <w:top w:val="nil"/>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3.7</w:t>
            </w:r>
          </w:p>
        </w:tc>
        <w:tc>
          <w:tcPr>
            <w:tcW w:w="224" w:type="pct"/>
            <w:tcBorders>
              <w:top w:val="single" w:sz="4" w:space="0" w:color="auto"/>
              <w:left w:val="single" w:sz="4" w:space="0" w:color="auto"/>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20</w:t>
            </w:r>
          </w:p>
        </w:tc>
        <w:tc>
          <w:tcPr>
            <w:tcW w:w="455" w:type="pct"/>
            <w:tcBorders>
              <w:top w:val="single" w:sz="4" w:space="0" w:color="auto"/>
              <w:left w:val="nil"/>
              <w:bottom w:val="single" w:sz="4" w:space="0" w:color="auto"/>
              <w:right w:val="nil"/>
            </w:tcBorders>
            <w:shd w:val="clear" w:color="000000" w:fill="D9D9D9"/>
            <w:noWrap/>
            <w:vAlign w:val="center"/>
            <w:hideMark/>
          </w:tcPr>
          <w:p w:rsidR="003C3AD0" w:rsidRPr="00FD45D3" w:rsidRDefault="003C3AD0" w:rsidP="005D48A0">
            <w:pPr>
              <w:spacing w:before="0" w:after="0"/>
              <w:jc w:val="right"/>
              <w:rPr>
                <w:b/>
                <w:bCs/>
              </w:rPr>
            </w:pPr>
            <w:r w:rsidRPr="00FD45D3">
              <w:rPr>
                <w:b/>
                <w:bCs/>
              </w:rPr>
              <w:t>100%</w:t>
            </w:r>
          </w:p>
        </w:tc>
        <w:tc>
          <w:tcPr>
            <w:tcW w:w="500" w:type="pct"/>
            <w:tcBorders>
              <w:top w:val="nil"/>
              <w:left w:val="nil"/>
              <w:bottom w:val="single" w:sz="4" w:space="0" w:color="auto"/>
              <w:right w:val="single" w:sz="4" w:space="0" w:color="auto"/>
            </w:tcBorders>
            <w:shd w:val="clear" w:color="000000" w:fill="D9D9D9"/>
            <w:noWrap/>
            <w:vAlign w:val="center"/>
            <w:hideMark/>
          </w:tcPr>
          <w:p w:rsidR="003C3AD0" w:rsidRPr="00FD45D3" w:rsidRDefault="003C3AD0" w:rsidP="005D48A0">
            <w:pPr>
              <w:spacing w:before="0" w:after="0"/>
              <w:jc w:val="right"/>
              <w:rPr>
                <w:b/>
                <w:bCs/>
              </w:rPr>
            </w:pPr>
            <w:r w:rsidRPr="00FD45D3">
              <w:rPr>
                <w:b/>
                <w:bCs/>
              </w:rPr>
              <w:t>0.8</w:t>
            </w:r>
          </w:p>
        </w:tc>
      </w:tr>
      <w:tr w:rsidR="003C3AD0" w:rsidRPr="00FD45D3" w:rsidTr="006876F3">
        <w:trPr>
          <w:trHeight w:val="20"/>
        </w:trPr>
        <w:tc>
          <w:tcPr>
            <w:tcW w:w="5000" w:type="pct"/>
            <w:gridSpan w:val="10"/>
            <w:tcBorders>
              <w:top w:val="single" w:sz="4" w:space="0" w:color="auto"/>
              <w:left w:val="nil"/>
              <w:bottom w:val="nil"/>
              <w:right w:val="nil"/>
            </w:tcBorders>
            <w:shd w:val="clear" w:color="000000" w:fill="FFFFFF"/>
            <w:vAlign w:val="bottom"/>
            <w:hideMark/>
          </w:tcPr>
          <w:p w:rsidR="003C3AD0" w:rsidRPr="00752497" w:rsidRDefault="003C3AD0" w:rsidP="005D48A0">
            <w:pPr>
              <w:spacing w:before="0" w:after="0"/>
              <w:rPr>
                <w:i/>
                <w:iCs/>
                <w:sz w:val="16"/>
                <w:szCs w:val="16"/>
              </w:rPr>
            </w:pPr>
            <w:r w:rsidRPr="00752497">
              <w:rPr>
                <w:i/>
                <w:iCs/>
                <w:sz w:val="16"/>
                <w:szCs w:val="16"/>
              </w:rPr>
              <w:t xml:space="preserve">Source: Nevada State Health Division HIV/AIDS Reporting System (eHARS), (March 2016) </w:t>
            </w:r>
          </w:p>
        </w:tc>
      </w:tr>
      <w:tr w:rsidR="003C3AD0" w:rsidRPr="00FD45D3" w:rsidTr="006876F3">
        <w:trPr>
          <w:trHeight w:val="20"/>
        </w:trPr>
        <w:tc>
          <w:tcPr>
            <w:tcW w:w="5000" w:type="pct"/>
            <w:gridSpan w:val="10"/>
            <w:tcBorders>
              <w:top w:val="nil"/>
              <w:left w:val="nil"/>
              <w:bottom w:val="nil"/>
              <w:right w:val="nil"/>
            </w:tcBorders>
            <w:shd w:val="clear" w:color="000000" w:fill="FFFFFF"/>
            <w:vAlign w:val="bottom"/>
            <w:hideMark/>
          </w:tcPr>
          <w:p w:rsidR="003C3AD0" w:rsidRPr="00752497" w:rsidRDefault="003C3AD0" w:rsidP="005D48A0">
            <w:pPr>
              <w:spacing w:before="0" w:after="0"/>
              <w:rPr>
                <w:i/>
                <w:iCs/>
                <w:color w:val="000000"/>
                <w:sz w:val="16"/>
                <w:szCs w:val="16"/>
              </w:rPr>
            </w:pPr>
            <w:r w:rsidRPr="00752497">
              <w:rPr>
                <w:i/>
                <w:iCs/>
                <w:color w:val="000000"/>
                <w:sz w:val="16"/>
                <w:szCs w:val="16"/>
              </w:rPr>
              <w:t>* Rates per 100,000 population were calculated using 2014 population projections from the Nevada State Demographer vintage 2015 data.</w:t>
            </w:r>
          </w:p>
        </w:tc>
      </w:tr>
    </w:tbl>
    <w:p w:rsidR="002F601A" w:rsidRDefault="002F601A" w:rsidP="002F601A">
      <w:pPr>
        <w:widowControl w:val="0"/>
        <w:spacing w:line="285" w:lineRule="auto"/>
        <w:jc w:val="both"/>
        <w:rPr>
          <w:color w:val="000000"/>
          <w:kern w:val="28"/>
          <w:sz w:val="22"/>
          <w:szCs w:val="22"/>
          <w14:cntxtAlts/>
        </w:rPr>
      </w:pPr>
    </w:p>
    <w:p w:rsidR="003C3AD0" w:rsidRDefault="003C3AD0" w:rsidP="00107A4C">
      <w:pPr>
        <w:pStyle w:val="Heading3"/>
      </w:pPr>
      <w:bookmarkStart w:id="33" w:name="_Toc461188576"/>
      <w:r>
        <w:lastRenderedPageBreak/>
        <w:t>Indicators of Risk for HIV Infection in Nevada</w:t>
      </w:r>
      <w:bookmarkEnd w:id="33"/>
    </w:p>
    <w:p w:rsidR="003C3AD0" w:rsidRPr="00107A4C" w:rsidRDefault="003C3AD0" w:rsidP="003317C9">
      <w:pPr>
        <w:pStyle w:val="ListParagraph"/>
        <w:widowControl w:val="0"/>
        <w:numPr>
          <w:ilvl w:val="0"/>
          <w:numId w:val="1"/>
        </w:numPr>
        <w:tabs>
          <w:tab w:val="left" w:pos="220"/>
          <w:tab w:val="left" w:pos="720"/>
        </w:tabs>
        <w:autoSpaceDE w:val="0"/>
        <w:autoSpaceDN w:val="0"/>
        <w:adjustRightInd w:val="0"/>
        <w:spacing w:before="120" w:after="0" w:line="240" w:lineRule="auto"/>
        <w:jc w:val="both"/>
        <w:rPr>
          <w:rFonts w:cs="Calibri Light"/>
          <w:i/>
          <w:sz w:val="22"/>
          <w:szCs w:val="22"/>
        </w:rPr>
      </w:pPr>
      <w:r w:rsidRPr="00107A4C">
        <w:rPr>
          <w:rFonts w:cs="Calibri Light"/>
          <w:i/>
          <w:sz w:val="22"/>
          <w:szCs w:val="22"/>
        </w:rPr>
        <w:t xml:space="preserve">Describe (table, graph, and/or narrative) the indicators of risk for HIV infection in the population covered by your service area using the following, as available in the jurisdiction: </w:t>
      </w:r>
      <w:r w:rsidRPr="00107A4C">
        <w:rPr>
          <w:rFonts w:ascii="MS Gothic" w:eastAsia="MS Gothic" w:hAnsi="MS Gothic" w:cs="MS Gothic" w:hint="eastAsia"/>
          <w:i/>
          <w:sz w:val="22"/>
          <w:szCs w:val="22"/>
        </w:rPr>
        <w:t> </w:t>
      </w:r>
    </w:p>
    <w:p w:rsidR="003C3AD0" w:rsidRDefault="003C3AD0" w:rsidP="003317C9">
      <w:pPr>
        <w:widowControl w:val="0"/>
        <w:numPr>
          <w:ilvl w:val="1"/>
          <w:numId w:val="1"/>
        </w:numPr>
        <w:tabs>
          <w:tab w:val="left" w:pos="220"/>
          <w:tab w:val="left" w:pos="720"/>
        </w:tabs>
        <w:autoSpaceDE w:val="0"/>
        <w:autoSpaceDN w:val="0"/>
        <w:adjustRightInd w:val="0"/>
        <w:spacing w:before="0" w:after="0" w:line="240" w:lineRule="auto"/>
        <w:jc w:val="both"/>
        <w:rPr>
          <w:rFonts w:cs="Calibri Light"/>
          <w:i/>
          <w:sz w:val="22"/>
          <w:szCs w:val="22"/>
        </w:rPr>
      </w:pPr>
      <w:r w:rsidRPr="00107A4C">
        <w:rPr>
          <w:rFonts w:cs="Calibri Light"/>
          <w:i/>
          <w:sz w:val="22"/>
          <w:szCs w:val="22"/>
        </w:rPr>
        <w:t xml:space="preserve">Behavioral surveillance data, including databases, such as National HIV Behavioral Surveillance System (NHBS), Youth Risk Behavioral Surveillance System (YRBSS), Behavioral Risk Factor Surveillance System (BRFSS) (e.g., patterns of, or deterrents to, HIV testing, substance use and needle sharing, sexual behavior, including unprotected sex, sexual orientation and gender identity, healthcare-seeking behavior, trauma or intimate partner violence, and adherence to prescribed antiretroviral therapies) </w:t>
      </w:r>
    </w:p>
    <w:p w:rsidR="003C3AD0" w:rsidRDefault="00F103A5" w:rsidP="00F103A5">
      <w:pPr>
        <w:pStyle w:val="Heading5"/>
      </w:pPr>
      <w:r>
        <w:t>Nevada Priority Populations</w:t>
      </w:r>
    </w:p>
    <w:p w:rsidR="00F103A5" w:rsidRDefault="00F103A5" w:rsidP="00F23788">
      <w:pPr>
        <w:widowControl w:val="0"/>
        <w:jc w:val="both"/>
        <w:rPr>
          <w:sz w:val="22"/>
          <w:szCs w:val="22"/>
        </w:rPr>
      </w:pPr>
      <w:r>
        <w:rPr>
          <w:sz w:val="22"/>
          <w:szCs w:val="22"/>
        </w:rPr>
        <w:t>Each year the Community Planning Groups determine the priority populations for HIV prevention in Nevada after reviewing current epidemiological data</w:t>
      </w:r>
      <w:r w:rsidR="00BE44FC">
        <w:rPr>
          <w:sz w:val="22"/>
          <w:szCs w:val="22"/>
        </w:rPr>
        <w:t xml:space="preserve"> and discussing rates and trends of HIV infection</w:t>
      </w:r>
      <w:r w:rsidR="00245E82">
        <w:rPr>
          <w:sz w:val="22"/>
          <w:szCs w:val="22"/>
        </w:rPr>
        <w:t xml:space="preserve"> in the state</w:t>
      </w:r>
      <w:r>
        <w:rPr>
          <w:sz w:val="22"/>
          <w:szCs w:val="22"/>
        </w:rPr>
        <w:t xml:space="preserve">. </w:t>
      </w:r>
      <w:r w:rsidR="00860889">
        <w:rPr>
          <w:sz w:val="22"/>
          <w:szCs w:val="22"/>
        </w:rPr>
        <w:t xml:space="preserve">MSM, HIV positive individuals, and </w:t>
      </w:r>
      <w:r w:rsidR="00BE44FC">
        <w:rPr>
          <w:sz w:val="22"/>
          <w:szCs w:val="22"/>
        </w:rPr>
        <w:t>y</w:t>
      </w:r>
      <w:r w:rsidR="00860889">
        <w:rPr>
          <w:sz w:val="22"/>
          <w:szCs w:val="22"/>
        </w:rPr>
        <w:t xml:space="preserve">outh/young adults (13-34 years) </w:t>
      </w:r>
      <w:r w:rsidR="00245E82">
        <w:rPr>
          <w:sz w:val="22"/>
          <w:szCs w:val="22"/>
        </w:rPr>
        <w:t>were determined to be</w:t>
      </w:r>
      <w:r w:rsidR="00860889">
        <w:rPr>
          <w:sz w:val="22"/>
          <w:szCs w:val="22"/>
        </w:rPr>
        <w:t xml:space="preserve"> priority populations in bo</w:t>
      </w:r>
      <w:r w:rsidR="00245E82">
        <w:rPr>
          <w:sz w:val="22"/>
          <w:szCs w:val="22"/>
        </w:rPr>
        <w:t>th Northern and Southern Nevada</w:t>
      </w:r>
      <w:r w:rsidR="00860889">
        <w:rPr>
          <w:sz w:val="22"/>
          <w:szCs w:val="22"/>
        </w:rPr>
        <w:t>. Across all priority populations, efforts will continue to emphasize minority populations disproportionately affect by HIV.</w:t>
      </w:r>
    </w:p>
    <w:p w:rsidR="00860889" w:rsidRPr="00860889" w:rsidRDefault="00860889" w:rsidP="00245E82">
      <w:pPr>
        <w:widowControl w:val="0"/>
        <w:spacing w:after="0"/>
        <w:jc w:val="center"/>
        <w:rPr>
          <w:b/>
          <w:sz w:val="22"/>
          <w:szCs w:val="22"/>
        </w:rPr>
      </w:pPr>
      <w:r w:rsidRPr="00860889">
        <w:rPr>
          <w:b/>
          <w:sz w:val="22"/>
          <w:szCs w:val="22"/>
        </w:rPr>
        <w:t>HIV Prevention Jurisdictional Priority Populations</w:t>
      </w:r>
    </w:p>
    <w:tbl>
      <w:tblPr>
        <w:tblStyle w:val="GridTable4-Accent1"/>
        <w:tblW w:w="0" w:type="auto"/>
        <w:tblLook w:val="04A0" w:firstRow="1" w:lastRow="0" w:firstColumn="1" w:lastColumn="0" w:noHBand="0" w:noVBand="1"/>
      </w:tblPr>
      <w:tblGrid>
        <w:gridCol w:w="4675"/>
        <w:gridCol w:w="4675"/>
      </w:tblGrid>
      <w:tr w:rsidR="00860889" w:rsidRPr="00860889" w:rsidTr="00860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60889" w:rsidRPr="00860889" w:rsidRDefault="00860889" w:rsidP="00860889">
            <w:pPr>
              <w:widowControl w:val="0"/>
              <w:spacing w:before="0"/>
              <w:jc w:val="center"/>
              <w:rPr>
                <w:sz w:val="22"/>
                <w:szCs w:val="22"/>
              </w:rPr>
            </w:pPr>
            <w:r w:rsidRPr="00860889">
              <w:rPr>
                <w:sz w:val="22"/>
                <w:szCs w:val="22"/>
              </w:rPr>
              <w:t>Northern Nevada</w:t>
            </w:r>
          </w:p>
        </w:tc>
        <w:tc>
          <w:tcPr>
            <w:tcW w:w="4675" w:type="dxa"/>
          </w:tcPr>
          <w:p w:rsidR="00860889" w:rsidRPr="00860889" w:rsidRDefault="00860889" w:rsidP="00860889">
            <w:pPr>
              <w:widowControl w:val="0"/>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860889">
              <w:rPr>
                <w:sz w:val="22"/>
                <w:szCs w:val="22"/>
              </w:rPr>
              <w:t>Southern Nevada</w:t>
            </w:r>
          </w:p>
        </w:tc>
      </w:tr>
      <w:tr w:rsidR="00860889" w:rsidRPr="00860889" w:rsidTr="00860889">
        <w:trPr>
          <w:cnfStyle w:val="000000100000" w:firstRow="0" w:lastRow="0" w:firstColumn="0" w:lastColumn="0" w:oddVBand="0" w:evenVBand="0" w:oddHBand="1" w:evenHBand="0" w:firstRowFirstColumn="0" w:firstRowLastColumn="0" w:lastRowFirstColumn="0" w:lastRowLastColumn="0"/>
          <w:trHeight w:val="1651"/>
        </w:trPr>
        <w:tc>
          <w:tcPr>
            <w:cnfStyle w:val="001000000000" w:firstRow="0" w:lastRow="0" w:firstColumn="1" w:lastColumn="0" w:oddVBand="0" w:evenVBand="0" w:oddHBand="0" w:evenHBand="0" w:firstRowFirstColumn="0" w:firstRowLastColumn="0" w:lastRowFirstColumn="0" w:lastRowLastColumn="0"/>
            <w:tcW w:w="4675" w:type="dxa"/>
          </w:tcPr>
          <w:p w:rsidR="00860889" w:rsidRPr="00860889" w:rsidRDefault="00860889" w:rsidP="00E73293">
            <w:pPr>
              <w:pStyle w:val="ListParagraph"/>
              <w:numPr>
                <w:ilvl w:val="0"/>
                <w:numId w:val="57"/>
              </w:numPr>
              <w:spacing w:before="0"/>
              <w:ind w:left="517"/>
              <w:rPr>
                <w:rFonts w:eastAsia="Calibri" w:cs="Times New Roman"/>
                <w:b w:val="0"/>
                <w:sz w:val="22"/>
                <w:szCs w:val="22"/>
              </w:rPr>
            </w:pPr>
            <w:r w:rsidRPr="00860889">
              <w:rPr>
                <w:rFonts w:eastAsia="Calibri" w:cs="Times New Roman"/>
                <w:b w:val="0"/>
                <w:sz w:val="22"/>
                <w:szCs w:val="22"/>
              </w:rPr>
              <w:t>MSM</w:t>
            </w:r>
          </w:p>
          <w:p w:rsidR="00860889" w:rsidRPr="00860889" w:rsidRDefault="00860889" w:rsidP="00E73293">
            <w:pPr>
              <w:pStyle w:val="ListParagraph"/>
              <w:numPr>
                <w:ilvl w:val="0"/>
                <w:numId w:val="57"/>
              </w:numPr>
              <w:spacing w:before="0"/>
              <w:ind w:left="517"/>
              <w:rPr>
                <w:rFonts w:eastAsia="Calibri" w:cs="Times New Roman"/>
                <w:b w:val="0"/>
                <w:sz w:val="22"/>
                <w:szCs w:val="22"/>
              </w:rPr>
            </w:pPr>
            <w:r w:rsidRPr="00860889">
              <w:rPr>
                <w:rFonts w:eastAsia="Calibri" w:cs="Times New Roman"/>
                <w:b w:val="0"/>
                <w:sz w:val="22"/>
                <w:szCs w:val="22"/>
              </w:rPr>
              <w:t>HIV +</w:t>
            </w:r>
          </w:p>
          <w:p w:rsidR="00860889" w:rsidRPr="00860889" w:rsidRDefault="00860889" w:rsidP="00E73293">
            <w:pPr>
              <w:pStyle w:val="ListParagraph"/>
              <w:numPr>
                <w:ilvl w:val="0"/>
                <w:numId w:val="57"/>
              </w:numPr>
              <w:spacing w:before="0"/>
              <w:ind w:left="517"/>
              <w:rPr>
                <w:rFonts w:eastAsia="Calibri" w:cs="Times New Roman"/>
                <w:b w:val="0"/>
                <w:sz w:val="22"/>
                <w:szCs w:val="22"/>
              </w:rPr>
            </w:pPr>
            <w:r w:rsidRPr="00860889">
              <w:rPr>
                <w:rFonts w:eastAsia="Calibri" w:cs="Times New Roman"/>
                <w:b w:val="0"/>
                <w:sz w:val="22"/>
                <w:szCs w:val="22"/>
              </w:rPr>
              <w:t>Youth/Young Adult (13-34</w:t>
            </w:r>
            <w:r w:rsidRPr="00860889">
              <w:rPr>
                <w:b w:val="0"/>
                <w:sz w:val="22"/>
                <w:szCs w:val="22"/>
              </w:rPr>
              <w:t xml:space="preserve"> years</w:t>
            </w:r>
            <w:r w:rsidRPr="00860889">
              <w:rPr>
                <w:rFonts w:eastAsia="Calibri" w:cs="Times New Roman"/>
                <w:b w:val="0"/>
                <w:sz w:val="22"/>
                <w:szCs w:val="22"/>
              </w:rPr>
              <w:t>), including those of color</w:t>
            </w:r>
          </w:p>
          <w:p w:rsidR="00860889" w:rsidRPr="00860889" w:rsidRDefault="00860889" w:rsidP="00E73293">
            <w:pPr>
              <w:pStyle w:val="ListParagraph"/>
              <w:numPr>
                <w:ilvl w:val="0"/>
                <w:numId w:val="57"/>
              </w:numPr>
              <w:spacing w:before="0"/>
              <w:ind w:left="517"/>
              <w:rPr>
                <w:rFonts w:eastAsia="Calibri" w:cs="Times New Roman"/>
                <w:b w:val="0"/>
                <w:sz w:val="22"/>
                <w:szCs w:val="22"/>
              </w:rPr>
            </w:pPr>
            <w:r w:rsidRPr="00860889">
              <w:rPr>
                <w:rFonts w:eastAsia="Calibri" w:cs="Times New Roman"/>
                <w:b w:val="0"/>
                <w:sz w:val="22"/>
                <w:szCs w:val="22"/>
              </w:rPr>
              <w:t>IDU</w:t>
            </w:r>
          </w:p>
          <w:p w:rsidR="00860889" w:rsidRPr="00860889" w:rsidRDefault="00860889" w:rsidP="00E73293">
            <w:pPr>
              <w:pStyle w:val="ListParagraph"/>
              <w:numPr>
                <w:ilvl w:val="0"/>
                <w:numId w:val="57"/>
              </w:numPr>
              <w:spacing w:before="0"/>
              <w:ind w:left="517"/>
              <w:rPr>
                <w:rFonts w:eastAsia="Calibri" w:cs="Times New Roman"/>
                <w:sz w:val="22"/>
                <w:szCs w:val="22"/>
              </w:rPr>
            </w:pPr>
            <w:r w:rsidRPr="00860889">
              <w:rPr>
                <w:rFonts w:eastAsia="Calibri" w:cs="Times New Roman"/>
                <w:b w:val="0"/>
                <w:sz w:val="22"/>
                <w:szCs w:val="22"/>
              </w:rPr>
              <w:t>Sexually Active Heterosexual</w:t>
            </w:r>
            <w:r w:rsidR="00BE44FC">
              <w:rPr>
                <w:rFonts w:eastAsia="Calibri" w:cs="Times New Roman"/>
                <w:b w:val="0"/>
                <w:sz w:val="22"/>
                <w:szCs w:val="22"/>
              </w:rPr>
              <w:t>s</w:t>
            </w:r>
          </w:p>
        </w:tc>
        <w:tc>
          <w:tcPr>
            <w:tcW w:w="4675" w:type="dxa"/>
          </w:tcPr>
          <w:p w:rsidR="00860889" w:rsidRPr="00860889" w:rsidRDefault="00860889" w:rsidP="00E73293">
            <w:pPr>
              <w:pStyle w:val="ListParagraph"/>
              <w:numPr>
                <w:ilvl w:val="0"/>
                <w:numId w:val="57"/>
              </w:numPr>
              <w:spacing w:before="0"/>
              <w:ind w:left="43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860889">
              <w:rPr>
                <w:rFonts w:eastAsia="Calibri" w:cs="Times New Roman"/>
                <w:sz w:val="22"/>
                <w:szCs w:val="22"/>
              </w:rPr>
              <w:t>MSM</w:t>
            </w:r>
          </w:p>
          <w:p w:rsidR="00860889" w:rsidRPr="00860889" w:rsidRDefault="00860889" w:rsidP="00E73293">
            <w:pPr>
              <w:pStyle w:val="ListParagraph"/>
              <w:numPr>
                <w:ilvl w:val="0"/>
                <w:numId w:val="57"/>
              </w:numPr>
              <w:spacing w:before="0"/>
              <w:ind w:left="43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860889">
              <w:rPr>
                <w:rFonts w:eastAsia="Calibri" w:cs="Times New Roman"/>
                <w:sz w:val="22"/>
                <w:szCs w:val="22"/>
              </w:rPr>
              <w:t>HIV+</w:t>
            </w:r>
          </w:p>
          <w:p w:rsidR="00860889" w:rsidRPr="00860889" w:rsidRDefault="00860889" w:rsidP="00E73293">
            <w:pPr>
              <w:pStyle w:val="ListParagraph"/>
              <w:numPr>
                <w:ilvl w:val="0"/>
                <w:numId w:val="57"/>
              </w:numPr>
              <w:spacing w:before="0"/>
              <w:ind w:left="43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860889">
              <w:rPr>
                <w:rFonts w:eastAsia="Calibri" w:cs="Times New Roman"/>
                <w:sz w:val="22"/>
                <w:szCs w:val="22"/>
              </w:rPr>
              <w:t>Substance Users/Abusers</w:t>
            </w:r>
          </w:p>
          <w:p w:rsidR="00860889" w:rsidRPr="00860889" w:rsidRDefault="00860889" w:rsidP="00E73293">
            <w:pPr>
              <w:pStyle w:val="ListParagraph"/>
              <w:numPr>
                <w:ilvl w:val="0"/>
                <w:numId w:val="57"/>
              </w:numPr>
              <w:spacing w:before="0"/>
              <w:ind w:left="43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860889">
              <w:rPr>
                <w:rFonts w:eastAsia="Calibri" w:cs="Times New Roman"/>
                <w:sz w:val="22"/>
                <w:szCs w:val="22"/>
              </w:rPr>
              <w:t>Youth/Young Adult (13-34</w:t>
            </w:r>
            <w:r>
              <w:rPr>
                <w:sz w:val="22"/>
                <w:szCs w:val="22"/>
              </w:rPr>
              <w:t xml:space="preserve"> years</w:t>
            </w:r>
            <w:r w:rsidRPr="00860889">
              <w:rPr>
                <w:rFonts w:eastAsia="Calibri" w:cs="Times New Roman"/>
                <w:sz w:val="22"/>
                <w:szCs w:val="22"/>
              </w:rPr>
              <w:t>), including those of color</w:t>
            </w:r>
          </w:p>
        </w:tc>
      </w:tr>
    </w:tbl>
    <w:p w:rsidR="00F103A5" w:rsidRDefault="00F103A5" w:rsidP="00F103A5">
      <w:pPr>
        <w:pStyle w:val="Heading5"/>
      </w:pPr>
      <w:r>
        <w:t>Risky Behaviors</w:t>
      </w:r>
    </w:p>
    <w:p w:rsidR="003C3AD0" w:rsidRDefault="00F103A5" w:rsidP="00245E82">
      <w:pPr>
        <w:widowControl w:val="0"/>
        <w:jc w:val="both"/>
        <w:rPr>
          <w:sz w:val="22"/>
          <w:szCs w:val="22"/>
        </w:rPr>
      </w:pPr>
      <w:r>
        <w:rPr>
          <w:sz w:val="22"/>
          <w:szCs w:val="22"/>
        </w:rPr>
        <w:t xml:space="preserve">Individuals who partake in certain risky behaviors such as choosing not to use condoms or using them incorrectly, having a high number of sexual partners, using drugs or alcohol before or during sex, </w:t>
      </w:r>
      <w:r w:rsidR="00245E82">
        <w:rPr>
          <w:sz w:val="22"/>
          <w:szCs w:val="22"/>
        </w:rPr>
        <w:t xml:space="preserve">or </w:t>
      </w:r>
      <w:r>
        <w:rPr>
          <w:sz w:val="22"/>
          <w:szCs w:val="22"/>
        </w:rPr>
        <w:t>not receiving regular STD testing if sexually active can increase the likelihood the individual will contract an STD or HIV.</w:t>
      </w:r>
      <w:r>
        <w:rPr>
          <w:rStyle w:val="EndnoteReference"/>
          <w:sz w:val="22"/>
          <w:szCs w:val="22"/>
        </w:rPr>
        <w:endnoteReference w:id="12"/>
      </w:r>
      <w:r>
        <w:rPr>
          <w:sz w:val="15"/>
          <w:szCs w:val="15"/>
          <w:vertAlign w:val="superscript"/>
        </w:rPr>
        <w:t xml:space="preserve"> </w:t>
      </w:r>
      <w:r>
        <w:rPr>
          <w:sz w:val="22"/>
          <w:szCs w:val="22"/>
        </w:rPr>
        <w:t xml:space="preserve"> </w:t>
      </w:r>
      <w:r w:rsidR="003C3AD0">
        <w:rPr>
          <w:sz w:val="22"/>
          <w:szCs w:val="22"/>
        </w:rPr>
        <w:t xml:space="preserve">According to the 2011 and 2012 combined </w:t>
      </w:r>
      <w:r w:rsidR="00245E82">
        <w:rPr>
          <w:sz w:val="22"/>
          <w:szCs w:val="22"/>
        </w:rPr>
        <w:t xml:space="preserve">Nevada </w:t>
      </w:r>
      <w:r w:rsidR="003C3AD0">
        <w:rPr>
          <w:sz w:val="22"/>
          <w:szCs w:val="22"/>
        </w:rPr>
        <w:t xml:space="preserve">Behavioral Risk </w:t>
      </w:r>
      <w:r w:rsidR="002F601A">
        <w:rPr>
          <w:sz w:val="22"/>
          <w:szCs w:val="22"/>
        </w:rPr>
        <w:t>F</w:t>
      </w:r>
      <w:r w:rsidR="003C3AD0">
        <w:rPr>
          <w:sz w:val="22"/>
          <w:szCs w:val="22"/>
        </w:rPr>
        <w:t>actor Surveillance System (BRFSS), of the 9,507 surveyed 4.2% had answered yes to one of more of the following questions:</w:t>
      </w:r>
    </w:p>
    <w:p w:rsidR="003C3AD0" w:rsidRDefault="003C3AD0" w:rsidP="00E47460">
      <w:pPr>
        <w:widowControl w:val="0"/>
        <w:spacing w:before="0" w:after="0"/>
        <w:ind w:left="720" w:hanging="360"/>
        <w:jc w:val="both"/>
        <w:rPr>
          <w:sz w:val="22"/>
          <w:szCs w:val="22"/>
        </w:rPr>
      </w:pPr>
      <w:r>
        <w:rPr>
          <w:rFonts w:ascii="Symbol" w:hAnsi="Symbol"/>
          <w:lang w:val="x-none"/>
        </w:rPr>
        <w:t></w:t>
      </w:r>
      <w:r>
        <w:t> </w:t>
      </w:r>
      <w:r>
        <w:rPr>
          <w:sz w:val="22"/>
          <w:szCs w:val="22"/>
        </w:rPr>
        <w:t>You have used intravenous drugs in the past year</w:t>
      </w:r>
    </w:p>
    <w:p w:rsidR="003C3AD0" w:rsidRDefault="003C3AD0" w:rsidP="00E47460">
      <w:pPr>
        <w:widowControl w:val="0"/>
        <w:spacing w:before="0" w:after="0"/>
        <w:ind w:left="720" w:hanging="360"/>
        <w:jc w:val="both"/>
        <w:rPr>
          <w:sz w:val="22"/>
          <w:szCs w:val="22"/>
        </w:rPr>
      </w:pPr>
      <w:r>
        <w:rPr>
          <w:rFonts w:ascii="Symbol" w:hAnsi="Symbol"/>
          <w:lang w:val="x-none"/>
        </w:rPr>
        <w:t></w:t>
      </w:r>
      <w:r>
        <w:t> </w:t>
      </w:r>
      <w:r>
        <w:rPr>
          <w:sz w:val="22"/>
          <w:szCs w:val="22"/>
        </w:rPr>
        <w:t>You have been treated for a sexually transmitted or venereal disease this past year</w:t>
      </w:r>
    </w:p>
    <w:p w:rsidR="003C3AD0" w:rsidRDefault="003C3AD0" w:rsidP="00E47460">
      <w:pPr>
        <w:widowControl w:val="0"/>
        <w:spacing w:before="0" w:after="0"/>
        <w:ind w:left="720" w:hanging="360"/>
        <w:jc w:val="both"/>
        <w:rPr>
          <w:sz w:val="22"/>
          <w:szCs w:val="22"/>
        </w:rPr>
      </w:pPr>
      <w:r>
        <w:rPr>
          <w:rFonts w:ascii="Symbol" w:hAnsi="Symbol"/>
          <w:lang w:val="x-none"/>
        </w:rPr>
        <w:t></w:t>
      </w:r>
      <w:r>
        <w:t> </w:t>
      </w:r>
      <w:r>
        <w:rPr>
          <w:sz w:val="22"/>
          <w:szCs w:val="22"/>
        </w:rPr>
        <w:t>You have given or received money or drugs in exchange for sex in the past year</w:t>
      </w:r>
    </w:p>
    <w:p w:rsidR="003C3AD0" w:rsidRDefault="003C3AD0" w:rsidP="00E47460">
      <w:pPr>
        <w:widowControl w:val="0"/>
        <w:spacing w:before="0" w:after="0"/>
        <w:ind w:left="720" w:hanging="360"/>
        <w:jc w:val="both"/>
        <w:rPr>
          <w:sz w:val="22"/>
          <w:szCs w:val="22"/>
        </w:rPr>
      </w:pPr>
      <w:r>
        <w:rPr>
          <w:rFonts w:ascii="Symbol" w:hAnsi="Symbol"/>
          <w:lang w:val="x-none"/>
        </w:rPr>
        <w:t></w:t>
      </w:r>
      <w:r>
        <w:t> </w:t>
      </w:r>
      <w:r>
        <w:rPr>
          <w:sz w:val="22"/>
          <w:szCs w:val="22"/>
        </w:rPr>
        <w:t>You had anal sex without a condom in the past year</w:t>
      </w:r>
    </w:p>
    <w:p w:rsidR="003C3AD0" w:rsidRDefault="003C3AD0" w:rsidP="00F23788">
      <w:pPr>
        <w:widowControl w:val="0"/>
        <w:jc w:val="both"/>
        <w:rPr>
          <w:sz w:val="22"/>
          <w:szCs w:val="22"/>
        </w:rPr>
      </w:pPr>
      <w:r>
        <w:rPr>
          <w:sz w:val="22"/>
          <w:szCs w:val="22"/>
        </w:rPr>
        <w:t>Those who reported yes to one or more of these questions have an increased risk of contracting an STD and/or HIV. In 2011/2012, those ages 18-24 (14.2%) reported they had engaged in at least one risky behavior during those years.  As age increases the percentage of individuals reporting “yes” decreases.</w:t>
      </w:r>
      <w:r>
        <w:rPr>
          <w:rStyle w:val="EndnoteReference"/>
          <w:sz w:val="22"/>
          <w:szCs w:val="22"/>
        </w:rPr>
        <w:endnoteReference w:id="13"/>
      </w:r>
    </w:p>
    <w:p w:rsidR="003C3AD0" w:rsidRDefault="003C3AD0" w:rsidP="00F103A5">
      <w:pPr>
        <w:pStyle w:val="Heading5"/>
      </w:pPr>
      <w:r>
        <w:lastRenderedPageBreak/>
        <w:t>Youth</w:t>
      </w:r>
    </w:p>
    <w:p w:rsidR="003C3AD0" w:rsidRDefault="003C3AD0" w:rsidP="00F23788">
      <w:pPr>
        <w:widowControl w:val="0"/>
        <w:jc w:val="both"/>
        <w:rPr>
          <w:sz w:val="22"/>
          <w:szCs w:val="22"/>
        </w:rPr>
      </w:pPr>
      <w:r>
        <w:rPr>
          <w:sz w:val="22"/>
          <w:szCs w:val="22"/>
        </w:rPr>
        <w:t>Youth (13-24) in Nevada are an important group to target for HIV prevention/intervention activities, as they are not only showing recent increases in new HIV infections but in other STDs (Chlamydia and Gonorrhea). Additionally, there are also upward trends among new HIV diagnose</w:t>
      </w:r>
      <w:r w:rsidR="00245E82">
        <w:rPr>
          <w:sz w:val="22"/>
          <w:szCs w:val="22"/>
        </w:rPr>
        <w:t>s</w:t>
      </w:r>
      <w:r>
        <w:rPr>
          <w:sz w:val="22"/>
          <w:szCs w:val="22"/>
        </w:rPr>
        <w:t xml:space="preserve"> in 25-34 year olds, reiterating the importance of prevention among youth as many of these cases may have seroconverted while they were youth. Further, prevention efforts should occur prior to individuals participating in high risk taking behaviors. Engaging in sexual risk taking behaviors and having STDs are known factors to increase the likelihood of acquiring HIV. HIV/AIDS education needs to take place at correspondingly young ages, before young people engage in sexual behaviors that put them at risk for HIV infection. Statewide, STD trends from the Nevada Division of Public and Behavioral Health STD Program indicate that among 13-19 year olds there has been a significant increase in the number of new Chlamydia and Gonorrhea cases among youth. </w:t>
      </w:r>
    </w:p>
    <w:p w:rsidR="00FD3104" w:rsidRDefault="003C3AD0" w:rsidP="00FD3104">
      <w:pPr>
        <w:widowControl w:val="0"/>
        <w:jc w:val="both"/>
        <w:rPr>
          <w:sz w:val="22"/>
          <w:szCs w:val="22"/>
        </w:rPr>
      </w:pPr>
      <w:r>
        <w:rPr>
          <w:sz w:val="22"/>
          <w:szCs w:val="22"/>
        </w:rPr>
        <w:t>According to the Nevada Youth Risk Behavior Survey (YRBS), 57% of sexually active youth reported using a condom during last sexual intercourse</w:t>
      </w:r>
      <w:r w:rsidR="006876F3">
        <w:rPr>
          <w:sz w:val="22"/>
          <w:szCs w:val="22"/>
        </w:rPr>
        <w:t xml:space="preserve"> (Table </w:t>
      </w:r>
      <w:r w:rsidR="00D00FE6">
        <w:rPr>
          <w:sz w:val="22"/>
          <w:szCs w:val="22"/>
        </w:rPr>
        <w:t>8</w:t>
      </w:r>
      <w:r w:rsidR="006876F3">
        <w:rPr>
          <w:sz w:val="22"/>
          <w:szCs w:val="22"/>
        </w:rPr>
        <w:t>)</w:t>
      </w:r>
      <w:r>
        <w:rPr>
          <w:sz w:val="22"/>
          <w:szCs w:val="22"/>
        </w:rPr>
        <w:t xml:space="preserve">. Young people in the United States use alcohol, tobacco, and other drugs at high rates. Both casual and chronic substance users are more likely to engage in high-risk behaviors, such as unprotected sex, when they are under the influence of drugs or alcohol. </w:t>
      </w:r>
      <w:r w:rsidRPr="00C0208D">
        <w:rPr>
          <w:sz w:val="22"/>
          <w:szCs w:val="22"/>
        </w:rPr>
        <w:t>In Nevada, 31% of students reported they currently drank alcohol and 15% reported binge drinking in the past 30 days.</w:t>
      </w:r>
      <w:r w:rsidRPr="00C0208D">
        <w:rPr>
          <w:rStyle w:val="EndnoteReference"/>
          <w:sz w:val="22"/>
          <w:szCs w:val="22"/>
        </w:rPr>
        <w:endnoteReference w:id="14"/>
      </w:r>
      <w:r>
        <w:rPr>
          <w:sz w:val="22"/>
          <w:szCs w:val="22"/>
        </w:rPr>
        <w:t xml:space="preserve"> </w:t>
      </w:r>
      <w:r w:rsidR="00FD3104">
        <w:rPr>
          <w:sz w:val="22"/>
          <w:szCs w:val="22"/>
        </w:rPr>
        <w:t xml:space="preserve">Additionally, 20% of sexually active youth reported drinking alcohol or using drugs before last sexual intercourse. Fewer than 11% of Nevada YRBS respondents reported ever having been tested for HIV. </w:t>
      </w:r>
    </w:p>
    <w:p w:rsidR="00D43242" w:rsidRPr="00A51D20" w:rsidRDefault="00D43242" w:rsidP="00A51D20">
      <w:pPr>
        <w:widowControl w:val="0"/>
        <w:spacing w:before="0" w:after="0"/>
        <w:rPr>
          <w:b/>
          <w:iCs/>
          <w:sz w:val="15"/>
          <w:szCs w:val="15"/>
          <w:vertAlign w:val="superscript"/>
        </w:rPr>
      </w:pPr>
      <w:r w:rsidRPr="00E47460">
        <w:rPr>
          <w:b/>
          <w:bCs/>
          <w:iCs/>
          <w:sz w:val="22"/>
          <w:szCs w:val="22"/>
        </w:rPr>
        <w:t xml:space="preserve">Table </w:t>
      </w:r>
      <w:r w:rsidR="00D00FE6">
        <w:rPr>
          <w:b/>
          <w:bCs/>
          <w:iCs/>
          <w:sz w:val="22"/>
          <w:szCs w:val="22"/>
        </w:rPr>
        <w:t>8</w:t>
      </w:r>
      <w:r w:rsidRPr="00E47460">
        <w:rPr>
          <w:b/>
          <w:bCs/>
          <w:iCs/>
          <w:sz w:val="22"/>
          <w:szCs w:val="22"/>
        </w:rPr>
        <w:t xml:space="preserve">. </w:t>
      </w:r>
      <w:r w:rsidRPr="00E47460">
        <w:rPr>
          <w:b/>
          <w:iCs/>
          <w:sz w:val="22"/>
          <w:szCs w:val="22"/>
        </w:rPr>
        <w:t>Select Nevada Youth Behavioral Risk Survey Responses, 201</w:t>
      </w:r>
      <w:r>
        <w:rPr>
          <w:b/>
          <w:iCs/>
          <w:sz w:val="22"/>
          <w:szCs w:val="22"/>
        </w:rPr>
        <w:t>5</w:t>
      </w:r>
    </w:p>
    <w:tbl>
      <w:tblPr>
        <w:tblStyle w:val="ListTable4-Accent12"/>
        <w:tblpPr w:leftFromText="180" w:rightFromText="180" w:vertAnchor="text" w:horzAnchor="margin" w:tblpY="51"/>
        <w:tblW w:w="0" w:type="auto"/>
        <w:tblLook w:val="04A0" w:firstRow="1" w:lastRow="0" w:firstColumn="1" w:lastColumn="0" w:noHBand="0" w:noVBand="1"/>
      </w:tblPr>
      <w:tblGrid>
        <w:gridCol w:w="6835"/>
        <w:gridCol w:w="1080"/>
        <w:gridCol w:w="1435"/>
      </w:tblGrid>
      <w:tr w:rsidR="00D43242" w:rsidTr="00445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p>
        </w:tc>
        <w:tc>
          <w:tcPr>
            <w:tcW w:w="1080" w:type="dxa"/>
          </w:tcPr>
          <w:p w:rsidR="00D43242" w:rsidRDefault="00D43242" w:rsidP="00D43242">
            <w:pPr>
              <w:widowControl w:val="0"/>
              <w:spacing w:before="0"/>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Yes</w:t>
            </w:r>
          </w:p>
        </w:tc>
        <w:tc>
          <w:tcPr>
            <w:tcW w:w="1435" w:type="dxa"/>
          </w:tcPr>
          <w:p w:rsidR="00D43242" w:rsidRDefault="00D43242" w:rsidP="00D43242">
            <w:pPr>
              <w:widowControl w:val="0"/>
              <w:spacing w:before="0"/>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CI*</w:t>
            </w:r>
          </w:p>
        </w:tc>
      </w:tr>
      <w:tr w:rsidR="00D43242"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p>
        </w:tc>
        <w:tc>
          <w:tcPr>
            <w:tcW w:w="1080"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1435"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D43242" w:rsidTr="00445A1C">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ever injected any illegal drugs</w:t>
            </w:r>
          </w:p>
        </w:tc>
        <w:tc>
          <w:tcPr>
            <w:tcW w:w="1080" w:type="dxa"/>
          </w:tcPr>
          <w:p w:rsidR="00D43242" w:rsidRDefault="00D43242" w:rsidP="00D43242">
            <w:pPr>
              <w:widowControl w:val="0"/>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1435" w:type="dxa"/>
          </w:tcPr>
          <w:p w:rsidR="00D43242" w:rsidRDefault="00D43242" w:rsidP="00D43242">
            <w:pPr>
              <w:widowControl w:val="0"/>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(2.1-3.4)</w:t>
            </w:r>
          </w:p>
        </w:tc>
      </w:tr>
      <w:tr w:rsidR="00D43242"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ever had sexual intercourse</w:t>
            </w:r>
          </w:p>
        </w:tc>
        <w:tc>
          <w:tcPr>
            <w:tcW w:w="1080"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38.5</w:t>
            </w:r>
          </w:p>
        </w:tc>
        <w:tc>
          <w:tcPr>
            <w:tcW w:w="1435"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(35.4-41.6)</w:t>
            </w:r>
          </w:p>
        </w:tc>
      </w:tr>
      <w:tr w:rsidR="00D43242" w:rsidTr="00445A1C">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had sexual intercourse for the first time before age 13 years</w:t>
            </w:r>
          </w:p>
        </w:tc>
        <w:tc>
          <w:tcPr>
            <w:tcW w:w="1080" w:type="dxa"/>
          </w:tcPr>
          <w:p w:rsidR="00D43242" w:rsidRDefault="00D43242" w:rsidP="00D43242">
            <w:pPr>
              <w:widowControl w:val="0"/>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w:t>
            </w:r>
          </w:p>
        </w:tc>
        <w:tc>
          <w:tcPr>
            <w:tcW w:w="1435" w:type="dxa"/>
          </w:tcPr>
          <w:p w:rsidR="00D43242" w:rsidRDefault="00D43242" w:rsidP="00D43242">
            <w:pPr>
              <w:widowControl w:val="0"/>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(3.1-4.7)</w:t>
            </w:r>
          </w:p>
        </w:tc>
      </w:tr>
      <w:tr w:rsidR="00D43242"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had sexual intercourse with four or more persons during their life</w:t>
            </w:r>
          </w:p>
        </w:tc>
        <w:tc>
          <w:tcPr>
            <w:tcW w:w="1080"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10.5</w:t>
            </w:r>
          </w:p>
        </w:tc>
        <w:tc>
          <w:tcPr>
            <w:tcW w:w="1435"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(9.0-12.0)</w:t>
            </w:r>
          </w:p>
        </w:tc>
      </w:tr>
      <w:tr w:rsidR="00D43242" w:rsidTr="00445A1C">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were currently sexually active</w:t>
            </w:r>
          </w:p>
        </w:tc>
        <w:tc>
          <w:tcPr>
            <w:tcW w:w="1080" w:type="dxa"/>
          </w:tcPr>
          <w:p w:rsidR="00D43242" w:rsidRDefault="00D43242" w:rsidP="00D43242">
            <w:pPr>
              <w:widowControl w:val="0"/>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27.1</w:t>
            </w:r>
          </w:p>
        </w:tc>
        <w:tc>
          <w:tcPr>
            <w:tcW w:w="1435" w:type="dxa"/>
          </w:tcPr>
          <w:p w:rsidR="00D43242" w:rsidRDefault="00D43242" w:rsidP="00D43242">
            <w:pPr>
              <w:widowControl w:val="0"/>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(24.5-29.6)</w:t>
            </w:r>
          </w:p>
        </w:tc>
      </w:tr>
      <w:tr w:rsidR="00D43242"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used a condom during last sexual intercourse</w:t>
            </w:r>
          </w:p>
        </w:tc>
        <w:tc>
          <w:tcPr>
            <w:tcW w:w="1080" w:type="dxa"/>
          </w:tcPr>
          <w:p w:rsidR="00D43242" w:rsidRDefault="00D43242" w:rsidP="00D43242">
            <w:pPr>
              <w:widowControl w:val="0"/>
              <w:tabs>
                <w:tab w:val="left" w:pos="810"/>
              </w:tabs>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56.9</w:t>
            </w:r>
          </w:p>
        </w:tc>
        <w:tc>
          <w:tcPr>
            <w:tcW w:w="1435"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(53.5-60.3)</w:t>
            </w:r>
          </w:p>
        </w:tc>
      </w:tr>
      <w:tr w:rsidR="00D43242" w:rsidTr="00445A1C">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did not use any method to prevent pregnancy during last sexual intercourse</w:t>
            </w:r>
          </w:p>
        </w:tc>
        <w:tc>
          <w:tcPr>
            <w:tcW w:w="1080" w:type="dxa"/>
          </w:tcPr>
          <w:p w:rsidR="00D43242" w:rsidRDefault="00D43242" w:rsidP="00D43242">
            <w:pPr>
              <w:widowControl w:val="0"/>
              <w:tabs>
                <w:tab w:val="left" w:pos="810"/>
              </w:tabs>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12.4</w:t>
            </w:r>
          </w:p>
        </w:tc>
        <w:tc>
          <w:tcPr>
            <w:tcW w:w="1435" w:type="dxa"/>
          </w:tcPr>
          <w:p w:rsidR="00D43242" w:rsidRDefault="00D43242" w:rsidP="00D43242">
            <w:pPr>
              <w:widowControl w:val="0"/>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(10.2-14.6)</w:t>
            </w:r>
          </w:p>
        </w:tc>
      </w:tr>
      <w:tr w:rsidR="00D43242"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tcPr>
          <w:p w:rsidR="00D43242" w:rsidRDefault="00D43242" w:rsidP="00D43242">
            <w:pPr>
              <w:widowControl w:val="0"/>
              <w:spacing w:before="0"/>
              <w:jc w:val="both"/>
              <w:rPr>
                <w:sz w:val="22"/>
                <w:szCs w:val="22"/>
              </w:rPr>
            </w:pPr>
            <w:r>
              <w:rPr>
                <w:sz w:val="22"/>
                <w:szCs w:val="22"/>
              </w:rPr>
              <w:t>Who drank alcohol or used drugs before last sexual intercourse</w:t>
            </w:r>
          </w:p>
        </w:tc>
        <w:tc>
          <w:tcPr>
            <w:tcW w:w="1080" w:type="dxa"/>
          </w:tcPr>
          <w:p w:rsidR="00D43242" w:rsidRDefault="00D43242" w:rsidP="00D43242">
            <w:pPr>
              <w:widowControl w:val="0"/>
              <w:tabs>
                <w:tab w:val="left" w:pos="810"/>
              </w:tabs>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20.4</w:t>
            </w:r>
            <w:r>
              <w:rPr>
                <w:sz w:val="22"/>
                <w:szCs w:val="22"/>
              </w:rPr>
              <w:tab/>
            </w:r>
          </w:p>
        </w:tc>
        <w:tc>
          <w:tcPr>
            <w:tcW w:w="1435" w:type="dxa"/>
          </w:tcPr>
          <w:p w:rsidR="00D43242" w:rsidRDefault="00D43242" w:rsidP="00D43242">
            <w:pPr>
              <w:widowControl w:val="0"/>
              <w:spacing w:before="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(17.7-23.2)</w:t>
            </w:r>
          </w:p>
        </w:tc>
      </w:tr>
    </w:tbl>
    <w:p w:rsidR="0018310A" w:rsidRPr="00245E82" w:rsidRDefault="00245E82" w:rsidP="00245E82">
      <w:pPr>
        <w:widowControl w:val="0"/>
        <w:tabs>
          <w:tab w:val="left" w:pos="220"/>
          <w:tab w:val="left" w:pos="720"/>
        </w:tabs>
        <w:autoSpaceDE w:val="0"/>
        <w:autoSpaceDN w:val="0"/>
        <w:adjustRightInd w:val="0"/>
        <w:spacing w:before="0" w:after="0"/>
        <w:jc w:val="both"/>
        <w:rPr>
          <w:rFonts w:cs="Calibri Light"/>
          <w:i/>
          <w:sz w:val="16"/>
          <w:szCs w:val="16"/>
        </w:rPr>
      </w:pPr>
      <w:r w:rsidRPr="00245E82">
        <w:rPr>
          <w:rFonts w:cs="Calibri Light"/>
          <w:i/>
          <w:sz w:val="16"/>
          <w:szCs w:val="16"/>
        </w:rPr>
        <w:t>*95% confidence intervals are calculated based on the rate</w:t>
      </w:r>
    </w:p>
    <w:p w:rsidR="006907E8" w:rsidRDefault="00D22274" w:rsidP="00E434EF">
      <w:pPr>
        <w:pStyle w:val="Heading5"/>
      </w:pPr>
      <w:r>
        <w:t>HIV Surveillance Data</w:t>
      </w:r>
    </w:p>
    <w:p w:rsidR="005D75AA" w:rsidRPr="006907E8" w:rsidRDefault="005D75AA" w:rsidP="003317C9">
      <w:pPr>
        <w:widowControl w:val="0"/>
        <w:numPr>
          <w:ilvl w:val="0"/>
          <w:numId w:val="2"/>
        </w:numPr>
        <w:tabs>
          <w:tab w:val="left" w:pos="220"/>
          <w:tab w:val="left" w:pos="720"/>
        </w:tabs>
        <w:autoSpaceDE w:val="0"/>
        <w:autoSpaceDN w:val="0"/>
        <w:adjustRightInd w:val="0"/>
        <w:ind w:hanging="720"/>
        <w:rPr>
          <w:rFonts w:cs="Calibri Light"/>
          <w:i/>
        </w:rPr>
      </w:pPr>
      <w:r>
        <w:rPr>
          <w:rFonts w:cs="Calibri Light"/>
          <w:i/>
        </w:rPr>
        <w:t xml:space="preserve">HIV surveillance data, including HIV testing program data (e.g., data from Early </w:t>
      </w:r>
      <w:r>
        <w:rPr>
          <w:rFonts w:ascii="MS Gothic" w:eastAsia="MS Gothic" w:hAnsi="MS Gothic" w:cs="MS Gothic" w:hint="eastAsia"/>
          <w:i/>
        </w:rPr>
        <w:t> </w:t>
      </w:r>
      <w:r>
        <w:rPr>
          <w:rFonts w:cs="Calibri Light"/>
          <w:i/>
        </w:rPr>
        <w:t xml:space="preserve">Identification of Individuals with HIV/AIDS for RWHAP Parts A and B Grantees; CDC HIV testing data) and Clinical data (e.g., CD4 and viral load results) </w:t>
      </w:r>
      <w:r>
        <w:rPr>
          <w:rFonts w:ascii="MS Gothic" w:eastAsia="MS Gothic" w:hAnsi="MS Gothic" w:cs="MS Gothic" w:hint="eastAsia"/>
          <w:i/>
        </w:rPr>
        <w:t> </w:t>
      </w:r>
    </w:p>
    <w:p w:rsidR="00245E82" w:rsidRDefault="00245E82" w:rsidP="0018310A">
      <w:pPr>
        <w:widowControl w:val="0"/>
        <w:spacing w:before="240" w:after="0" w:line="271" w:lineRule="auto"/>
        <w:jc w:val="both"/>
        <w:rPr>
          <w:bCs/>
          <w:iCs/>
          <w:sz w:val="22"/>
          <w:szCs w:val="22"/>
        </w:rPr>
      </w:pPr>
    </w:p>
    <w:p w:rsidR="00695809" w:rsidRDefault="00695809" w:rsidP="0018310A">
      <w:pPr>
        <w:widowControl w:val="0"/>
        <w:spacing w:before="240" w:after="0" w:line="271" w:lineRule="auto"/>
        <w:jc w:val="both"/>
        <w:rPr>
          <w:bCs/>
          <w:iCs/>
          <w:sz w:val="22"/>
          <w:szCs w:val="22"/>
        </w:rPr>
      </w:pPr>
      <w:r w:rsidRPr="00CF55CF">
        <w:rPr>
          <w:bCs/>
          <w:iCs/>
          <w:sz w:val="22"/>
          <w:szCs w:val="22"/>
        </w:rPr>
        <w:lastRenderedPageBreak/>
        <w:t>Of Nevadans responding to the BRFSS 2014 survey, 41% had</w:t>
      </w:r>
      <w:r>
        <w:rPr>
          <w:bCs/>
          <w:iCs/>
          <w:sz w:val="22"/>
          <w:szCs w:val="22"/>
        </w:rPr>
        <w:t xml:space="preserve"> ever</w:t>
      </w:r>
      <w:r w:rsidRPr="00CF55CF">
        <w:rPr>
          <w:bCs/>
          <w:iCs/>
          <w:sz w:val="22"/>
          <w:szCs w:val="22"/>
        </w:rPr>
        <w:t xml:space="preserve"> been tested for HIV</w:t>
      </w:r>
      <w:r w:rsidR="00334745">
        <w:rPr>
          <w:bCs/>
          <w:iCs/>
          <w:sz w:val="22"/>
          <w:szCs w:val="22"/>
        </w:rPr>
        <w:t xml:space="preserve"> (Table </w:t>
      </w:r>
      <w:r w:rsidR="00D00FE6">
        <w:rPr>
          <w:bCs/>
          <w:iCs/>
          <w:sz w:val="22"/>
          <w:szCs w:val="22"/>
        </w:rPr>
        <w:t>9</w:t>
      </w:r>
      <w:r w:rsidR="00334745">
        <w:rPr>
          <w:bCs/>
          <w:iCs/>
          <w:sz w:val="22"/>
          <w:szCs w:val="22"/>
        </w:rPr>
        <w:t>)</w:t>
      </w:r>
      <w:r w:rsidRPr="00CF55CF">
        <w:rPr>
          <w:bCs/>
          <w:iCs/>
          <w:sz w:val="22"/>
          <w:szCs w:val="22"/>
        </w:rPr>
        <w:t xml:space="preserve">. </w:t>
      </w:r>
      <w:r w:rsidR="00334745">
        <w:rPr>
          <w:bCs/>
          <w:iCs/>
          <w:sz w:val="22"/>
          <w:szCs w:val="22"/>
        </w:rPr>
        <w:t xml:space="preserve">The percentage of respondents who had been tested for HIV was highest among Black, non-Hispanic respondents at 64% and lowest for other races, non-Hispanic (27%), white, non-Hispanic (39%) and Hispanic (41%). With respect to age, the lowest percentage who had been tested was 31% of respondents ages 18-24. </w:t>
      </w:r>
    </w:p>
    <w:p w:rsidR="00334745" w:rsidRDefault="00334745" w:rsidP="00D00FE6">
      <w:pPr>
        <w:widowControl w:val="0"/>
        <w:spacing w:after="0" w:line="240" w:lineRule="auto"/>
        <w:ind w:left="1350" w:right="1350"/>
        <w:rPr>
          <w:i/>
          <w:iCs/>
          <w:color w:val="1F497D"/>
        </w:rPr>
      </w:pPr>
      <w:r w:rsidRPr="00E47460">
        <w:rPr>
          <w:b/>
          <w:bCs/>
          <w:iCs/>
          <w:sz w:val="22"/>
          <w:szCs w:val="22"/>
        </w:rPr>
        <w:t xml:space="preserve">Table </w:t>
      </w:r>
      <w:r w:rsidR="00D00FE6">
        <w:rPr>
          <w:b/>
          <w:bCs/>
          <w:iCs/>
          <w:sz w:val="22"/>
          <w:szCs w:val="22"/>
        </w:rPr>
        <w:t>9</w:t>
      </w:r>
      <w:r w:rsidRPr="00E47460">
        <w:rPr>
          <w:b/>
          <w:bCs/>
          <w:iCs/>
          <w:sz w:val="22"/>
          <w:szCs w:val="22"/>
        </w:rPr>
        <w:t xml:space="preserve">.  </w:t>
      </w:r>
      <w:r w:rsidRPr="00E47460">
        <w:rPr>
          <w:b/>
          <w:iCs/>
          <w:sz w:val="22"/>
          <w:szCs w:val="22"/>
        </w:rPr>
        <w:t xml:space="preserve">Percent of Individuals </w:t>
      </w:r>
      <w:r w:rsidR="008F090F" w:rsidRPr="00E47460">
        <w:rPr>
          <w:b/>
          <w:iCs/>
          <w:sz w:val="22"/>
          <w:szCs w:val="22"/>
        </w:rPr>
        <w:t>Who</w:t>
      </w:r>
      <w:r w:rsidR="00245E82">
        <w:rPr>
          <w:b/>
          <w:iCs/>
          <w:sz w:val="22"/>
          <w:szCs w:val="22"/>
        </w:rPr>
        <w:t xml:space="preserve"> Answered the Question,</w:t>
      </w:r>
      <w:r w:rsidR="00245E82" w:rsidRPr="00E47460">
        <w:rPr>
          <w:b/>
          <w:iCs/>
          <w:sz w:val="22"/>
          <w:szCs w:val="22"/>
        </w:rPr>
        <w:t xml:space="preserve"> “Have</w:t>
      </w:r>
      <w:r w:rsidRPr="00E47460">
        <w:rPr>
          <w:b/>
          <w:iCs/>
          <w:sz w:val="22"/>
          <w:szCs w:val="22"/>
        </w:rPr>
        <w:t xml:space="preserve"> you ever been tested for HIV?” on the Behavioral Risk Factors Surveillance Survey (BRFSS), Nevada 201</w:t>
      </w:r>
      <w:r>
        <w:rPr>
          <w:b/>
          <w:iCs/>
          <w:sz w:val="22"/>
          <w:szCs w:val="22"/>
        </w:rPr>
        <w:t>4</w:t>
      </w:r>
      <w:r w:rsidR="00D00FE6">
        <w:rPr>
          <w:rStyle w:val="EndnoteReference"/>
          <w:b/>
          <w:iCs/>
          <w:sz w:val="22"/>
          <w:szCs w:val="22"/>
        </w:rPr>
        <w:endnoteReference w:id="15"/>
      </w:r>
    </w:p>
    <w:tbl>
      <w:tblPr>
        <w:tblW w:w="3559" w:type="pct"/>
        <w:jc w:val="center"/>
        <w:tblLook w:val="04A0" w:firstRow="1" w:lastRow="0" w:firstColumn="1" w:lastColumn="0" w:noHBand="0" w:noVBand="1"/>
      </w:tblPr>
      <w:tblGrid>
        <w:gridCol w:w="2888"/>
        <w:gridCol w:w="537"/>
        <w:gridCol w:w="222"/>
        <w:gridCol w:w="1117"/>
        <w:gridCol w:w="574"/>
        <w:gridCol w:w="1317"/>
      </w:tblGrid>
      <w:tr w:rsidR="00334745" w:rsidRPr="004D7A55" w:rsidTr="00D00FE6">
        <w:trPr>
          <w:jc w:val="center"/>
        </w:trPr>
        <w:tc>
          <w:tcPr>
            <w:tcW w:w="2174" w:type="pct"/>
            <w:tcBorders>
              <w:top w:val="nil"/>
              <w:left w:val="single" w:sz="4" w:space="0" w:color="auto"/>
              <w:bottom w:val="single" w:sz="4" w:space="0" w:color="auto"/>
              <w:right w:val="single" w:sz="4" w:space="0" w:color="auto"/>
            </w:tcBorders>
            <w:shd w:val="clear" w:color="000000" w:fill="4F81BD"/>
            <w:vAlign w:val="center"/>
            <w:hideMark/>
          </w:tcPr>
          <w:p w:rsidR="00334745" w:rsidRPr="00E260BE" w:rsidRDefault="00334745" w:rsidP="00234241">
            <w:pPr>
              <w:spacing w:before="0" w:after="0" w:line="240" w:lineRule="auto"/>
              <w:rPr>
                <w:rFonts w:eastAsia="Times New Roman"/>
              </w:rPr>
            </w:pPr>
            <w:r w:rsidRPr="00E260BE">
              <w:rPr>
                <w:rFonts w:eastAsia="Times New Roman"/>
              </w:rPr>
              <w:t> </w:t>
            </w:r>
          </w:p>
        </w:tc>
        <w:tc>
          <w:tcPr>
            <w:tcW w:w="403" w:type="pct"/>
            <w:tcBorders>
              <w:top w:val="nil"/>
              <w:left w:val="nil"/>
              <w:bottom w:val="single" w:sz="4" w:space="0" w:color="auto"/>
              <w:right w:val="nil"/>
            </w:tcBorders>
            <w:shd w:val="clear" w:color="000000" w:fill="4F81BD"/>
            <w:noWrap/>
            <w:vAlign w:val="center"/>
            <w:hideMark/>
          </w:tcPr>
          <w:p w:rsidR="00334745" w:rsidRPr="004D7A55" w:rsidRDefault="00334745" w:rsidP="00234241">
            <w:pPr>
              <w:spacing w:before="0" w:after="0" w:line="240" w:lineRule="auto"/>
              <w:rPr>
                <w:rFonts w:eastAsia="Times New Roman"/>
                <w:bCs/>
                <w:color w:val="FFFFFF" w:themeColor="background1"/>
              </w:rPr>
            </w:pPr>
            <w:r w:rsidRPr="004D7A55">
              <w:rPr>
                <w:rFonts w:eastAsia="Times New Roman"/>
                <w:bCs/>
                <w:color w:val="FFFFFF" w:themeColor="background1"/>
              </w:rPr>
              <w:t xml:space="preserve"> Yes</w:t>
            </w:r>
          </w:p>
        </w:tc>
        <w:tc>
          <w:tcPr>
            <w:tcW w:w="167" w:type="pct"/>
            <w:tcBorders>
              <w:top w:val="nil"/>
              <w:left w:val="nil"/>
              <w:bottom w:val="single" w:sz="4" w:space="0" w:color="auto"/>
              <w:right w:val="nil"/>
            </w:tcBorders>
            <w:shd w:val="clear" w:color="000000" w:fill="4F81BD"/>
            <w:vAlign w:val="center"/>
          </w:tcPr>
          <w:p w:rsidR="00334745" w:rsidRPr="004D7A55" w:rsidRDefault="00334745" w:rsidP="00234241">
            <w:pPr>
              <w:spacing w:before="0" w:after="0" w:line="240" w:lineRule="auto"/>
              <w:rPr>
                <w:rFonts w:eastAsia="Times New Roman"/>
                <w:bCs/>
                <w:color w:val="FFFFFF" w:themeColor="background1"/>
              </w:rPr>
            </w:pPr>
          </w:p>
        </w:tc>
        <w:tc>
          <w:tcPr>
            <w:tcW w:w="832" w:type="pct"/>
            <w:tcBorders>
              <w:top w:val="nil"/>
              <w:left w:val="nil"/>
              <w:bottom w:val="single" w:sz="4" w:space="0" w:color="auto"/>
              <w:right w:val="single" w:sz="4" w:space="0" w:color="auto"/>
            </w:tcBorders>
            <w:shd w:val="clear" w:color="000000" w:fill="4F81BD"/>
            <w:noWrap/>
            <w:vAlign w:val="center"/>
            <w:hideMark/>
          </w:tcPr>
          <w:p w:rsidR="00334745" w:rsidRPr="004D7A55" w:rsidRDefault="00334745" w:rsidP="00234241">
            <w:pPr>
              <w:spacing w:before="0" w:after="0" w:line="240" w:lineRule="auto"/>
              <w:rPr>
                <w:rFonts w:eastAsia="Times New Roman"/>
                <w:bCs/>
                <w:color w:val="FFFFFF" w:themeColor="background1"/>
              </w:rPr>
            </w:pPr>
            <w:r w:rsidRPr="004D7A55">
              <w:rPr>
                <w:rFonts w:eastAsia="Times New Roman"/>
                <w:bCs/>
                <w:color w:val="FFFFFF" w:themeColor="background1"/>
              </w:rPr>
              <w:t>CI</w:t>
            </w:r>
            <w:r w:rsidR="00245E82">
              <w:rPr>
                <w:rFonts w:eastAsia="Times New Roman"/>
                <w:bCs/>
                <w:color w:val="FFFFFF" w:themeColor="background1"/>
              </w:rPr>
              <w:t>*</w:t>
            </w:r>
          </w:p>
        </w:tc>
        <w:tc>
          <w:tcPr>
            <w:tcW w:w="429" w:type="pct"/>
            <w:tcBorders>
              <w:top w:val="nil"/>
              <w:left w:val="single" w:sz="4" w:space="0" w:color="auto"/>
              <w:bottom w:val="single" w:sz="4" w:space="0" w:color="auto"/>
            </w:tcBorders>
            <w:shd w:val="clear" w:color="000000" w:fill="4F81BD"/>
            <w:vAlign w:val="center"/>
            <w:hideMark/>
          </w:tcPr>
          <w:p w:rsidR="00334745" w:rsidRPr="004D7A55" w:rsidRDefault="00334745" w:rsidP="00234241">
            <w:pPr>
              <w:spacing w:before="0" w:after="0" w:line="240" w:lineRule="auto"/>
              <w:rPr>
                <w:rFonts w:eastAsia="Times New Roman"/>
                <w:bCs/>
                <w:color w:val="FFFFFF" w:themeColor="background1"/>
              </w:rPr>
            </w:pPr>
            <w:r w:rsidRPr="004D7A55">
              <w:rPr>
                <w:rFonts w:eastAsia="Times New Roman"/>
                <w:bCs/>
                <w:color w:val="FFFFFF" w:themeColor="background1"/>
              </w:rPr>
              <w:t>No</w:t>
            </w:r>
          </w:p>
        </w:tc>
        <w:tc>
          <w:tcPr>
            <w:tcW w:w="994" w:type="pct"/>
            <w:tcBorders>
              <w:top w:val="nil"/>
              <w:left w:val="nil"/>
              <w:bottom w:val="single" w:sz="4" w:space="0" w:color="auto"/>
              <w:right w:val="single" w:sz="4" w:space="0" w:color="auto"/>
            </w:tcBorders>
            <w:shd w:val="clear" w:color="000000" w:fill="4F81BD"/>
          </w:tcPr>
          <w:p w:rsidR="00334745" w:rsidRPr="004D7A55" w:rsidRDefault="00334745" w:rsidP="00234241">
            <w:pPr>
              <w:spacing w:before="0" w:after="0" w:line="240" w:lineRule="auto"/>
              <w:rPr>
                <w:rFonts w:eastAsia="Times New Roman"/>
                <w:bCs/>
                <w:color w:val="FFFFFF" w:themeColor="background1"/>
              </w:rPr>
            </w:pPr>
            <w:r w:rsidRPr="004D7A55">
              <w:rPr>
                <w:rFonts w:eastAsia="Times New Roman"/>
                <w:bCs/>
                <w:color w:val="FFFFFF" w:themeColor="background1"/>
              </w:rPr>
              <w:t>CI</w:t>
            </w:r>
            <w:r w:rsidR="00245E82">
              <w:rPr>
                <w:rFonts w:eastAsia="Times New Roman"/>
                <w:bCs/>
                <w:color w:val="FFFFFF" w:themeColor="background1"/>
              </w:rPr>
              <w:t>*</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D9D9D9"/>
            <w:noWrap/>
            <w:vAlign w:val="center"/>
          </w:tcPr>
          <w:p w:rsidR="00334745" w:rsidRPr="00E260BE" w:rsidRDefault="00801B05" w:rsidP="00234241">
            <w:pPr>
              <w:spacing w:before="0" w:after="0" w:line="240" w:lineRule="auto"/>
              <w:rPr>
                <w:rFonts w:eastAsia="Times New Roman"/>
                <w:b/>
                <w:bCs/>
              </w:rPr>
            </w:pPr>
            <w:r>
              <w:rPr>
                <w:rFonts w:eastAsia="Times New Roman"/>
                <w:b/>
                <w:bCs/>
              </w:rPr>
              <w:t>Sex</w:t>
            </w:r>
            <w:r w:rsidR="00334745">
              <w:rPr>
                <w:rFonts w:eastAsia="Times New Roman"/>
                <w:b/>
                <w:bCs/>
              </w:rPr>
              <w:t xml:space="preserve"> at Birth</w:t>
            </w:r>
          </w:p>
        </w:tc>
        <w:tc>
          <w:tcPr>
            <w:tcW w:w="570" w:type="pct"/>
            <w:gridSpan w:val="2"/>
            <w:tcBorders>
              <w:top w:val="single" w:sz="4" w:space="0" w:color="auto"/>
              <w:left w:val="single" w:sz="4" w:space="0" w:color="auto"/>
              <w:bottom w:val="single" w:sz="4" w:space="0" w:color="auto"/>
              <w:right w:val="nil"/>
            </w:tcBorders>
            <w:shd w:val="clear" w:color="000000" w:fill="D9D9D9"/>
            <w:noWrap/>
            <w:vAlign w:val="center"/>
          </w:tcPr>
          <w:p w:rsidR="00334745" w:rsidRPr="004D7A55" w:rsidRDefault="00334745" w:rsidP="00234241">
            <w:pPr>
              <w:spacing w:before="0" w:after="0" w:line="240" w:lineRule="auto"/>
              <w:rPr>
                <w:rFonts w:eastAsia="Times New Roman"/>
                <w:bCs/>
              </w:rPr>
            </w:pPr>
          </w:p>
        </w:tc>
        <w:tc>
          <w:tcPr>
            <w:tcW w:w="832" w:type="pct"/>
            <w:tcBorders>
              <w:top w:val="single" w:sz="4" w:space="0" w:color="auto"/>
              <w:left w:val="nil"/>
              <w:bottom w:val="single" w:sz="4" w:space="0" w:color="auto"/>
              <w:right w:val="single" w:sz="4" w:space="0" w:color="auto"/>
            </w:tcBorders>
            <w:shd w:val="clear" w:color="000000" w:fill="D9D9D9"/>
            <w:noWrap/>
            <w:vAlign w:val="center"/>
          </w:tcPr>
          <w:p w:rsidR="00334745" w:rsidRPr="004D7A55" w:rsidRDefault="00334745" w:rsidP="00234241">
            <w:pPr>
              <w:spacing w:before="0" w:after="0" w:line="240" w:lineRule="auto"/>
              <w:rPr>
                <w:rFonts w:eastAsia="Times New Roman"/>
                <w:bCs/>
              </w:rPr>
            </w:pPr>
          </w:p>
        </w:tc>
        <w:tc>
          <w:tcPr>
            <w:tcW w:w="429" w:type="pct"/>
            <w:tcBorders>
              <w:top w:val="single" w:sz="4" w:space="0" w:color="auto"/>
              <w:left w:val="single" w:sz="4" w:space="0" w:color="auto"/>
              <w:bottom w:val="single" w:sz="4" w:space="0" w:color="auto"/>
            </w:tcBorders>
            <w:shd w:val="clear" w:color="000000" w:fill="D9D9D9"/>
            <w:noWrap/>
            <w:vAlign w:val="center"/>
          </w:tcPr>
          <w:p w:rsidR="00334745" w:rsidRPr="004D7A55" w:rsidRDefault="00334745" w:rsidP="00234241">
            <w:pPr>
              <w:spacing w:before="0" w:after="0" w:line="240" w:lineRule="auto"/>
              <w:rPr>
                <w:rFonts w:eastAsia="Times New Roman"/>
                <w:bCs/>
              </w:rPr>
            </w:pPr>
          </w:p>
        </w:tc>
        <w:tc>
          <w:tcPr>
            <w:tcW w:w="994" w:type="pct"/>
            <w:tcBorders>
              <w:top w:val="nil"/>
              <w:left w:val="nil"/>
              <w:bottom w:val="single" w:sz="4" w:space="0" w:color="auto"/>
              <w:right w:val="single" w:sz="4" w:space="0" w:color="auto"/>
            </w:tcBorders>
            <w:shd w:val="clear" w:color="000000" w:fill="D9D9D9"/>
          </w:tcPr>
          <w:p w:rsidR="00334745" w:rsidRPr="004D7A55" w:rsidRDefault="00334745" w:rsidP="00234241">
            <w:pPr>
              <w:spacing w:before="0" w:after="0" w:line="240" w:lineRule="auto"/>
              <w:rPr>
                <w:rFonts w:eastAsia="Times New Roman"/>
                <w:bCs/>
              </w:rPr>
            </w:pP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auto" w:fill="auto"/>
            <w:noWrap/>
            <w:vAlign w:val="center"/>
          </w:tcPr>
          <w:p w:rsidR="00334745" w:rsidRPr="004D7A55" w:rsidRDefault="00334745" w:rsidP="00234241">
            <w:pPr>
              <w:spacing w:before="0" w:after="0" w:line="240" w:lineRule="auto"/>
              <w:rPr>
                <w:rFonts w:eastAsia="Times New Roman"/>
                <w:bCs/>
              </w:rPr>
            </w:pPr>
            <w:r w:rsidRPr="004D7A55">
              <w:rPr>
                <w:rFonts w:eastAsia="Times New Roman"/>
                <w:bCs/>
              </w:rPr>
              <w:t>Male</w:t>
            </w:r>
          </w:p>
        </w:tc>
        <w:tc>
          <w:tcPr>
            <w:tcW w:w="570" w:type="pct"/>
            <w:gridSpan w:val="2"/>
            <w:tcBorders>
              <w:top w:val="single" w:sz="4" w:space="0" w:color="auto"/>
              <w:left w:val="single" w:sz="4" w:space="0" w:color="auto"/>
              <w:bottom w:val="single" w:sz="4" w:space="0" w:color="auto"/>
              <w:right w:val="nil"/>
            </w:tcBorders>
            <w:shd w:val="clear" w:color="auto" w:fill="auto"/>
            <w:noWrap/>
            <w:vAlign w:val="center"/>
          </w:tcPr>
          <w:p w:rsidR="00334745" w:rsidRPr="004D7A55" w:rsidRDefault="00334745" w:rsidP="00234241">
            <w:pPr>
              <w:spacing w:before="0" w:after="0" w:line="240" w:lineRule="auto"/>
              <w:rPr>
                <w:rFonts w:eastAsia="Times New Roman"/>
                <w:bCs/>
              </w:rPr>
            </w:pPr>
            <w:r w:rsidRPr="004D7A55">
              <w:rPr>
                <w:rFonts w:eastAsia="Times New Roman"/>
                <w:bCs/>
              </w:rPr>
              <w:t>42.7</w:t>
            </w:r>
          </w:p>
        </w:tc>
        <w:tc>
          <w:tcPr>
            <w:tcW w:w="832" w:type="pct"/>
            <w:tcBorders>
              <w:top w:val="single" w:sz="4" w:space="0" w:color="auto"/>
              <w:left w:val="nil"/>
              <w:bottom w:val="single" w:sz="4" w:space="0" w:color="auto"/>
              <w:right w:val="single" w:sz="4" w:space="0" w:color="auto"/>
            </w:tcBorders>
            <w:shd w:val="clear" w:color="auto" w:fill="auto"/>
            <w:noWrap/>
            <w:vAlign w:val="center"/>
          </w:tcPr>
          <w:p w:rsidR="00334745" w:rsidRPr="004D7A55" w:rsidRDefault="00334745" w:rsidP="00234241">
            <w:pPr>
              <w:spacing w:before="0" w:after="0" w:line="240" w:lineRule="auto"/>
              <w:rPr>
                <w:rFonts w:eastAsia="Times New Roman"/>
                <w:bCs/>
              </w:rPr>
            </w:pPr>
            <w:r>
              <w:rPr>
                <w:rFonts w:eastAsia="Times New Roman"/>
                <w:bCs/>
              </w:rPr>
              <w:t>(38.8-46.6)</w:t>
            </w:r>
          </w:p>
        </w:tc>
        <w:tc>
          <w:tcPr>
            <w:tcW w:w="429" w:type="pct"/>
            <w:tcBorders>
              <w:top w:val="single" w:sz="4" w:space="0" w:color="auto"/>
              <w:left w:val="single" w:sz="4" w:space="0" w:color="auto"/>
              <w:bottom w:val="single" w:sz="4" w:space="0" w:color="auto"/>
            </w:tcBorders>
            <w:shd w:val="clear" w:color="auto" w:fill="auto"/>
            <w:noWrap/>
            <w:vAlign w:val="center"/>
          </w:tcPr>
          <w:p w:rsidR="00334745" w:rsidRPr="004D7A55" w:rsidRDefault="00334745" w:rsidP="00234241">
            <w:pPr>
              <w:spacing w:before="0" w:after="0" w:line="240" w:lineRule="auto"/>
              <w:rPr>
                <w:rFonts w:eastAsia="Times New Roman"/>
                <w:bCs/>
              </w:rPr>
            </w:pPr>
            <w:r>
              <w:rPr>
                <w:rFonts w:eastAsia="Times New Roman"/>
                <w:bCs/>
              </w:rPr>
              <w:t>57.3</w:t>
            </w:r>
          </w:p>
        </w:tc>
        <w:tc>
          <w:tcPr>
            <w:tcW w:w="994" w:type="pct"/>
            <w:tcBorders>
              <w:top w:val="nil"/>
              <w:left w:val="nil"/>
              <w:bottom w:val="single" w:sz="4" w:space="0" w:color="auto"/>
              <w:right w:val="single" w:sz="4" w:space="0" w:color="auto"/>
            </w:tcBorders>
            <w:shd w:val="clear" w:color="auto" w:fill="auto"/>
          </w:tcPr>
          <w:p w:rsidR="00334745" w:rsidRPr="004D7A55" w:rsidRDefault="00334745" w:rsidP="00234241">
            <w:pPr>
              <w:spacing w:before="0" w:after="0" w:line="240" w:lineRule="auto"/>
              <w:rPr>
                <w:rFonts w:eastAsia="Times New Roman"/>
                <w:bCs/>
              </w:rPr>
            </w:pPr>
            <w:r>
              <w:rPr>
                <w:rFonts w:eastAsia="Times New Roman"/>
                <w:bCs/>
              </w:rPr>
              <w:t>(53.4-61.2)</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auto" w:fill="auto"/>
            <w:noWrap/>
            <w:vAlign w:val="center"/>
          </w:tcPr>
          <w:p w:rsidR="00334745" w:rsidRPr="004D7A55" w:rsidRDefault="00334745" w:rsidP="00234241">
            <w:pPr>
              <w:spacing w:before="0" w:after="0" w:line="240" w:lineRule="auto"/>
              <w:rPr>
                <w:rFonts w:eastAsia="Times New Roman"/>
                <w:bCs/>
              </w:rPr>
            </w:pPr>
            <w:r w:rsidRPr="004D7A55">
              <w:rPr>
                <w:rFonts w:eastAsia="Times New Roman"/>
                <w:bCs/>
              </w:rPr>
              <w:t>Female</w:t>
            </w:r>
          </w:p>
        </w:tc>
        <w:tc>
          <w:tcPr>
            <w:tcW w:w="570" w:type="pct"/>
            <w:gridSpan w:val="2"/>
            <w:tcBorders>
              <w:top w:val="single" w:sz="4" w:space="0" w:color="auto"/>
              <w:left w:val="single" w:sz="4" w:space="0" w:color="auto"/>
              <w:bottom w:val="single" w:sz="4" w:space="0" w:color="auto"/>
              <w:right w:val="nil"/>
            </w:tcBorders>
            <w:shd w:val="clear" w:color="auto" w:fill="auto"/>
            <w:noWrap/>
            <w:vAlign w:val="center"/>
          </w:tcPr>
          <w:p w:rsidR="00334745" w:rsidRPr="004D7A55" w:rsidRDefault="00334745" w:rsidP="00234241">
            <w:pPr>
              <w:spacing w:before="0" w:after="0" w:line="240" w:lineRule="auto"/>
              <w:rPr>
                <w:rFonts w:eastAsia="Times New Roman"/>
                <w:bCs/>
              </w:rPr>
            </w:pPr>
            <w:r>
              <w:rPr>
                <w:rFonts w:eastAsia="Times New Roman"/>
                <w:bCs/>
              </w:rPr>
              <w:t>38.6</w:t>
            </w:r>
          </w:p>
        </w:tc>
        <w:tc>
          <w:tcPr>
            <w:tcW w:w="832" w:type="pct"/>
            <w:tcBorders>
              <w:top w:val="single" w:sz="4" w:space="0" w:color="auto"/>
              <w:left w:val="nil"/>
              <w:bottom w:val="single" w:sz="4" w:space="0" w:color="auto"/>
              <w:right w:val="single" w:sz="4" w:space="0" w:color="auto"/>
            </w:tcBorders>
            <w:shd w:val="clear" w:color="auto" w:fill="auto"/>
            <w:noWrap/>
            <w:vAlign w:val="center"/>
          </w:tcPr>
          <w:p w:rsidR="00334745" w:rsidRPr="004D7A55" w:rsidRDefault="00334745" w:rsidP="00234241">
            <w:pPr>
              <w:spacing w:before="0" w:after="0" w:line="240" w:lineRule="auto"/>
              <w:rPr>
                <w:rFonts w:eastAsia="Times New Roman"/>
                <w:bCs/>
              </w:rPr>
            </w:pPr>
            <w:r>
              <w:rPr>
                <w:rFonts w:eastAsia="Times New Roman"/>
                <w:bCs/>
              </w:rPr>
              <w:t>(35.0-42.1)</w:t>
            </w:r>
          </w:p>
        </w:tc>
        <w:tc>
          <w:tcPr>
            <w:tcW w:w="429" w:type="pct"/>
            <w:tcBorders>
              <w:top w:val="single" w:sz="4" w:space="0" w:color="auto"/>
              <w:left w:val="single" w:sz="4" w:space="0" w:color="auto"/>
              <w:bottom w:val="single" w:sz="4" w:space="0" w:color="auto"/>
            </w:tcBorders>
            <w:shd w:val="clear" w:color="auto" w:fill="auto"/>
            <w:noWrap/>
            <w:vAlign w:val="center"/>
          </w:tcPr>
          <w:p w:rsidR="00334745" w:rsidRPr="004D7A55" w:rsidRDefault="00334745" w:rsidP="00234241">
            <w:pPr>
              <w:spacing w:before="0" w:after="0" w:line="240" w:lineRule="auto"/>
              <w:rPr>
                <w:rFonts w:eastAsia="Times New Roman"/>
                <w:bCs/>
              </w:rPr>
            </w:pPr>
            <w:r>
              <w:rPr>
                <w:rFonts w:eastAsia="Times New Roman"/>
                <w:bCs/>
              </w:rPr>
              <w:t xml:space="preserve">61.4 </w:t>
            </w:r>
          </w:p>
        </w:tc>
        <w:tc>
          <w:tcPr>
            <w:tcW w:w="994" w:type="pct"/>
            <w:tcBorders>
              <w:top w:val="nil"/>
              <w:left w:val="nil"/>
              <w:bottom w:val="single" w:sz="4" w:space="0" w:color="auto"/>
              <w:right w:val="single" w:sz="4" w:space="0" w:color="auto"/>
            </w:tcBorders>
            <w:shd w:val="clear" w:color="auto" w:fill="auto"/>
          </w:tcPr>
          <w:p w:rsidR="00334745" w:rsidRPr="004D7A55" w:rsidRDefault="00334745" w:rsidP="00234241">
            <w:pPr>
              <w:spacing w:before="0" w:after="0" w:line="240" w:lineRule="auto"/>
              <w:rPr>
                <w:rFonts w:eastAsia="Times New Roman"/>
                <w:bCs/>
              </w:rPr>
            </w:pPr>
            <w:r>
              <w:rPr>
                <w:rFonts w:eastAsia="Times New Roman"/>
                <w:bCs/>
              </w:rPr>
              <w:t>(57.9-65.0)</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D9D9D9"/>
            <w:noWrap/>
            <w:vAlign w:val="center"/>
            <w:hideMark/>
          </w:tcPr>
          <w:p w:rsidR="00334745" w:rsidRPr="00E260BE" w:rsidRDefault="00334745" w:rsidP="00234241">
            <w:pPr>
              <w:spacing w:before="0" w:after="0" w:line="240" w:lineRule="auto"/>
              <w:rPr>
                <w:rFonts w:eastAsia="Times New Roman"/>
                <w:b/>
                <w:bCs/>
              </w:rPr>
            </w:pPr>
            <w:r w:rsidRPr="00E260BE">
              <w:rPr>
                <w:rFonts w:eastAsia="Times New Roman"/>
                <w:b/>
                <w:bCs/>
              </w:rPr>
              <w:t>Race/Ethnicity</w:t>
            </w:r>
          </w:p>
        </w:tc>
        <w:tc>
          <w:tcPr>
            <w:tcW w:w="570"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334745" w:rsidRPr="004D7A55" w:rsidRDefault="00334745" w:rsidP="00234241">
            <w:pPr>
              <w:spacing w:before="0" w:after="0" w:line="240" w:lineRule="auto"/>
              <w:rPr>
                <w:rFonts w:eastAsia="Times New Roman"/>
                <w:bCs/>
              </w:rPr>
            </w:pPr>
            <w:r w:rsidRPr="004D7A55">
              <w:rPr>
                <w:rFonts w:eastAsia="Times New Roman"/>
                <w:bCs/>
              </w:rPr>
              <w:t> </w:t>
            </w:r>
          </w:p>
        </w:tc>
        <w:tc>
          <w:tcPr>
            <w:tcW w:w="832" w:type="pct"/>
            <w:tcBorders>
              <w:top w:val="single" w:sz="4" w:space="0" w:color="auto"/>
              <w:left w:val="nil"/>
              <w:bottom w:val="single" w:sz="4" w:space="0" w:color="auto"/>
              <w:right w:val="single" w:sz="4" w:space="0" w:color="auto"/>
            </w:tcBorders>
            <w:shd w:val="clear" w:color="000000" w:fill="D9D9D9"/>
            <w:noWrap/>
            <w:vAlign w:val="center"/>
            <w:hideMark/>
          </w:tcPr>
          <w:p w:rsidR="00334745" w:rsidRPr="004D7A55" w:rsidRDefault="00334745" w:rsidP="00234241">
            <w:pPr>
              <w:spacing w:before="0" w:after="0" w:line="240" w:lineRule="auto"/>
              <w:rPr>
                <w:rFonts w:eastAsia="Times New Roman"/>
                <w:bCs/>
              </w:rPr>
            </w:pPr>
            <w:r w:rsidRPr="004D7A55">
              <w:rPr>
                <w:rFonts w:eastAsia="Times New Roman"/>
                <w:bCs/>
              </w:rPr>
              <w:t> </w:t>
            </w:r>
          </w:p>
        </w:tc>
        <w:tc>
          <w:tcPr>
            <w:tcW w:w="429" w:type="pct"/>
            <w:tcBorders>
              <w:top w:val="single" w:sz="4" w:space="0" w:color="auto"/>
              <w:left w:val="single" w:sz="4" w:space="0" w:color="auto"/>
              <w:bottom w:val="single" w:sz="4" w:space="0" w:color="auto"/>
            </w:tcBorders>
            <w:shd w:val="clear" w:color="000000" w:fill="D9D9D9"/>
            <w:noWrap/>
            <w:vAlign w:val="center"/>
            <w:hideMark/>
          </w:tcPr>
          <w:p w:rsidR="00334745" w:rsidRPr="004D7A55" w:rsidRDefault="00334745" w:rsidP="00234241">
            <w:pPr>
              <w:spacing w:before="0" w:after="0" w:line="240" w:lineRule="auto"/>
              <w:rPr>
                <w:rFonts w:eastAsia="Times New Roman"/>
                <w:bCs/>
              </w:rPr>
            </w:pPr>
            <w:r w:rsidRPr="004D7A55">
              <w:rPr>
                <w:rFonts w:eastAsia="Times New Roman"/>
                <w:bCs/>
              </w:rPr>
              <w:t> </w:t>
            </w:r>
          </w:p>
        </w:tc>
        <w:tc>
          <w:tcPr>
            <w:tcW w:w="994" w:type="pct"/>
            <w:tcBorders>
              <w:top w:val="nil"/>
              <w:left w:val="nil"/>
              <w:bottom w:val="single" w:sz="4" w:space="0" w:color="auto"/>
              <w:right w:val="single" w:sz="4" w:space="0" w:color="auto"/>
            </w:tcBorders>
            <w:shd w:val="clear" w:color="000000" w:fill="D9D9D9"/>
          </w:tcPr>
          <w:p w:rsidR="00334745" w:rsidRPr="004D7A55" w:rsidRDefault="00334745" w:rsidP="00234241">
            <w:pPr>
              <w:spacing w:before="0" w:after="0" w:line="240" w:lineRule="auto"/>
              <w:rPr>
                <w:rFonts w:eastAsia="Times New Roman"/>
                <w:bCs/>
              </w:rPr>
            </w:pPr>
          </w:p>
        </w:tc>
      </w:tr>
      <w:tr w:rsidR="00334745" w:rsidRPr="004D7A55" w:rsidTr="00D00FE6">
        <w:trPr>
          <w:jc w:val="center"/>
        </w:trPr>
        <w:tc>
          <w:tcPr>
            <w:tcW w:w="2174" w:type="pct"/>
            <w:tcBorders>
              <w:top w:val="nil"/>
              <w:left w:val="single" w:sz="4" w:space="0" w:color="auto"/>
              <w:bottom w:val="nil"/>
              <w:right w:val="nil"/>
            </w:tcBorders>
            <w:shd w:val="clear" w:color="000000" w:fill="FFFFFF"/>
            <w:noWrap/>
            <w:vAlign w:val="center"/>
            <w:hideMark/>
          </w:tcPr>
          <w:p w:rsidR="00334745" w:rsidRPr="00E260BE" w:rsidRDefault="00334745" w:rsidP="00234241">
            <w:pPr>
              <w:spacing w:before="0" w:after="0" w:line="240" w:lineRule="auto"/>
              <w:rPr>
                <w:rFonts w:eastAsia="Times New Roman"/>
                <w:color w:val="000000"/>
              </w:rPr>
            </w:pPr>
            <w:r w:rsidRPr="00E260BE">
              <w:rPr>
                <w:rFonts w:eastAsia="Times New Roman"/>
                <w:color w:val="000000"/>
              </w:rPr>
              <w:t>White, non-Hispanic</w:t>
            </w:r>
          </w:p>
        </w:tc>
        <w:tc>
          <w:tcPr>
            <w:tcW w:w="570" w:type="pct"/>
            <w:gridSpan w:val="2"/>
            <w:tcBorders>
              <w:top w:val="nil"/>
              <w:left w:val="single" w:sz="4" w:space="0" w:color="auto"/>
              <w:bottom w:val="nil"/>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39.4</w:t>
            </w:r>
          </w:p>
        </w:tc>
        <w:tc>
          <w:tcPr>
            <w:tcW w:w="832" w:type="pct"/>
            <w:tcBorders>
              <w:top w:val="nil"/>
              <w:left w:val="nil"/>
              <w:bottom w:val="nil"/>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(36.4-42.4)</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60.6</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(57.6-63.6)</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FFFFFF"/>
            <w:noWrap/>
            <w:vAlign w:val="center"/>
            <w:hideMark/>
          </w:tcPr>
          <w:p w:rsidR="00334745" w:rsidRPr="00E260BE" w:rsidRDefault="00334745" w:rsidP="00234241">
            <w:pPr>
              <w:spacing w:before="0" w:after="0" w:line="240" w:lineRule="auto"/>
              <w:rPr>
                <w:rFonts w:eastAsia="Times New Roman"/>
                <w:color w:val="000000"/>
              </w:rPr>
            </w:pPr>
            <w:r w:rsidRPr="00E260BE">
              <w:rPr>
                <w:rFonts w:eastAsia="Times New Roman"/>
                <w:color w:val="000000"/>
              </w:rPr>
              <w:t>Black, non-Hispanic</w:t>
            </w:r>
          </w:p>
        </w:tc>
        <w:tc>
          <w:tcPr>
            <w:tcW w:w="570" w:type="pct"/>
            <w:gridSpan w:val="2"/>
            <w:tcBorders>
              <w:top w:val="single" w:sz="4" w:space="0" w:color="auto"/>
              <w:left w:val="single" w:sz="4" w:space="0" w:color="auto"/>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63.7</w:t>
            </w:r>
          </w:p>
        </w:tc>
        <w:tc>
          <w:tcPr>
            <w:tcW w:w="832" w:type="pct"/>
            <w:tcBorders>
              <w:top w:val="single" w:sz="4" w:space="0" w:color="auto"/>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(54.3-73.2)</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36.3</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(26.8-45.7)</w:t>
            </w:r>
          </w:p>
        </w:tc>
      </w:tr>
      <w:tr w:rsidR="00334745" w:rsidRPr="004D7A55" w:rsidTr="00D00FE6">
        <w:trPr>
          <w:jc w:val="center"/>
        </w:trPr>
        <w:tc>
          <w:tcPr>
            <w:tcW w:w="2174" w:type="pct"/>
            <w:tcBorders>
              <w:top w:val="nil"/>
              <w:left w:val="single" w:sz="4" w:space="0" w:color="auto"/>
              <w:bottom w:val="nil"/>
              <w:right w:val="nil"/>
            </w:tcBorders>
            <w:shd w:val="clear" w:color="000000" w:fill="FFFFFF"/>
            <w:noWrap/>
            <w:vAlign w:val="center"/>
            <w:hideMark/>
          </w:tcPr>
          <w:p w:rsidR="00334745" w:rsidRPr="00E260BE" w:rsidRDefault="00334745" w:rsidP="00234241">
            <w:pPr>
              <w:spacing w:before="0" w:after="0" w:line="240" w:lineRule="auto"/>
              <w:rPr>
                <w:rFonts w:eastAsia="Times New Roman"/>
                <w:color w:val="000000"/>
              </w:rPr>
            </w:pPr>
            <w:r w:rsidRPr="00E260BE">
              <w:rPr>
                <w:rFonts w:eastAsia="Times New Roman"/>
                <w:color w:val="000000"/>
              </w:rPr>
              <w:t>Hispanic</w:t>
            </w:r>
          </w:p>
        </w:tc>
        <w:tc>
          <w:tcPr>
            <w:tcW w:w="570" w:type="pct"/>
            <w:gridSpan w:val="2"/>
            <w:tcBorders>
              <w:top w:val="nil"/>
              <w:left w:val="single" w:sz="4" w:space="0" w:color="auto"/>
              <w:bottom w:val="nil"/>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40.6</w:t>
            </w:r>
          </w:p>
        </w:tc>
        <w:tc>
          <w:tcPr>
            <w:tcW w:w="832" w:type="pct"/>
            <w:tcBorders>
              <w:top w:val="nil"/>
              <w:left w:val="nil"/>
              <w:bottom w:val="nil"/>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(34.2-46.9)</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59.4</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(53.1-65.8)</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Other, non-Hispanic</w:t>
            </w:r>
          </w:p>
        </w:tc>
        <w:tc>
          <w:tcPr>
            <w:tcW w:w="570" w:type="pct"/>
            <w:gridSpan w:val="2"/>
            <w:tcBorders>
              <w:top w:val="single" w:sz="4" w:space="0" w:color="auto"/>
              <w:left w:val="single" w:sz="4" w:space="0" w:color="auto"/>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27.0</w:t>
            </w:r>
          </w:p>
        </w:tc>
        <w:tc>
          <w:tcPr>
            <w:tcW w:w="832" w:type="pct"/>
            <w:tcBorders>
              <w:top w:val="single" w:sz="4" w:space="0" w:color="auto"/>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(17.7-36.3)</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73.0</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(63.7-82.3)</w:t>
            </w:r>
          </w:p>
        </w:tc>
      </w:tr>
      <w:tr w:rsidR="00334745" w:rsidRPr="004D7A55" w:rsidTr="00D00FE6">
        <w:trPr>
          <w:jc w:val="center"/>
        </w:trPr>
        <w:tc>
          <w:tcPr>
            <w:tcW w:w="2174" w:type="pct"/>
            <w:tcBorders>
              <w:top w:val="nil"/>
              <w:left w:val="single" w:sz="4" w:space="0" w:color="auto"/>
              <w:bottom w:val="single" w:sz="4" w:space="0" w:color="auto"/>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Multiracial, non-Hispanic</w:t>
            </w:r>
          </w:p>
        </w:tc>
        <w:tc>
          <w:tcPr>
            <w:tcW w:w="570" w:type="pct"/>
            <w:gridSpan w:val="2"/>
            <w:tcBorders>
              <w:top w:val="nil"/>
              <w:left w:val="single" w:sz="4" w:space="0" w:color="auto"/>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49.5</w:t>
            </w:r>
          </w:p>
        </w:tc>
        <w:tc>
          <w:tcPr>
            <w:tcW w:w="832" w:type="pct"/>
            <w:tcBorders>
              <w:top w:val="nil"/>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(33.4-65.6)</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50.5</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(34.4-66.6)</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D9D9D9"/>
            <w:noWrap/>
            <w:vAlign w:val="center"/>
            <w:hideMark/>
          </w:tcPr>
          <w:p w:rsidR="00334745" w:rsidRPr="00E260BE" w:rsidRDefault="00334745" w:rsidP="00234241">
            <w:pPr>
              <w:spacing w:before="0" w:after="0" w:line="240" w:lineRule="auto"/>
              <w:rPr>
                <w:rFonts w:eastAsia="Times New Roman"/>
                <w:b/>
                <w:bCs/>
              </w:rPr>
            </w:pPr>
            <w:r w:rsidRPr="00E260BE">
              <w:rPr>
                <w:rFonts w:eastAsia="Times New Roman"/>
                <w:b/>
                <w:bCs/>
              </w:rPr>
              <w:t xml:space="preserve">Age at </w:t>
            </w:r>
            <w:r>
              <w:rPr>
                <w:rFonts w:eastAsia="Times New Roman"/>
                <w:b/>
                <w:bCs/>
              </w:rPr>
              <w:t>Time of Survey</w:t>
            </w:r>
          </w:p>
        </w:tc>
        <w:tc>
          <w:tcPr>
            <w:tcW w:w="570" w:type="pct"/>
            <w:gridSpan w:val="2"/>
            <w:tcBorders>
              <w:top w:val="single" w:sz="4" w:space="0" w:color="auto"/>
              <w:left w:val="single" w:sz="4" w:space="0" w:color="auto"/>
              <w:bottom w:val="single" w:sz="4" w:space="0" w:color="auto"/>
              <w:right w:val="nil"/>
            </w:tcBorders>
            <w:shd w:val="clear" w:color="000000" w:fill="D9D9D9"/>
            <w:noWrap/>
            <w:vAlign w:val="center"/>
            <w:hideMark/>
          </w:tcPr>
          <w:p w:rsidR="00334745" w:rsidRPr="004D7A55" w:rsidRDefault="00334745" w:rsidP="00234241">
            <w:pPr>
              <w:spacing w:before="0" w:after="0" w:line="240" w:lineRule="auto"/>
              <w:rPr>
                <w:rFonts w:eastAsia="Times New Roman"/>
                <w:bCs/>
              </w:rPr>
            </w:pPr>
            <w:r w:rsidRPr="004D7A55">
              <w:rPr>
                <w:rFonts w:eastAsia="Times New Roman"/>
                <w:bCs/>
              </w:rPr>
              <w:t> </w:t>
            </w:r>
          </w:p>
        </w:tc>
        <w:tc>
          <w:tcPr>
            <w:tcW w:w="832" w:type="pct"/>
            <w:tcBorders>
              <w:top w:val="single" w:sz="4" w:space="0" w:color="auto"/>
              <w:left w:val="nil"/>
              <w:bottom w:val="single" w:sz="4" w:space="0" w:color="auto"/>
              <w:right w:val="single" w:sz="4" w:space="0" w:color="auto"/>
            </w:tcBorders>
            <w:shd w:val="clear" w:color="000000" w:fill="D9D9D9"/>
            <w:noWrap/>
            <w:vAlign w:val="center"/>
            <w:hideMark/>
          </w:tcPr>
          <w:p w:rsidR="00334745" w:rsidRPr="004D7A55" w:rsidRDefault="00334745" w:rsidP="00234241">
            <w:pPr>
              <w:spacing w:before="0" w:after="0" w:line="240" w:lineRule="auto"/>
              <w:rPr>
                <w:rFonts w:eastAsia="Times New Roman"/>
                <w:bCs/>
              </w:rPr>
            </w:pPr>
            <w:r w:rsidRPr="004D7A55">
              <w:rPr>
                <w:rFonts w:eastAsia="Times New Roman"/>
                <w:bCs/>
              </w:rPr>
              <w:t> </w:t>
            </w:r>
          </w:p>
        </w:tc>
        <w:tc>
          <w:tcPr>
            <w:tcW w:w="429" w:type="pct"/>
            <w:tcBorders>
              <w:top w:val="single" w:sz="4" w:space="0" w:color="auto"/>
              <w:left w:val="single" w:sz="4" w:space="0" w:color="auto"/>
              <w:bottom w:val="single" w:sz="4" w:space="0" w:color="auto"/>
            </w:tcBorders>
            <w:shd w:val="clear" w:color="000000" w:fill="D9D9D9"/>
            <w:noWrap/>
            <w:vAlign w:val="center"/>
            <w:hideMark/>
          </w:tcPr>
          <w:p w:rsidR="00334745" w:rsidRPr="004D7A55" w:rsidRDefault="00334745" w:rsidP="00234241">
            <w:pPr>
              <w:spacing w:before="0" w:after="0" w:line="240" w:lineRule="auto"/>
              <w:rPr>
                <w:rFonts w:eastAsia="Times New Roman"/>
                <w:bCs/>
              </w:rPr>
            </w:pPr>
            <w:r w:rsidRPr="004D7A55">
              <w:rPr>
                <w:rFonts w:eastAsia="Times New Roman"/>
                <w:bCs/>
              </w:rPr>
              <w:t> </w:t>
            </w:r>
          </w:p>
        </w:tc>
        <w:tc>
          <w:tcPr>
            <w:tcW w:w="994" w:type="pct"/>
            <w:tcBorders>
              <w:top w:val="single" w:sz="4" w:space="0" w:color="auto"/>
              <w:left w:val="nil"/>
              <w:bottom w:val="single" w:sz="4" w:space="0" w:color="auto"/>
              <w:right w:val="single" w:sz="4" w:space="0" w:color="auto"/>
            </w:tcBorders>
            <w:shd w:val="clear" w:color="000000" w:fill="D9D9D9"/>
          </w:tcPr>
          <w:p w:rsidR="00334745" w:rsidRPr="004D7A55" w:rsidRDefault="00334745" w:rsidP="00234241">
            <w:pPr>
              <w:spacing w:before="0" w:after="0" w:line="240" w:lineRule="auto"/>
              <w:rPr>
                <w:rFonts w:eastAsia="Times New Roman"/>
                <w:bCs/>
              </w:rPr>
            </w:pPr>
          </w:p>
        </w:tc>
      </w:tr>
      <w:tr w:rsidR="00334745" w:rsidRPr="004D7A55" w:rsidTr="00D00FE6">
        <w:trPr>
          <w:jc w:val="center"/>
        </w:trPr>
        <w:tc>
          <w:tcPr>
            <w:tcW w:w="2174" w:type="pct"/>
            <w:tcBorders>
              <w:top w:val="nil"/>
              <w:left w:val="single" w:sz="4" w:space="0" w:color="auto"/>
              <w:bottom w:val="nil"/>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18-24</w:t>
            </w:r>
          </w:p>
        </w:tc>
        <w:tc>
          <w:tcPr>
            <w:tcW w:w="570" w:type="pct"/>
            <w:gridSpan w:val="2"/>
            <w:tcBorders>
              <w:top w:val="nil"/>
              <w:left w:val="single" w:sz="4" w:space="0" w:color="auto"/>
              <w:bottom w:val="nil"/>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30.6</w:t>
            </w:r>
          </w:p>
        </w:tc>
        <w:tc>
          <w:tcPr>
            <w:tcW w:w="832" w:type="pct"/>
            <w:tcBorders>
              <w:top w:val="nil"/>
              <w:left w:val="nil"/>
              <w:bottom w:val="nil"/>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(21.8-39.4)</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69.4</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(60.6-78.2)</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24-34</w:t>
            </w:r>
          </w:p>
        </w:tc>
        <w:tc>
          <w:tcPr>
            <w:tcW w:w="570" w:type="pct"/>
            <w:gridSpan w:val="2"/>
            <w:tcBorders>
              <w:top w:val="single" w:sz="4" w:space="0" w:color="auto"/>
              <w:left w:val="single" w:sz="4" w:space="0" w:color="auto"/>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52.1</w:t>
            </w:r>
          </w:p>
        </w:tc>
        <w:tc>
          <w:tcPr>
            <w:tcW w:w="832" w:type="pct"/>
            <w:tcBorders>
              <w:top w:val="single" w:sz="4" w:space="0" w:color="auto"/>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(44.9-59.2)</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47.9</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(40.8-55.1)</w:t>
            </w:r>
          </w:p>
        </w:tc>
      </w:tr>
      <w:tr w:rsidR="00334745" w:rsidRPr="004D7A55" w:rsidTr="00D00FE6">
        <w:trPr>
          <w:jc w:val="center"/>
        </w:trPr>
        <w:tc>
          <w:tcPr>
            <w:tcW w:w="2174" w:type="pct"/>
            <w:tcBorders>
              <w:top w:val="nil"/>
              <w:left w:val="single" w:sz="4" w:space="0" w:color="auto"/>
              <w:bottom w:val="nil"/>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35-44</w:t>
            </w:r>
          </w:p>
        </w:tc>
        <w:tc>
          <w:tcPr>
            <w:tcW w:w="570" w:type="pct"/>
            <w:gridSpan w:val="2"/>
            <w:tcBorders>
              <w:top w:val="nil"/>
              <w:left w:val="single" w:sz="4" w:space="0" w:color="auto"/>
              <w:bottom w:val="nil"/>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53.1</w:t>
            </w:r>
          </w:p>
        </w:tc>
        <w:tc>
          <w:tcPr>
            <w:tcW w:w="832" w:type="pct"/>
            <w:tcBorders>
              <w:top w:val="nil"/>
              <w:left w:val="nil"/>
              <w:bottom w:val="nil"/>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(46.4-59.8)</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46.9</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(40.2-53.6)</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45-54</w:t>
            </w:r>
          </w:p>
        </w:tc>
        <w:tc>
          <w:tcPr>
            <w:tcW w:w="570" w:type="pct"/>
            <w:gridSpan w:val="2"/>
            <w:tcBorders>
              <w:top w:val="single" w:sz="4" w:space="0" w:color="auto"/>
              <w:left w:val="single" w:sz="4" w:space="0" w:color="auto"/>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44.9</w:t>
            </w:r>
          </w:p>
        </w:tc>
        <w:tc>
          <w:tcPr>
            <w:tcW w:w="832" w:type="pct"/>
            <w:tcBorders>
              <w:top w:val="single" w:sz="4" w:space="0" w:color="auto"/>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(38.8-50.9)</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55.1</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(49.1-61.2)</w:t>
            </w:r>
          </w:p>
        </w:tc>
      </w:tr>
      <w:tr w:rsidR="00334745" w:rsidRPr="004D7A55" w:rsidTr="00D00FE6">
        <w:trPr>
          <w:jc w:val="center"/>
        </w:trPr>
        <w:tc>
          <w:tcPr>
            <w:tcW w:w="2174" w:type="pct"/>
            <w:tcBorders>
              <w:top w:val="nil"/>
              <w:left w:val="single" w:sz="4" w:space="0" w:color="auto"/>
              <w:bottom w:val="single" w:sz="4" w:space="0" w:color="auto"/>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55-64</w:t>
            </w:r>
          </w:p>
        </w:tc>
        <w:tc>
          <w:tcPr>
            <w:tcW w:w="570" w:type="pct"/>
            <w:gridSpan w:val="2"/>
            <w:tcBorders>
              <w:top w:val="nil"/>
              <w:left w:val="single" w:sz="4" w:space="0" w:color="auto"/>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37.0</w:t>
            </w:r>
          </w:p>
        </w:tc>
        <w:tc>
          <w:tcPr>
            <w:tcW w:w="832" w:type="pct"/>
            <w:tcBorders>
              <w:top w:val="nil"/>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(31.2-42.7)</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63.1</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(57.3-68.8)</w:t>
            </w:r>
          </w:p>
        </w:tc>
      </w:tr>
      <w:tr w:rsidR="00334745" w:rsidRPr="004D7A55" w:rsidTr="00D00FE6">
        <w:trPr>
          <w:jc w:val="center"/>
        </w:trPr>
        <w:tc>
          <w:tcPr>
            <w:tcW w:w="2174" w:type="pct"/>
            <w:tcBorders>
              <w:top w:val="nil"/>
              <w:left w:val="single" w:sz="4" w:space="0" w:color="auto"/>
              <w:bottom w:val="single" w:sz="4" w:space="0" w:color="auto"/>
              <w:right w:val="nil"/>
            </w:tcBorders>
            <w:shd w:val="clear" w:color="000000" w:fill="FFFFFF"/>
            <w:noWrap/>
            <w:vAlign w:val="center"/>
          </w:tcPr>
          <w:p w:rsidR="00334745" w:rsidRPr="00E260BE" w:rsidRDefault="00334745" w:rsidP="00234241">
            <w:pPr>
              <w:spacing w:before="0" w:after="0" w:line="240" w:lineRule="auto"/>
              <w:rPr>
                <w:rFonts w:eastAsia="Times New Roman"/>
                <w:color w:val="000000"/>
              </w:rPr>
            </w:pPr>
            <w:r>
              <w:rPr>
                <w:rFonts w:eastAsia="Times New Roman"/>
                <w:color w:val="000000"/>
              </w:rPr>
              <w:t>65+</w:t>
            </w:r>
          </w:p>
        </w:tc>
        <w:tc>
          <w:tcPr>
            <w:tcW w:w="570" w:type="pct"/>
            <w:gridSpan w:val="2"/>
            <w:tcBorders>
              <w:top w:val="nil"/>
              <w:left w:val="single" w:sz="4" w:space="0" w:color="auto"/>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22.6</w:t>
            </w:r>
          </w:p>
        </w:tc>
        <w:tc>
          <w:tcPr>
            <w:tcW w:w="832" w:type="pct"/>
            <w:tcBorders>
              <w:top w:val="nil"/>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(18.9-26.3)</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color w:val="000000"/>
              </w:rPr>
            </w:pPr>
            <w:r>
              <w:rPr>
                <w:rFonts w:eastAsia="Times New Roman"/>
                <w:color w:val="000000"/>
              </w:rPr>
              <w:t>77.4</w:t>
            </w:r>
          </w:p>
        </w:tc>
        <w:tc>
          <w:tcPr>
            <w:tcW w:w="994" w:type="pct"/>
            <w:tcBorders>
              <w:top w:val="nil"/>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color w:val="000000"/>
              </w:rPr>
            </w:pPr>
            <w:r>
              <w:rPr>
                <w:rFonts w:eastAsia="Times New Roman"/>
                <w:color w:val="000000"/>
              </w:rPr>
              <w:t>(73.7-81.1)</w:t>
            </w:r>
          </w:p>
        </w:tc>
      </w:tr>
      <w:tr w:rsidR="0033474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D9D9D9"/>
            <w:vAlign w:val="center"/>
            <w:hideMark/>
          </w:tcPr>
          <w:p w:rsidR="00334745" w:rsidRPr="00E260BE" w:rsidRDefault="00334745" w:rsidP="00234241">
            <w:pPr>
              <w:spacing w:before="0" w:after="0" w:line="240" w:lineRule="auto"/>
              <w:rPr>
                <w:rFonts w:eastAsia="Times New Roman"/>
                <w:b/>
                <w:bCs/>
              </w:rPr>
            </w:pPr>
            <w:r>
              <w:rPr>
                <w:rFonts w:eastAsia="Times New Roman"/>
                <w:b/>
                <w:bCs/>
              </w:rPr>
              <w:t>Education</w:t>
            </w:r>
          </w:p>
        </w:tc>
        <w:tc>
          <w:tcPr>
            <w:tcW w:w="570" w:type="pct"/>
            <w:gridSpan w:val="2"/>
            <w:tcBorders>
              <w:top w:val="single" w:sz="4" w:space="0" w:color="auto"/>
              <w:left w:val="nil"/>
              <w:bottom w:val="nil"/>
              <w:right w:val="nil"/>
            </w:tcBorders>
            <w:shd w:val="clear" w:color="000000" w:fill="D9D9D9"/>
            <w:noWrap/>
            <w:vAlign w:val="center"/>
            <w:hideMark/>
          </w:tcPr>
          <w:p w:rsidR="00334745" w:rsidRPr="004D7A55" w:rsidRDefault="00334745" w:rsidP="00234241">
            <w:pPr>
              <w:spacing w:before="0" w:after="0" w:line="240" w:lineRule="auto"/>
              <w:rPr>
                <w:rFonts w:eastAsia="Times New Roman"/>
              </w:rPr>
            </w:pPr>
            <w:r w:rsidRPr="004D7A55">
              <w:rPr>
                <w:rFonts w:eastAsia="Times New Roman"/>
              </w:rPr>
              <w:t> </w:t>
            </w:r>
          </w:p>
        </w:tc>
        <w:tc>
          <w:tcPr>
            <w:tcW w:w="832" w:type="pct"/>
            <w:tcBorders>
              <w:top w:val="single" w:sz="4" w:space="0" w:color="auto"/>
              <w:left w:val="nil"/>
              <w:bottom w:val="nil"/>
              <w:right w:val="single" w:sz="4" w:space="0" w:color="auto"/>
            </w:tcBorders>
            <w:shd w:val="clear" w:color="000000" w:fill="D9D9D9"/>
            <w:noWrap/>
            <w:vAlign w:val="center"/>
            <w:hideMark/>
          </w:tcPr>
          <w:p w:rsidR="00334745" w:rsidRPr="004D7A55" w:rsidRDefault="00334745" w:rsidP="00234241">
            <w:pPr>
              <w:spacing w:before="0" w:after="0" w:line="240" w:lineRule="auto"/>
              <w:rPr>
                <w:rFonts w:eastAsia="Times New Roman"/>
              </w:rPr>
            </w:pPr>
            <w:r w:rsidRPr="004D7A55">
              <w:rPr>
                <w:rFonts w:eastAsia="Times New Roman"/>
              </w:rPr>
              <w:t> </w:t>
            </w:r>
          </w:p>
        </w:tc>
        <w:tc>
          <w:tcPr>
            <w:tcW w:w="429" w:type="pct"/>
            <w:tcBorders>
              <w:top w:val="single" w:sz="4" w:space="0" w:color="auto"/>
              <w:left w:val="single" w:sz="4" w:space="0" w:color="auto"/>
              <w:bottom w:val="single" w:sz="4" w:space="0" w:color="auto"/>
            </w:tcBorders>
            <w:shd w:val="clear" w:color="000000" w:fill="D9D9D9"/>
            <w:noWrap/>
            <w:vAlign w:val="center"/>
            <w:hideMark/>
          </w:tcPr>
          <w:p w:rsidR="00334745" w:rsidRPr="004D7A55" w:rsidRDefault="00334745" w:rsidP="00234241">
            <w:pPr>
              <w:spacing w:before="0" w:after="0" w:line="240" w:lineRule="auto"/>
              <w:rPr>
                <w:rFonts w:eastAsia="Times New Roman"/>
              </w:rPr>
            </w:pPr>
            <w:r w:rsidRPr="004D7A55">
              <w:rPr>
                <w:rFonts w:eastAsia="Times New Roman"/>
              </w:rPr>
              <w:t> </w:t>
            </w:r>
          </w:p>
        </w:tc>
        <w:tc>
          <w:tcPr>
            <w:tcW w:w="994" w:type="pct"/>
            <w:tcBorders>
              <w:top w:val="nil"/>
              <w:left w:val="nil"/>
              <w:bottom w:val="nil"/>
              <w:right w:val="single" w:sz="4" w:space="0" w:color="auto"/>
            </w:tcBorders>
            <w:shd w:val="clear" w:color="000000" w:fill="D9D9D9"/>
          </w:tcPr>
          <w:p w:rsidR="00334745" w:rsidRPr="004D7A55" w:rsidRDefault="00334745" w:rsidP="00234241">
            <w:pPr>
              <w:spacing w:before="0" w:after="0" w:line="240" w:lineRule="auto"/>
              <w:rPr>
                <w:rFonts w:eastAsia="Times New Roman"/>
              </w:rPr>
            </w:pPr>
          </w:p>
        </w:tc>
      </w:tr>
      <w:tr w:rsidR="00334745" w:rsidRPr="004D7A55" w:rsidTr="00D00FE6">
        <w:trPr>
          <w:jc w:val="center"/>
        </w:trPr>
        <w:tc>
          <w:tcPr>
            <w:tcW w:w="2174" w:type="pct"/>
            <w:tcBorders>
              <w:top w:val="nil"/>
              <w:left w:val="single" w:sz="4" w:space="0" w:color="auto"/>
              <w:bottom w:val="single" w:sz="4" w:space="0" w:color="auto"/>
              <w:right w:val="single" w:sz="4" w:space="0" w:color="auto"/>
            </w:tcBorders>
            <w:shd w:val="clear" w:color="000000" w:fill="FFFFFF"/>
            <w:vAlign w:val="center"/>
          </w:tcPr>
          <w:p w:rsidR="00334745" w:rsidRPr="00E260BE" w:rsidRDefault="00334745" w:rsidP="00234241">
            <w:pPr>
              <w:spacing w:before="0" w:after="0" w:line="240" w:lineRule="auto"/>
              <w:rPr>
                <w:rFonts w:eastAsia="Times New Roman"/>
              </w:rPr>
            </w:pPr>
            <w:r>
              <w:rPr>
                <w:rFonts w:eastAsia="Times New Roman"/>
              </w:rPr>
              <w:t>Less than H.S.</w:t>
            </w:r>
          </w:p>
        </w:tc>
        <w:tc>
          <w:tcPr>
            <w:tcW w:w="570" w:type="pct"/>
            <w:gridSpan w:val="2"/>
            <w:tcBorders>
              <w:top w:val="single" w:sz="4" w:space="0" w:color="auto"/>
              <w:left w:val="nil"/>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40.3</w:t>
            </w:r>
          </w:p>
        </w:tc>
        <w:tc>
          <w:tcPr>
            <w:tcW w:w="832" w:type="pct"/>
            <w:tcBorders>
              <w:top w:val="single" w:sz="4" w:space="0" w:color="auto"/>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(32.1-48.5)</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59.7</w:t>
            </w:r>
          </w:p>
        </w:tc>
        <w:tc>
          <w:tcPr>
            <w:tcW w:w="994" w:type="pct"/>
            <w:tcBorders>
              <w:top w:val="single" w:sz="4" w:space="0" w:color="auto"/>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rPr>
            </w:pPr>
            <w:r>
              <w:rPr>
                <w:rFonts w:eastAsia="Times New Roman"/>
              </w:rPr>
              <w:t>(51.5-68.0)</w:t>
            </w:r>
          </w:p>
        </w:tc>
      </w:tr>
      <w:tr w:rsidR="00334745" w:rsidRPr="004D7A55" w:rsidTr="00D00FE6">
        <w:trPr>
          <w:jc w:val="center"/>
        </w:trPr>
        <w:tc>
          <w:tcPr>
            <w:tcW w:w="2174" w:type="pct"/>
            <w:tcBorders>
              <w:top w:val="nil"/>
              <w:left w:val="single" w:sz="4" w:space="0" w:color="auto"/>
              <w:bottom w:val="single" w:sz="4" w:space="0" w:color="auto"/>
              <w:right w:val="single" w:sz="4" w:space="0" w:color="auto"/>
            </w:tcBorders>
            <w:shd w:val="clear" w:color="000000" w:fill="FFFFFF"/>
            <w:vAlign w:val="center"/>
          </w:tcPr>
          <w:p w:rsidR="00334745" w:rsidRPr="00E260BE" w:rsidRDefault="00334745" w:rsidP="00234241">
            <w:pPr>
              <w:spacing w:before="0" w:after="0" w:line="240" w:lineRule="auto"/>
              <w:rPr>
                <w:rFonts w:eastAsia="Times New Roman"/>
              </w:rPr>
            </w:pPr>
            <w:r>
              <w:rPr>
                <w:rFonts w:eastAsia="Times New Roman"/>
              </w:rPr>
              <w:t>H.S. or G.E.D.</w:t>
            </w:r>
          </w:p>
        </w:tc>
        <w:tc>
          <w:tcPr>
            <w:tcW w:w="570" w:type="pct"/>
            <w:gridSpan w:val="2"/>
            <w:tcBorders>
              <w:top w:val="nil"/>
              <w:left w:val="nil"/>
              <w:bottom w:val="nil"/>
              <w:right w:val="nil"/>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38.1</w:t>
            </w:r>
          </w:p>
        </w:tc>
        <w:tc>
          <w:tcPr>
            <w:tcW w:w="832" w:type="pct"/>
            <w:tcBorders>
              <w:top w:val="nil"/>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(33.2-42.9)</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62.0</w:t>
            </w:r>
          </w:p>
        </w:tc>
        <w:tc>
          <w:tcPr>
            <w:tcW w:w="994" w:type="pct"/>
            <w:tcBorders>
              <w:top w:val="nil"/>
              <w:left w:val="nil"/>
              <w:bottom w:val="nil"/>
              <w:right w:val="single" w:sz="4" w:space="0" w:color="auto"/>
            </w:tcBorders>
            <w:shd w:val="clear" w:color="000000" w:fill="FFFFFF"/>
          </w:tcPr>
          <w:p w:rsidR="00334745" w:rsidRPr="004D7A55" w:rsidRDefault="00334745" w:rsidP="00234241">
            <w:pPr>
              <w:spacing w:before="0" w:after="0" w:line="240" w:lineRule="auto"/>
              <w:rPr>
                <w:rFonts w:eastAsia="Times New Roman"/>
              </w:rPr>
            </w:pPr>
            <w:r>
              <w:rPr>
                <w:rFonts w:eastAsia="Times New Roman"/>
              </w:rPr>
              <w:t>(57.1-66.8)</w:t>
            </w:r>
          </w:p>
        </w:tc>
      </w:tr>
      <w:tr w:rsidR="00334745" w:rsidRPr="004D7A55" w:rsidTr="00D00FE6">
        <w:trPr>
          <w:jc w:val="center"/>
        </w:trPr>
        <w:tc>
          <w:tcPr>
            <w:tcW w:w="2174" w:type="pct"/>
            <w:tcBorders>
              <w:top w:val="nil"/>
              <w:left w:val="single" w:sz="4" w:space="0" w:color="auto"/>
              <w:bottom w:val="single" w:sz="4" w:space="0" w:color="auto"/>
              <w:right w:val="single" w:sz="4" w:space="0" w:color="auto"/>
            </w:tcBorders>
            <w:shd w:val="clear" w:color="000000" w:fill="FFFFFF"/>
            <w:vAlign w:val="center"/>
          </w:tcPr>
          <w:p w:rsidR="00334745" w:rsidRPr="00E260BE" w:rsidRDefault="00334745" w:rsidP="00234241">
            <w:pPr>
              <w:spacing w:before="0" w:after="0" w:line="240" w:lineRule="auto"/>
              <w:rPr>
                <w:rFonts w:eastAsia="Times New Roman"/>
              </w:rPr>
            </w:pPr>
            <w:r>
              <w:rPr>
                <w:rFonts w:eastAsia="Times New Roman"/>
              </w:rPr>
              <w:t>Some Post H.S.</w:t>
            </w:r>
          </w:p>
        </w:tc>
        <w:tc>
          <w:tcPr>
            <w:tcW w:w="570" w:type="pct"/>
            <w:gridSpan w:val="2"/>
            <w:tcBorders>
              <w:top w:val="single" w:sz="4" w:space="0" w:color="auto"/>
              <w:left w:val="nil"/>
              <w:bottom w:val="single" w:sz="4" w:space="0" w:color="auto"/>
              <w:right w:val="nil"/>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40.9</w:t>
            </w:r>
          </w:p>
        </w:tc>
        <w:tc>
          <w:tcPr>
            <w:tcW w:w="832" w:type="pct"/>
            <w:tcBorders>
              <w:top w:val="nil"/>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(36.5-45.4)</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59.1</w:t>
            </w:r>
          </w:p>
        </w:tc>
        <w:tc>
          <w:tcPr>
            <w:tcW w:w="994" w:type="pct"/>
            <w:tcBorders>
              <w:top w:val="single" w:sz="4" w:space="0" w:color="auto"/>
              <w:left w:val="nil"/>
              <w:bottom w:val="single" w:sz="4" w:space="0" w:color="auto"/>
              <w:right w:val="single" w:sz="4" w:space="0" w:color="auto"/>
            </w:tcBorders>
            <w:shd w:val="clear" w:color="000000" w:fill="FFFFFF"/>
          </w:tcPr>
          <w:p w:rsidR="00334745" w:rsidRPr="004D7A55" w:rsidRDefault="00334745" w:rsidP="00234241">
            <w:pPr>
              <w:spacing w:before="0" w:after="0" w:line="240" w:lineRule="auto"/>
              <w:rPr>
                <w:rFonts w:eastAsia="Times New Roman"/>
              </w:rPr>
            </w:pPr>
            <w:r>
              <w:rPr>
                <w:rFonts w:eastAsia="Times New Roman"/>
              </w:rPr>
              <w:t>(54.7-63.5)</w:t>
            </w:r>
          </w:p>
        </w:tc>
      </w:tr>
      <w:tr w:rsidR="00334745" w:rsidRPr="004D7A55" w:rsidTr="00D00FE6">
        <w:trPr>
          <w:jc w:val="center"/>
        </w:trPr>
        <w:tc>
          <w:tcPr>
            <w:tcW w:w="2174" w:type="pct"/>
            <w:tcBorders>
              <w:top w:val="nil"/>
              <w:left w:val="single" w:sz="4" w:space="0" w:color="auto"/>
              <w:bottom w:val="single" w:sz="4" w:space="0" w:color="auto"/>
              <w:right w:val="single" w:sz="4" w:space="0" w:color="auto"/>
            </w:tcBorders>
            <w:shd w:val="clear" w:color="000000" w:fill="FFFFFF"/>
            <w:vAlign w:val="center"/>
          </w:tcPr>
          <w:p w:rsidR="00334745" w:rsidRPr="00E260BE" w:rsidRDefault="00334745" w:rsidP="00234241">
            <w:pPr>
              <w:spacing w:before="0" w:after="0" w:line="240" w:lineRule="auto"/>
              <w:rPr>
                <w:rFonts w:eastAsia="Times New Roman"/>
              </w:rPr>
            </w:pPr>
            <w:r>
              <w:rPr>
                <w:rFonts w:eastAsia="Times New Roman"/>
              </w:rPr>
              <w:t>College Graduate</w:t>
            </w:r>
          </w:p>
        </w:tc>
        <w:tc>
          <w:tcPr>
            <w:tcW w:w="570" w:type="pct"/>
            <w:gridSpan w:val="2"/>
            <w:tcBorders>
              <w:top w:val="nil"/>
              <w:left w:val="nil"/>
              <w:bottom w:val="nil"/>
              <w:right w:val="nil"/>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44.9</w:t>
            </w:r>
          </w:p>
        </w:tc>
        <w:tc>
          <w:tcPr>
            <w:tcW w:w="832" w:type="pct"/>
            <w:tcBorders>
              <w:top w:val="nil"/>
              <w:left w:val="nil"/>
              <w:bottom w:val="single" w:sz="4" w:space="0" w:color="auto"/>
              <w:right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(40.2-49.6)</w:t>
            </w:r>
          </w:p>
        </w:tc>
        <w:tc>
          <w:tcPr>
            <w:tcW w:w="429" w:type="pct"/>
            <w:tcBorders>
              <w:top w:val="single" w:sz="4" w:space="0" w:color="auto"/>
              <w:left w:val="single" w:sz="4" w:space="0" w:color="auto"/>
              <w:bottom w:val="single" w:sz="4" w:space="0" w:color="auto"/>
            </w:tcBorders>
            <w:shd w:val="clear" w:color="000000" w:fill="FFFFFF"/>
            <w:noWrap/>
            <w:vAlign w:val="center"/>
          </w:tcPr>
          <w:p w:rsidR="00334745" w:rsidRPr="004D7A55" w:rsidRDefault="00334745" w:rsidP="00234241">
            <w:pPr>
              <w:spacing w:before="0" w:after="0" w:line="240" w:lineRule="auto"/>
              <w:rPr>
                <w:rFonts w:eastAsia="Times New Roman"/>
              </w:rPr>
            </w:pPr>
            <w:r>
              <w:rPr>
                <w:rFonts w:eastAsia="Times New Roman"/>
              </w:rPr>
              <w:t>55.1</w:t>
            </w:r>
          </w:p>
        </w:tc>
        <w:tc>
          <w:tcPr>
            <w:tcW w:w="994" w:type="pct"/>
            <w:tcBorders>
              <w:top w:val="nil"/>
              <w:left w:val="nil"/>
              <w:bottom w:val="nil"/>
              <w:right w:val="single" w:sz="4" w:space="0" w:color="auto"/>
            </w:tcBorders>
            <w:shd w:val="clear" w:color="000000" w:fill="FFFFFF"/>
          </w:tcPr>
          <w:p w:rsidR="00334745" w:rsidRPr="004D7A55" w:rsidRDefault="00334745" w:rsidP="00234241">
            <w:pPr>
              <w:spacing w:before="0" w:after="0" w:line="240" w:lineRule="auto"/>
              <w:rPr>
                <w:rFonts w:eastAsia="Times New Roman"/>
              </w:rPr>
            </w:pPr>
            <w:r>
              <w:rPr>
                <w:rFonts w:eastAsia="Times New Roman"/>
              </w:rPr>
              <w:t>(50.4-59.8)</w:t>
            </w:r>
          </w:p>
        </w:tc>
      </w:tr>
      <w:tr w:rsidR="00801B05" w:rsidRPr="004D7A55" w:rsidTr="00D00FE6">
        <w:trPr>
          <w:jc w:val="center"/>
        </w:trPr>
        <w:tc>
          <w:tcPr>
            <w:tcW w:w="2174"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801B05" w:rsidRPr="00E260BE" w:rsidRDefault="00801B05" w:rsidP="00801B05">
            <w:pPr>
              <w:spacing w:before="0" w:after="0" w:line="240" w:lineRule="auto"/>
              <w:rPr>
                <w:rFonts w:eastAsia="Times New Roman"/>
                <w:b/>
                <w:bCs/>
              </w:rPr>
            </w:pPr>
            <w:r>
              <w:rPr>
                <w:rFonts w:eastAsia="Times New Roman"/>
                <w:b/>
                <w:bCs/>
              </w:rPr>
              <w:t>Household Income</w:t>
            </w:r>
          </w:p>
        </w:tc>
        <w:tc>
          <w:tcPr>
            <w:tcW w:w="570" w:type="pct"/>
            <w:gridSpan w:val="2"/>
            <w:tcBorders>
              <w:top w:val="single" w:sz="4" w:space="0" w:color="auto"/>
              <w:left w:val="nil"/>
              <w:bottom w:val="single" w:sz="4" w:space="0" w:color="auto"/>
              <w:right w:val="nil"/>
            </w:tcBorders>
            <w:shd w:val="clear" w:color="auto" w:fill="D9D9D9" w:themeFill="background1" w:themeFillShade="D9"/>
            <w:noWrap/>
            <w:vAlign w:val="center"/>
          </w:tcPr>
          <w:p w:rsidR="00801B05" w:rsidRPr="004D7A55" w:rsidRDefault="00801B05" w:rsidP="00801B05">
            <w:pPr>
              <w:spacing w:before="0" w:after="0" w:line="240" w:lineRule="auto"/>
              <w:rPr>
                <w:rFonts w:eastAsia="Times New Roman"/>
              </w:rPr>
            </w:pPr>
            <w:r w:rsidRPr="004D7A55">
              <w:rPr>
                <w:rFonts w:eastAsia="Times New Roman"/>
              </w:rPr>
              <w:t> </w:t>
            </w:r>
          </w:p>
        </w:tc>
        <w:tc>
          <w:tcPr>
            <w:tcW w:w="832" w:type="pct"/>
            <w:tcBorders>
              <w:top w:val="nil"/>
              <w:left w:val="nil"/>
              <w:bottom w:val="single" w:sz="4" w:space="0" w:color="auto"/>
              <w:right w:val="single" w:sz="4" w:space="0" w:color="auto"/>
            </w:tcBorders>
            <w:shd w:val="clear" w:color="auto" w:fill="D9D9D9" w:themeFill="background1" w:themeFillShade="D9"/>
            <w:noWrap/>
            <w:vAlign w:val="center"/>
          </w:tcPr>
          <w:p w:rsidR="00801B05" w:rsidRPr="004D7A55" w:rsidRDefault="00801B05" w:rsidP="00801B05">
            <w:pPr>
              <w:spacing w:before="0" w:after="0" w:line="240" w:lineRule="auto"/>
              <w:rPr>
                <w:rFonts w:eastAsia="Times New Roman"/>
              </w:rPr>
            </w:pPr>
            <w:r w:rsidRPr="004D7A55">
              <w:rPr>
                <w:rFonts w:eastAsia="Times New Roman"/>
              </w:rPr>
              <w:t> </w:t>
            </w:r>
          </w:p>
        </w:tc>
        <w:tc>
          <w:tcPr>
            <w:tcW w:w="429" w:type="pct"/>
            <w:tcBorders>
              <w:top w:val="single" w:sz="4" w:space="0" w:color="auto"/>
              <w:left w:val="single" w:sz="4" w:space="0" w:color="auto"/>
              <w:bottom w:val="single" w:sz="4" w:space="0" w:color="auto"/>
            </w:tcBorders>
            <w:shd w:val="clear" w:color="auto" w:fill="D9D9D9" w:themeFill="background1" w:themeFillShade="D9"/>
            <w:noWrap/>
            <w:vAlign w:val="center"/>
          </w:tcPr>
          <w:p w:rsidR="00801B05" w:rsidRPr="004D7A55" w:rsidRDefault="00801B05" w:rsidP="00801B05">
            <w:pPr>
              <w:spacing w:before="0" w:after="0" w:line="240" w:lineRule="auto"/>
              <w:rPr>
                <w:rFonts w:eastAsia="Times New Roman"/>
              </w:rPr>
            </w:pPr>
            <w:r w:rsidRPr="004D7A55">
              <w:rPr>
                <w:rFonts w:eastAsia="Times New Roman"/>
              </w:rPr>
              <w:t> </w:t>
            </w:r>
          </w:p>
        </w:tc>
        <w:tc>
          <w:tcPr>
            <w:tcW w:w="994" w:type="pct"/>
            <w:tcBorders>
              <w:top w:val="single" w:sz="4" w:space="0" w:color="auto"/>
              <w:left w:val="nil"/>
              <w:bottom w:val="single" w:sz="4" w:space="0" w:color="auto"/>
              <w:right w:val="single" w:sz="4" w:space="0" w:color="auto"/>
            </w:tcBorders>
            <w:shd w:val="clear" w:color="auto" w:fill="D9D9D9" w:themeFill="background1" w:themeFillShade="D9"/>
          </w:tcPr>
          <w:p w:rsidR="00801B05" w:rsidRPr="004D7A55" w:rsidRDefault="00801B05" w:rsidP="00801B05">
            <w:pPr>
              <w:spacing w:before="0" w:after="0" w:line="240" w:lineRule="auto"/>
              <w:rPr>
                <w:rFonts w:eastAsia="Times New Roman"/>
              </w:rPr>
            </w:pPr>
          </w:p>
        </w:tc>
      </w:tr>
      <w:tr w:rsidR="00801B05" w:rsidRPr="004D7A55" w:rsidTr="00D00FE6">
        <w:trPr>
          <w:jc w:val="center"/>
        </w:trPr>
        <w:tc>
          <w:tcPr>
            <w:tcW w:w="2174" w:type="pct"/>
            <w:tcBorders>
              <w:top w:val="nil"/>
              <w:left w:val="single" w:sz="4" w:space="0" w:color="auto"/>
              <w:bottom w:val="single" w:sz="4" w:space="0" w:color="auto"/>
              <w:right w:val="single" w:sz="4" w:space="0" w:color="auto"/>
            </w:tcBorders>
            <w:shd w:val="clear" w:color="000000" w:fill="FFFFFF"/>
            <w:vAlign w:val="center"/>
          </w:tcPr>
          <w:p w:rsidR="00801B05" w:rsidRPr="00E260BE" w:rsidRDefault="00DA30DC" w:rsidP="00801B05">
            <w:pPr>
              <w:spacing w:before="0" w:after="0" w:line="240" w:lineRule="auto"/>
              <w:rPr>
                <w:rFonts w:eastAsia="Times New Roman"/>
              </w:rPr>
            </w:pPr>
            <w:r>
              <w:rPr>
                <w:rFonts w:eastAsia="Times New Roman"/>
              </w:rPr>
              <w:t>Less than $15,000</w:t>
            </w:r>
          </w:p>
        </w:tc>
        <w:tc>
          <w:tcPr>
            <w:tcW w:w="570" w:type="pct"/>
            <w:gridSpan w:val="2"/>
            <w:tcBorders>
              <w:top w:val="nil"/>
              <w:left w:val="nil"/>
              <w:bottom w:val="single" w:sz="4" w:space="0" w:color="auto"/>
              <w:right w:val="nil"/>
            </w:tcBorders>
            <w:shd w:val="clear" w:color="000000" w:fill="FFFFFF"/>
            <w:noWrap/>
            <w:vAlign w:val="center"/>
          </w:tcPr>
          <w:p w:rsidR="00801B05" w:rsidRPr="004D7A55" w:rsidRDefault="00DA30DC" w:rsidP="00801B05">
            <w:pPr>
              <w:spacing w:before="0" w:after="0" w:line="240" w:lineRule="auto"/>
              <w:rPr>
                <w:rFonts w:eastAsia="Times New Roman"/>
              </w:rPr>
            </w:pPr>
            <w:r>
              <w:rPr>
                <w:rFonts w:eastAsia="Times New Roman"/>
              </w:rPr>
              <w:t>47.4</w:t>
            </w:r>
          </w:p>
        </w:tc>
        <w:tc>
          <w:tcPr>
            <w:tcW w:w="832" w:type="pct"/>
            <w:tcBorders>
              <w:top w:val="nil"/>
              <w:left w:val="nil"/>
              <w:bottom w:val="single" w:sz="4" w:space="0" w:color="auto"/>
              <w:right w:val="single" w:sz="4" w:space="0" w:color="auto"/>
            </w:tcBorders>
            <w:shd w:val="clear" w:color="000000" w:fill="FFFFFF"/>
            <w:noWrap/>
            <w:vAlign w:val="center"/>
          </w:tcPr>
          <w:p w:rsidR="00801B05" w:rsidRPr="004D7A55" w:rsidRDefault="00DA30DC" w:rsidP="00801B05">
            <w:pPr>
              <w:spacing w:before="0" w:after="0" w:line="240" w:lineRule="auto"/>
              <w:rPr>
                <w:rFonts w:eastAsia="Times New Roman"/>
              </w:rPr>
            </w:pPr>
            <w:r>
              <w:rPr>
                <w:rFonts w:eastAsia="Times New Roman"/>
              </w:rPr>
              <w:t>(37.7-57.2)</w:t>
            </w:r>
          </w:p>
        </w:tc>
        <w:tc>
          <w:tcPr>
            <w:tcW w:w="429" w:type="pct"/>
            <w:tcBorders>
              <w:top w:val="single" w:sz="4" w:space="0" w:color="auto"/>
              <w:left w:val="single" w:sz="4" w:space="0" w:color="auto"/>
              <w:bottom w:val="single" w:sz="4" w:space="0" w:color="auto"/>
            </w:tcBorders>
            <w:shd w:val="clear" w:color="000000" w:fill="FFFFFF"/>
            <w:noWrap/>
            <w:vAlign w:val="center"/>
          </w:tcPr>
          <w:p w:rsidR="00801B05" w:rsidRPr="004D7A55" w:rsidRDefault="00DA30DC" w:rsidP="00801B05">
            <w:pPr>
              <w:spacing w:before="0" w:after="0" w:line="240" w:lineRule="auto"/>
              <w:rPr>
                <w:rFonts w:eastAsia="Times New Roman"/>
              </w:rPr>
            </w:pPr>
            <w:r>
              <w:rPr>
                <w:rFonts w:eastAsia="Times New Roman"/>
              </w:rPr>
              <w:t>52.6</w:t>
            </w:r>
          </w:p>
        </w:tc>
        <w:tc>
          <w:tcPr>
            <w:tcW w:w="994" w:type="pct"/>
            <w:tcBorders>
              <w:top w:val="nil"/>
              <w:left w:val="nil"/>
              <w:bottom w:val="single" w:sz="4" w:space="0" w:color="auto"/>
              <w:right w:val="single" w:sz="4" w:space="0" w:color="auto"/>
            </w:tcBorders>
            <w:shd w:val="clear" w:color="000000" w:fill="FFFFFF"/>
          </w:tcPr>
          <w:p w:rsidR="00801B05" w:rsidRPr="004D7A55" w:rsidRDefault="00DA30DC" w:rsidP="00801B05">
            <w:pPr>
              <w:spacing w:before="0" w:after="0" w:line="240" w:lineRule="auto"/>
              <w:rPr>
                <w:rFonts w:eastAsia="Times New Roman"/>
              </w:rPr>
            </w:pPr>
            <w:r>
              <w:rPr>
                <w:rFonts w:eastAsia="Times New Roman"/>
              </w:rPr>
              <w:t>(42.8-62.3)</w:t>
            </w:r>
          </w:p>
        </w:tc>
      </w:tr>
      <w:tr w:rsidR="00801B05" w:rsidRPr="004D7A55" w:rsidTr="00D00FE6">
        <w:trPr>
          <w:jc w:val="center"/>
        </w:trPr>
        <w:tc>
          <w:tcPr>
            <w:tcW w:w="2174" w:type="pct"/>
            <w:tcBorders>
              <w:top w:val="nil"/>
              <w:left w:val="single" w:sz="4" w:space="0" w:color="auto"/>
              <w:bottom w:val="single" w:sz="4" w:space="0" w:color="auto"/>
              <w:right w:val="single" w:sz="4" w:space="0" w:color="auto"/>
            </w:tcBorders>
            <w:shd w:val="clear" w:color="000000" w:fill="FFFFFF"/>
            <w:vAlign w:val="center"/>
          </w:tcPr>
          <w:p w:rsidR="00801B05" w:rsidRPr="00E260BE" w:rsidRDefault="00DA30DC" w:rsidP="00801B05">
            <w:pPr>
              <w:spacing w:before="0" w:after="0" w:line="240" w:lineRule="auto"/>
              <w:rPr>
                <w:rFonts w:eastAsia="Times New Roman"/>
              </w:rPr>
            </w:pPr>
            <w:r>
              <w:rPr>
                <w:rFonts w:eastAsia="Times New Roman"/>
              </w:rPr>
              <w:t>$15,000-$24,000</w:t>
            </w:r>
          </w:p>
        </w:tc>
        <w:tc>
          <w:tcPr>
            <w:tcW w:w="570" w:type="pct"/>
            <w:gridSpan w:val="2"/>
            <w:tcBorders>
              <w:top w:val="nil"/>
              <w:left w:val="nil"/>
              <w:bottom w:val="nil"/>
              <w:right w:val="nil"/>
            </w:tcBorders>
            <w:shd w:val="clear" w:color="000000" w:fill="FFFFFF"/>
            <w:noWrap/>
            <w:vAlign w:val="center"/>
          </w:tcPr>
          <w:p w:rsidR="00801B05" w:rsidRPr="004D7A55" w:rsidRDefault="00DA30DC" w:rsidP="00801B05">
            <w:pPr>
              <w:spacing w:before="0" w:after="0" w:line="240" w:lineRule="auto"/>
              <w:rPr>
                <w:rFonts w:eastAsia="Times New Roman"/>
              </w:rPr>
            </w:pPr>
            <w:r>
              <w:rPr>
                <w:rFonts w:eastAsia="Times New Roman"/>
              </w:rPr>
              <w:t>42.5</w:t>
            </w:r>
          </w:p>
        </w:tc>
        <w:tc>
          <w:tcPr>
            <w:tcW w:w="832" w:type="pct"/>
            <w:tcBorders>
              <w:top w:val="nil"/>
              <w:left w:val="nil"/>
              <w:bottom w:val="single" w:sz="4" w:space="0" w:color="auto"/>
              <w:right w:val="single" w:sz="4" w:space="0" w:color="auto"/>
            </w:tcBorders>
            <w:shd w:val="clear" w:color="000000" w:fill="FFFFFF"/>
            <w:noWrap/>
            <w:vAlign w:val="center"/>
          </w:tcPr>
          <w:p w:rsidR="00801B05" w:rsidRPr="004D7A55" w:rsidRDefault="00DA30DC" w:rsidP="00801B05">
            <w:pPr>
              <w:spacing w:before="0" w:after="0" w:line="240" w:lineRule="auto"/>
              <w:rPr>
                <w:rFonts w:eastAsia="Times New Roman"/>
              </w:rPr>
            </w:pPr>
            <w:r>
              <w:rPr>
                <w:rFonts w:eastAsia="Times New Roman"/>
              </w:rPr>
              <w:t>(35.9-49.2)</w:t>
            </w:r>
          </w:p>
        </w:tc>
        <w:tc>
          <w:tcPr>
            <w:tcW w:w="429" w:type="pct"/>
            <w:tcBorders>
              <w:top w:val="single" w:sz="4" w:space="0" w:color="auto"/>
              <w:left w:val="single" w:sz="4" w:space="0" w:color="auto"/>
              <w:bottom w:val="single" w:sz="4" w:space="0" w:color="auto"/>
            </w:tcBorders>
            <w:shd w:val="clear" w:color="000000" w:fill="FFFFFF"/>
            <w:noWrap/>
            <w:vAlign w:val="center"/>
          </w:tcPr>
          <w:p w:rsidR="00801B05" w:rsidRPr="004D7A55" w:rsidRDefault="00DA30DC" w:rsidP="00801B05">
            <w:pPr>
              <w:spacing w:before="0" w:after="0" w:line="240" w:lineRule="auto"/>
              <w:rPr>
                <w:rFonts w:eastAsia="Times New Roman"/>
              </w:rPr>
            </w:pPr>
            <w:r>
              <w:rPr>
                <w:rFonts w:eastAsia="Times New Roman"/>
              </w:rPr>
              <w:t>57.5</w:t>
            </w:r>
          </w:p>
        </w:tc>
        <w:tc>
          <w:tcPr>
            <w:tcW w:w="994" w:type="pct"/>
            <w:tcBorders>
              <w:top w:val="nil"/>
              <w:left w:val="nil"/>
              <w:bottom w:val="nil"/>
              <w:right w:val="single" w:sz="4" w:space="0" w:color="auto"/>
            </w:tcBorders>
            <w:shd w:val="clear" w:color="000000" w:fill="FFFFFF"/>
          </w:tcPr>
          <w:p w:rsidR="00801B05" w:rsidRPr="004D7A55" w:rsidRDefault="00DA30DC" w:rsidP="00801B05">
            <w:pPr>
              <w:spacing w:before="0" w:after="0" w:line="240" w:lineRule="auto"/>
              <w:rPr>
                <w:rFonts w:eastAsia="Times New Roman"/>
              </w:rPr>
            </w:pPr>
            <w:r>
              <w:rPr>
                <w:rFonts w:eastAsia="Times New Roman"/>
              </w:rPr>
              <w:t>(50.9-64.1)</w:t>
            </w:r>
          </w:p>
        </w:tc>
      </w:tr>
      <w:tr w:rsidR="00801B05" w:rsidRPr="004D7A55" w:rsidTr="00D00FE6">
        <w:trPr>
          <w:jc w:val="center"/>
        </w:trPr>
        <w:tc>
          <w:tcPr>
            <w:tcW w:w="2174" w:type="pct"/>
            <w:tcBorders>
              <w:top w:val="nil"/>
              <w:left w:val="single" w:sz="4" w:space="0" w:color="auto"/>
              <w:bottom w:val="single" w:sz="4" w:space="0" w:color="auto"/>
              <w:right w:val="nil"/>
            </w:tcBorders>
            <w:shd w:val="clear" w:color="auto" w:fill="auto"/>
            <w:noWrap/>
            <w:vAlign w:val="center"/>
          </w:tcPr>
          <w:p w:rsidR="00801B05" w:rsidRPr="00E260BE" w:rsidRDefault="00DA30DC" w:rsidP="00801B05">
            <w:pPr>
              <w:spacing w:before="0" w:after="0" w:line="240" w:lineRule="auto"/>
              <w:rPr>
                <w:rFonts w:eastAsia="Times New Roman"/>
              </w:rPr>
            </w:pPr>
            <w:r>
              <w:rPr>
                <w:rFonts w:eastAsia="Times New Roman"/>
              </w:rPr>
              <w:t>$25,000-$34,999</w:t>
            </w:r>
          </w:p>
        </w:tc>
        <w:tc>
          <w:tcPr>
            <w:tcW w:w="570" w:type="pct"/>
            <w:gridSpan w:val="2"/>
            <w:tcBorders>
              <w:top w:val="single" w:sz="4" w:space="0" w:color="auto"/>
              <w:left w:val="single" w:sz="4" w:space="0" w:color="auto"/>
              <w:bottom w:val="single" w:sz="4" w:space="0" w:color="auto"/>
              <w:right w:val="nil"/>
            </w:tcBorders>
            <w:shd w:val="clear" w:color="auto" w:fill="auto"/>
            <w:noWrap/>
            <w:vAlign w:val="center"/>
          </w:tcPr>
          <w:p w:rsidR="00801B05" w:rsidRPr="004D7A55" w:rsidRDefault="00DA30DC" w:rsidP="00801B05">
            <w:pPr>
              <w:spacing w:before="0" w:after="0" w:line="240" w:lineRule="auto"/>
              <w:rPr>
                <w:rFonts w:eastAsia="Times New Roman"/>
              </w:rPr>
            </w:pPr>
            <w:r>
              <w:rPr>
                <w:rFonts w:eastAsia="Times New Roman"/>
              </w:rPr>
              <w:t>36.8</w:t>
            </w:r>
          </w:p>
        </w:tc>
        <w:tc>
          <w:tcPr>
            <w:tcW w:w="832" w:type="pct"/>
            <w:tcBorders>
              <w:top w:val="nil"/>
              <w:left w:val="nil"/>
              <w:bottom w:val="single" w:sz="4" w:space="0" w:color="auto"/>
              <w:right w:val="single" w:sz="4" w:space="0" w:color="auto"/>
            </w:tcBorders>
            <w:shd w:val="clear" w:color="auto" w:fill="auto"/>
            <w:noWrap/>
            <w:vAlign w:val="center"/>
          </w:tcPr>
          <w:p w:rsidR="00801B05" w:rsidRPr="004D7A55" w:rsidRDefault="00DA30DC" w:rsidP="00801B05">
            <w:pPr>
              <w:spacing w:before="0" w:after="0" w:line="240" w:lineRule="auto"/>
              <w:rPr>
                <w:rFonts w:eastAsia="Times New Roman"/>
              </w:rPr>
            </w:pPr>
            <w:r>
              <w:rPr>
                <w:rFonts w:eastAsia="Times New Roman"/>
              </w:rPr>
              <w:t>(28.3-45.3)</w:t>
            </w:r>
          </w:p>
        </w:tc>
        <w:tc>
          <w:tcPr>
            <w:tcW w:w="429" w:type="pct"/>
            <w:tcBorders>
              <w:top w:val="single" w:sz="4" w:space="0" w:color="auto"/>
              <w:left w:val="single" w:sz="4" w:space="0" w:color="auto"/>
              <w:bottom w:val="single" w:sz="4" w:space="0" w:color="auto"/>
            </w:tcBorders>
            <w:shd w:val="clear" w:color="auto" w:fill="auto"/>
            <w:noWrap/>
            <w:vAlign w:val="center"/>
          </w:tcPr>
          <w:p w:rsidR="00801B05" w:rsidRPr="004D7A55" w:rsidRDefault="00DA30DC" w:rsidP="00801B05">
            <w:pPr>
              <w:spacing w:before="0" w:after="0" w:line="240" w:lineRule="auto"/>
              <w:rPr>
                <w:rFonts w:eastAsia="Times New Roman"/>
              </w:rPr>
            </w:pPr>
            <w:r>
              <w:rPr>
                <w:rFonts w:eastAsia="Times New Roman"/>
              </w:rPr>
              <w:t>63.2</w:t>
            </w:r>
          </w:p>
        </w:tc>
        <w:tc>
          <w:tcPr>
            <w:tcW w:w="994" w:type="pct"/>
            <w:tcBorders>
              <w:top w:val="single" w:sz="4" w:space="0" w:color="auto"/>
              <w:left w:val="nil"/>
              <w:bottom w:val="single" w:sz="4" w:space="0" w:color="auto"/>
              <w:right w:val="single" w:sz="4" w:space="0" w:color="auto"/>
            </w:tcBorders>
            <w:shd w:val="clear" w:color="auto" w:fill="auto"/>
          </w:tcPr>
          <w:p w:rsidR="00801B05" w:rsidRPr="004D7A55" w:rsidRDefault="00DA30DC" w:rsidP="00801B05">
            <w:pPr>
              <w:spacing w:before="0" w:after="0" w:line="240" w:lineRule="auto"/>
              <w:rPr>
                <w:rFonts w:eastAsia="Times New Roman"/>
              </w:rPr>
            </w:pPr>
            <w:r>
              <w:rPr>
                <w:rFonts w:eastAsia="Times New Roman"/>
              </w:rPr>
              <w:t>(54.7-71.7)</w:t>
            </w:r>
          </w:p>
        </w:tc>
      </w:tr>
      <w:tr w:rsidR="00801B05" w:rsidRPr="004D7A55" w:rsidTr="00D00FE6">
        <w:trPr>
          <w:jc w:val="center"/>
        </w:trPr>
        <w:tc>
          <w:tcPr>
            <w:tcW w:w="2174" w:type="pct"/>
            <w:tcBorders>
              <w:top w:val="single" w:sz="4" w:space="0" w:color="auto"/>
              <w:left w:val="single" w:sz="4" w:space="0" w:color="auto"/>
              <w:bottom w:val="single" w:sz="4" w:space="0" w:color="auto"/>
              <w:right w:val="nil"/>
            </w:tcBorders>
            <w:shd w:val="clear" w:color="auto" w:fill="auto"/>
            <w:noWrap/>
            <w:vAlign w:val="center"/>
          </w:tcPr>
          <w:p w:rsidR="00801B05" w:rsidRPr="00E260BE" w:rsidRDefault="00DA30DC" w:rsidP="00801B05">
            <w:pPr>
              <w:spacing w:before="0" w:after="0" w:line="240" w:lineRule="auto"/>
              <w:rPr>
                <w:rFonts w:eastAsia="Times New Roman"/>
              </w:rPr>
            </w:pPr>
            <w:r>
              <w:rPr>
                <w:rFonts w:eastAsia="Times New Roman"/>
              </w:rPr>
              <w:t>$35,000-$49,999</w:t>
            </w:r>
          </w:p>
        </w:tc>
        <w:tc>
          <w:tcPr>
            <w:tcW w:w="570" w:type="pct"/>
            <w:gridSpan w:val="2"/>
            <w:tcBorders>
              <w:top w:val="single" w:sz="4" w:space="0" w:color="auto"/>
              <w:left w:val="single" w:sz="4" w:space="0" w:color="auto"/>
              <w:bottom w:val="single" w:sz="4" w:space="0" w:color="auto"/>
              <w:right w:val="nil"/>
            </w:tcBorders>
            <w:shd w:val="clear" w:color="auto" w:fill="auto"/>
            <w:noWrap/>
            <w:vAlign w:val="center"/>
          </w:tcPr>
          <w:p w:rsidR="00801B05" w:rsidRPr="004D7A55" w:rsidRDefault="00DA30DC" w:rsidP="00801B05">
            <w:pPr>
              <w:spacing w:before="0" w:after="0" w:line="240" w:lineRule="auto"/>
              <w:rPr>
                <w:rFonts w:eastAsia="Times New Roman"/>
              </w:rPr>
            </w:pPr>
            <w:r>
              <w:rPr>
                <w:rFonts w:eastAsia="Times New Roman"/>
              </w:rPr>
              <w:t>36.3</w:t>
            </w:r>
          </w:p>
        </w:tc>
        <w:tc>
          <w:tcPr>
            <w:tcW w:w="832" w:type="pct"/>
            <w:tcBorders>
              <w:top w:val="single" w:sz="4" w:space="0" w:color="auto"/>
              <w:left w:val="nil"/>
              <w:bottom w:val="single" w:sz="4" w:space="0" w:color="auto"/>
              <w:right w:val="single" w:sz="4" w:space="0" w:color="auto"/>
            </w:tcBorders>
            <w:shd w:val="clear" w:color="auto" w:fill="auto"/>
            <w:noWrap/>
            <w:vAlign w:val="center"/>
          </w:tcPr>
          <w:p w:rsidR="00801B05" w:rsidRPr="004D7A55" w:rsidRDefault="00DA30DC" w:rsidP="00801B05">
            <w:pPr>
              <w:spacing w:before="0" w:after="0" w:line="240" w:lineRule="auto"/>
              <w:rPr>
                <w:rFonts w:eastAsia="Times New Roman"/>
              </w:rPr>
            </w:pPr>
            <w:r>
              <w:rPr>
                <w:rFonts w:eastAsia="Times New Roman"/>
              </w:rPr>
              <w:t>(29.1-43.5)</w:t>
            </w:r>
          </w:p>
        </w:tc>
        <w:tc>
          <w:tcPr>
            <w:tcW w:w="429" w:type="pct"/>
            <w:tcBorders>
              <w:top w:val="single" w:sz="4" w:space="0" w:color="auto"/>
              <w:left w:val="single" w:sz="4" w:space="0" w:color="auto"/>
              <w:bottom w:val="single" w:sz="4" w:space="0" w:color="auto"/>
            </w:tcBorders>
            <w:shd w:val="clear" w:color="auto" w:fill="auto"/>
            <w:noWrap/>
            <w:vAlign w:val="center"/>
          </w:tcPr>
          <w:p w:rsidR="00801B05" w:rsidRPr="004D7A55" w:rsidRDefault="00DA30DC" w:rsidP="00801B05">
            <w:pPr>
              <w:spacing w:before="0" w:after="0" w:line="240" w:lineRule="auto"/>
              <w:rPr>
                <w:rFonts w:eastAsia="Times New Roman"/>
              </w:rPr>
            </w:pPr>
            <w:r>
              <w:rPr>
                <w:rFonts w:eastAsia="Times New Roman"/>
              </w:rPr>
              <w:t>63.7</w:t>
            </w:r>
          </w:p>
        </w:tc>
        <w:tc>
          <w:tcPr>
            <w:tcW w:w="994" w:type="pct"/>
            <w:tcBorders>
              <w:top w:val="single" w:sz="4" w:space="0" w:color="auto"/>
              <w:left w:val="nil"/>
              <w:bottom w:val="single" w:sz="4" w:space="0" w:color="auto"/>
              <w:right w:val="single" w:sz="4" w:space="0" w:color="auto"/>
            </w:tcBorders>
            <w:shd w:val="clear" w:color="auto" w:fill="auto"/>
          </w:tcPr>
          <w:p w:rsidR="00801B05" w:rsidRPr="004D7A55" w:rsidRDefault="00DA30DC" w:rsidP="00801B05">
            <w:pPr>
              <w:spacing w:before="0" w:after="0" w:line="240" w:lineRule="auto"/>
              <w:rPr>
                <w:rFonts w:eastAsia="Times New Roman"/>
              </w:rPr>
            </w:pPr>
            <w:r>
              <w:rPr>
                <w:rFonts w:eastAsia="Times New Roman"/>
              </w:rPr>
              <w:t>(56.5-70.9)</w:t>
            </w:r>
          </w:p>
        </w:tc>
      </w:tr>
      <w:tr w:rsidR="00801B05" w:rsidRPr="004D7A55" w:rsidTr="00D00FE6">
        <w:trPr>
          <w:jc w:val="center"/>
        </w:trPr>
        <w:tc>
          <w:tcPr>
            <w:tcW w:w="2174" w:type="pct"/>
            <w:tcBorders>
              <w:top w:val="single" w:sz="4" w:space="0" w:color="auto"/>
              <w:left w:val="single" w:sz="4" w:space="0" w:color="auto"/>
              <w:bottom w:val="single" w:sz="4" w:space="0" w:color="auto"/>
              <w:right w:val="nil"/>
            </w:tcBorders>
            <w:shd w:val="clear" w:color="auto" w:fill="auto"/>
            <w:noWrap/>
            <w:vAlign w:val="center"/>
          </w:tcPr>
          <w:p w:rsidR="00801B05" w:rsidRPr="00E260BE" w:rsidRDefault="00DA30DC" w:rsidP="00801B05">
            <w:pPr>
              <w:spacing w:before="0" w:after="0" w:line="240" w:lineRule="auto"/>
              <w:rPr>
                <w:rFonts w:eastAsia="Times New Roman"/>
              </w:rPr>
            </w:pPr>
            <w:r>
              <w:rPr>
                <w:rFonts w:eastAsia="Times New Roman"/>
              </w:rPr>
              <w:t>$50,000+</w:t>
            </w:r>
          </w:p>
        </w:tc>
        <w:tc>
          <w:tcPr>
            <w:tcW w:w="570" w:type="pct"/>
            <w:gridSpan w:val="2"/>
            <w:tcBorders>
              <w:top w:val="single" w:sz="4" w:space="0" w:color="auto"/>
              <w:left w:val="single" w:sz="4" w:space="0" w:color="auto"/>
              <w:bottom w:val="single" w:sz="4" w:space="0" w:color="auto"/>
              <w:right w:val="nil"/>
            </w:tcBorders>
            <w:shd w:val="clear" w:color="auto" w:fill="auto"/>
            <w:noWrap/>
            <w:vAlign w:val="center"/>
          </w:tcPr>
          <w:p w:rsidR="00801B05" w:rsidRDefault="00DA30DC" w:rsidP="00801B05">
            <w:pPr>
              <w:spacing w:before="0" w:after="0" w:line="240" w:lineRule="auto"/>
              <w:rPr>
                <w:rFonts w:eastAsia="Times New Roman"/>
              </w:rPr>
            </w:pPr>
            <w:r>
              <w:rPr>
                <w:rFonts w:eastAsia="Times New Roman"/>
              </w:rPr>
              <w:t>43.7</w:t>
            </w:r>
          </w:p>
        </w:tc>
        <w:tc>
          <w:tcPr>
            <w:tcW w:w="832" w:type="pct"/>
            <w:tcBorders>
              <w:top w:val="single" w:sz="4" w:space="0" w:color="auto"/>
              <w:left w:val="nil"/>
              <w:bottom w:val="single" w:sz="4" w:space="0" w:color="auto"/>
              <w:right w:val="single" w:sz="4" w:space="0" w:color="auto"/>
            </w:tcBorders>
            <w:shd w:val="clear" w:color="auto" w:fill="auto"/>
            <w:noWrap/>
            <w:vAlign w:val="center"/>
          </w:tcPr>
          <w:p w:rsidR="00801B05" w:rsidRDefault="00DA30DC" w:rsidP="00801B05">
            <w:pPr>
              <w:spacing w:before="0" w:after="0" w:line="240" w:lineRule="auto"/>
              <w:rPr>
                <w:rFonts w:eastAsia="Times New Roman"/>
              </w:rPr>
            </w:pPr>
            <w:r>
              <w:rPr>
                <w:rFonts w:eastAsia="Times New Roman"/>
              </w:rPr>
              <w:t>(39.6-47.7)</w:t>
            </w:r>
          </w:p>
        </w:tc>
        <w:tc>
          <w:tcPr>
            <w:tcW w:w="429" w:type="pct"/>
            <w:tcBorders>
              <w:top w:val="single" w:sz="4" w:space="0" w:color="auto"/>
              <w:left w:val="single" w:sz="4" w:space="0" w:color="auto"/>
              <w:bottom w:val="single" w:sz="4" w:space="0" w:color="auto"/>
            </w:tcBorders>
            <w:shd w:val="clear" w:color="auto" w:fill="auto"/>
            <w:noWrap/>
            <w:vAlign w:val="center"/>
          </w:tcPr>
          <w:p w:rsidR="00801B05" w:rsidRDefault="00DA30DC" w:rsidP="00801B05">
            <w:pPr>
              <w:spacing w:before="0" w:after="0" w:line="240" w:lineRule="auto"/>
              <w:rPr>
                <w:rFonts w:eastAsia="Times New Roman"/>
              </w:rPr>
            </w:pPr>
            <w:r>
              <w:rPr>
                <w:rFonts w:eastAsia="Times New Roman"/>
              </w:rPr>
              <w:t>56.3</w:t>
            </w:r>
          </w:p>
        </w:tc>
        <w:tc>
          <w:tcPr>
            <w:tcW w:w="994" w:type="pct"/>
            <w:tcBorders>
              <w:top w:val="single" w:sz="4" w:space="0" w:color="auto"/>
              <w:left w:val="nil"/>
              <w:bottom w:val="single" w:sz="4" w:space="0" w:color="auto"/>
              <w:right w:val="single" w:sz="4" w:space="0" w:color="auto"/>
            </w:tcBorders>
            <w:shd w:val="clear" w:color="auto" w:fill="auto"/>
          </w:tcPr>
          <w:p w:rsidR="00801B05" w:rsidRDefault="00DA30DC" w:rsidP="00801B05">
            <w:pPr>
              <w:spacing w:before="0" w:after="0" w:line="240" w:lineRule="auto"/>
              <w:rPr>
                <w:rFonts w:eastAsia="Times New Roman"/>
              </w:rPr>
            </w:pPr>
            <w:r>
              <w:rPr>
                <w:rFonts w:eastAsia="Times New Roman"/>
              </w:rPr>
              <w:t>(52.3-60.4)</w:t>
            </w:r>
          </w:p>
        </w:tc>
      </w:tr>
      <w:tr w:rsidR="00801B05" w:rsidRPr="004D7A55" w:rsidTr="00D00FE6">
        <w:trPr>
          <w:jc w:val="center"/>
        </w:trPr>
        <w:tc>
          <w:tcPr>
            <w:tcW w:w="2174" w:type="pct"/>
            <w:tcBorders>
              <w:top w:val="single" w:sz="4" w:space="0" w:color="auto"/>
              <w:left w:val="single" w:sz="4" w:space="0" w:color="auto"/>
              <w:bottom w:val="single" w:sz="4" w:space="0" w:color="auto"/>
              <w:right w:val="nil"/>
            </w:tcBorders>
            <w:shd w:val="clear" w:color="000000" w:fill="D9D9D9"/>
            <w:noWrap/>
            <w:vAlign w:val="center"/>
          </w:tcPr>
          <w:p w:rsidR="00801B05" w:rsidRPr="00801B05" w:rsidRDefault="00801B05" w:rsidP="00801B05">
            <w:pPr>
              <w:spacing w:before="0" w:after="0" w:line="240" w:lineRule="auto"/>
              <w:jc w:val="right"/>
              <w:rPr>
                <w:rFonts w:eastAsia="Times New Roman"/>
                <w:b/>
              </w:rPr>
            </w:pPr>
            <w:r w:rsidRPr="00801B05">
              <w:rPr>
                <w:rFonts w:eastAsia="Times New Roman"/>
                <w:b/>
              </w:rPr>
              <w:t>Total</w:t>
            </w:r>
          </w:p>
        </w:tc>
        <w:tc>
          <w:tcPr>
            <w:tcW w:w="570" w:type="pct"/>
            <w:gridSpan w:val="2"/>
            <w:tcBorders>
              <w:top w:val="single" w:sz="4" w:space="0" w:color="auto"/>
              <w:left w:val="single" w:sz="4" w:space="0" w:color="auto"/>
              <w:bottom w:val="single" w:sz="4" w:space="0" w:color="auto"/>
              <w:right w:val="nil"/>
            </w:tcBorders>
            <w:shd w:val="clear" w:color="000000" w:fill="D9D9D9"/>
            <w:noWrap/>
            <w:vAlign w:val="center"/>
          </w:tcPr>
          <w:p w:rsidR="00801B05" w:rsidRPr="00DA30DC" w:rsidRDefault="00DA30DC" w:rsidP="00801B05">
            <w:pPr>
              <w:spacing w:before="0" w:after="0" w:line="240" w:lineRule="auto"/>
              <w:rPr>
                <w:rFonts w:eastAsia="Times New Roman"/>
                <w:b/>
              </w:rPr>
            </w:pPr>
            <w:r w:rsidRPr="00DA30DC">
              <w:rPr>
                <w:rFonts w:eastAsia="Times New Roman"/>
                <w:b/>
              </w:rPr>
              <w:t>40.7</w:t>
            </w:r>
          </w:p>
        </w:tc>
        <w:tc>
          <w:tcPr>
            <w:tcW w:w="832" w:type="pct"/>
            <w:tcBorders>
              <w:top w:val="single" w:sz="4" w:space="0" w:color="auto"/>
              <w:left w:val="nil"/>
              <w:bottom w:val="single" w:sz="4" w:space="0" w:color="auto"/>
              <w:right w:val="single" w:sz="4" w:space="0" w:color="auto"/>
            </w:tcBorders>
            <w:shd w:val="clear" w:color="000000" w:fill="D9D9D9"/>
            <w:noWrap/>
            <w:vAlign w:val="center"/>
          </w:tcPr>
          <w:p w:rsidR="00801B05" w:rsidRPr="00DA30DC" w:rsidRDefault="00DA30DC" w:rsidP="00801B05">
            <w:pPr>
              <w:spacing w:before="0" w:after="0" w:line="240" w:lineRule="auto"/>
              <w:rPr>
                <w:rFonts w:eastAsia="Times New Roman"/>
                <w:b/>
              </w:rPr>
            </w:pPr>
            <w:r w:rsidRPr="00DA30DC">
              <w:rPr>
                <w:rFonts w:eastAsia="Times New Roman"/>
                <w:b/>
              </w:rPr>
              <w:t>(38.0-43.3)</w:t>
            </w:r>
          </w:p>
        </w:tc>
        <w:tc>
          <w:tcPr>
            <w:tcW w:w="429" w:type="pct"/>
            <w:tcBorders>
              <w:top w:val="single" w:sz="4" w:space="0" w:color="auto"/>
              <w:left w:val="single" w:sz="4" w:space="0" w:color="auto"/>
              <w:bottom w:val="single" w:sz="4" w:space="0" w:color="auto"/>
            </w:tcBorders>
            <w:shd w:val="clear" w:color="000000" w:fill="D9D9D9"/>
            <w:noWrap/>
            <w:vAlign w:val="center"/>
          </w:tcPr>
          <w:p w:rsidR="00801B05" w:rsidRPr="00DA30DC" w:rsidRDefault="00DA30DC" w:rsidP="00801B05">
            <w:pPr>
              <w:spacing w:before="0" w:after="0" w:line="240" w:lineRule="auto"/>
              <w:rPr>
                <w:rFonts w:eastAsia="Times New Roman"/>
                <w:b/>
              </w:rPr>
            </w:pPr>
            <w:r w:rsidRPr="00DA30DC">
              <w:rPr>
                <w:rFonts w:eastAsia="Times New Roman"/>
                <w:b/>
              </w:rPr>
              <w:t>59.4</w:t>
            </w:r>
          </w:p>
        </w:tc>
        <w:tc>
          <w:tcPr>
            <w:tcW w:w="994" w:type="pct"/>
            <w:tcBorders>
              <w:top w:val="single" w:sz="4" w:space="0" w:color="auto"/>
              <w:left w:val="nil"/>
              <w:bottom w:val="single" w:sz="4" w:space="0" w:color="auto"/>
              <w:right w:val="single" w:sz="4" w:space="0" w:color="auto"/>
            </w:tcBorders>
            <w:shd w:val="clear" w:color="000000" w:fill="D9D9D9"/>
          </w:tcPr>
          <w:p w:rsidR="00801B05" w:rsidRPr="00DA30DC" w:rsidRDefault="00DA30DC" w:rsidP="00801B05">
            <w:pPr>
              <w:spacing w:before="0" w:after="0" w:line="240" w:lineRule="auto"/>
              <w:rPr>
                <w:rFonts w:eastAsia="Times New Roman"/>
                <w:b/>
              </w:rPr>
            </w:pPr>
            <w:r w:rsidRPr="00DA30DC">
              <w:rPr>
                <w:rFonts w:eastAsia="Times New Roman"/>
                <w:b/>
              </w:rPr>
              <w:t>(56.7-62.0)</w:t>
            </w:r>
          </w:p>
        </w:tc>
      </w:tr>
    </w:tbl>
    <w:p w:rsidR="006876F3" w:rsidRDefault="006876F3" w:rsidP="006876F3">
      <w:r>
        <w:rPr>
          <w:noProof/>
        </w:rPr>
        <w:drawing>
          <wp:anchor distT="36576" distB="36576" distL="36576" distR="36576" simplePos="0" relativeHeight="251717632" behindDoc="0" locked="0" layoutInCell="1" allowOverlap="1" wp14:anchorId="11EDE86B" wp14:editId="6EFA0E4F">
            <wp:simplePos x="0" y="0"/>
            <wp:positionH relativeFrom="column">
              <wp:posOffset>882015</wp:posOffset>
            </wp:positionH>
            <wp:positionV relativeFrom="paragraph">
              <wp:posOffset>62865</wp:posOffset>
            </wp:positionV>
            <wp:extent cx="3835400" cy="479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5400" cy="479425"/>
                    </a:xfrm>
                    <a:prstGeom prst="rect">
                      <a:avLst/>
                    </a:prstGeom>
                    <a:noFill/>
                  </pic:spPr>
                </pic:pic>
              </a:graphicData>
            </a:graphic>
            <wp14:sizeRelH relativeFrom="page">
              <wp14:pctWidth>0</wp14:pctWidth>
            </wp14:sizeRelH>
            <wp14:sizeRelV relativeFrom="page">
              <wp14:pctHeight>0</wp14:pctHeight>
            </wp14:sizeRelV>
          </wp:anchor>
        </w:drawing>
      </w:r>
    </w:p>
    <w:p w:rsidR="006876F3" w:rsidRDefault="00245E82" w:rsidP="006876F3">
      <w:r w:rsidRPr="00C064F0">
        <w:rPr>
          <w:bCs/>
          <w:iCs/>
          <w:noProof/>
          <w:sz w:val="22"/>
          <w:szCs w:val="22"/>
        </w:rPr>
        <mc:AlternateContent>
          <mc:Choice Requires="wps">
            <w:drawing>
              <wp:anchor distT="0" distB="0" distL="114300" distR="114300" simplePos="0" relativeHeight="251791360" behindDoc="0" locked="0" layoutInCell="1" allowOverlap="1">
                <wp:simplePos x="0" y="0"/>
                <wp:positionH relativeFrom="column">
                  <wp:posOffset>771276</wp:posOffset>
                </wp:positionH>
                <wp:positionV relativeFrom="paragraph">
                  <wp:posOffset>205519</wp:posOffset>
                </wp:positionV>
                <wp:extent cx="4399280" cy="74739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747395"/>
                        </a:xfrm>
                        <a:prstGeom prst="rect">
                          <a:avLst/>
                        </a:prstGeom>
                        <a:noFill/>
                        <a:ln w="9525">
                          <a:noFill/>
                          <a:miter lim="800000"/>
                          <a:headEnd/>
                          <a:tailEnd/>
                        </a:ln>
                      </wps:spPr>
                      <wps:txbx>
                        <w:txbxContent>
                          <w:p w:rsidR="002E77F2" w:rsidRDefault="002E77F2" w:rsidP="00245E82">
                            <w:pPr>
                              <w:pBdr>
                                <w:top w:val="single" w:sz="24" w:space="8" w:color="4F81BD" w:themeColor="accent1"/>
                                <w:bottom w:val="single" w:sz="24" w:space="8" w:color="4F81BD" w:themeColor="accent1"/>
                              </w:pBdr>
                              <w:spacing w:after="0"/>
                              <w:jc w:val="center"/>
                              <w:rPr>
                                <w:i/>
                                <w:iCs/>
                                <w:color w:val="4F81BD" w:themeColor="accent1"/>
                                <w:sz w:val="24"/>
                              </w:rPr>
                            </w:pPr>
                            <w:r>
                              <w:rPr>
                                <w:i/>
                                <w:iCs/>
                                <w:color w:val="4F81BD" w:themeColor="accent1"/>
                                <w:sz w:val="24"/>
                                <w:szCs w:val="24"/>
                              </w:rPr>
                              <w:t>41% of Nevada BRFSS respondents had ever been tested for HIV.</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_x0000_s1031" type="#_x0000_t202" style="position:absolute;margin-left:60.75pt;margin-top:16.2pt;width:346.4pt;height:58.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GPDAIAAPoDAAAOAAAAZHJzL2Uyb0RvYy54bWysU9tuGyEQfa/Uf0C817ve2LW9Mo7SpKkq&#10;pRcp6QdglvWiAkMBe9f9+g6s41jpW1UeEDBw5pwzw/p6MJocpA8KLKPTSUmJtAIaZXeM/ni6f7ek&#10;JERuG67BSkaPMtDrzds3697VsoIOdCM9QRAb6t4x2sXo6qIIopOGhwk4aTHYgjc84tbvisbzHtGN&#10;LqqyfF/04BvnQcgQ8PRuDNJNxm9bKeK3tg0yEs0ocot59nneprnYrHm989x1Spxo8H9gYbiymPQM&#10;dccjJ3uv/oIySngI0MaJAFNA2yohswZUMy1fqXnsuJNZC5oT3Nmm8P9gxdfDd09Uw2g1p8RygzV6&#10;kkMkH2AgVbKnd6HGW48O78UBj7HMWWpwDyB+BmLhtuN2J2+8h76TvEF60/SyuHg64oQEsu2/QINp&#10;+D5CBhpab5J36AZBdCzT8VyaREXg4exqtaqWGBIYW8wWV6t5TsHr59fOh/hJgiFpwajH0md0fngI&#10;MbHh9fOVlMzCvdI6l19b0jO6mqMDryJGRexOrQyjyzKNsV+SyI+2yY8jV3pcYwJtT6qT0FFyHLZD&#10;9jfzTY5soTmiDR7GZsTPg4sO/G9KemxERsOvPfeSEv3ZopWr6WyWOjdvZvNFhRt/GdleRrgVCMVo&#10;pGRc3sbc7aOwG7S8VdmNFyYnythg2aTTZ0gdfLnPt16+7OYPAAAA//8DAFBLAwQUAAYACAAAACEA&#10;0FxZ9N4AAAAKAQAADwAAAGRycy9kb3ducmV2LnhtbEyPy07DMBBF90j9B2sqsaN20gSVEKeqitiC&#10;KA+JnRtPk4h4HMVuE/6eYQXLq3t050y5nV0vLjiGzpOGZKVAINXedtRoeHt9vNmACNGQNb0n1PCN&#10;AbbV4qo0hfUTveDlEBvBIxQKo6GNcSikDHWLzoSVH5C4O/nRmchxbKQdzcTjrpepUrfSmY74QmsG&#10;3LdYfx3OTsP70+nzI1PPzYPLh8nPSpK7k1pfL+fdPYiIc/yD4Vef1aFip6M/kw2i55wmOaMa1mkG&#10;goFNkq1BHLnJVQKyKuX/F6ofAAAA//8DAFBLAQItABQABgAIAAAAIQC2gziS/gAAAOEBAAATAAAA&#10;AAAAAAAAAAAAAAAAAABbQ29udGVudF9UeXBlc10ueG1sUEsBAi0AFAAGAAgAAAAhADj9If/WAAAA&#10;lAEAAAsAAAAAAAAAAAAAAAAALwEAAF9yZWxzLy5yZWxzUEsBAi0AFAAGAAgAAAAhALN8sY8MAgAA&#10;+gMAAA4AAAAAAAAAAAAAAAAALgIAAGRycy9lMm9Eb2MueG1sUEsBAi0AFAAGAAgAAAAhANBcWfTe&#10;AAAACgEAAA8AAAAAAAAAAAAAAAAAZgQAAGRycy9kb3ducmV2LnhtbFBLBQYAAAAABAAEAPMAAABx&#10;BQAAAAA=&#10;" filled="f" stroked="f">
                <v:textbox>
                  <w:txbxContent>
                    <w:p w:rsidR="002E77F2" w:rsidRDefault="002E77F2" w:rsidP="00245E82">
                      <w:pPr>
                        <w:pBdr>
                          <w:top w:val="single" w:sz="24" w:space="8" w:color="4F81BD" w:themeColor="accent1"/>
                          <w:bottom w:val="single" w:sz="24" w:space="8" w:color="4F81BD" w:themeColor="accent1"/>
                        </w:pBdr>
                        <w:spacing w:after="0"/>
                        <w:jc w:val="center"/>
                        <w:rPr>
                          <w:i/>
                          <w:iCs/>
                          <w:color w:val="4F81BD" w:themeColor="accent1"/>
                          <w:sz w:val="24"/>
                        </w:rPr>
                      </w:pPr>
                      <w:r>
                        <w:rPr>
                          <w:i/>
                          <w:iCs/>
                          <w:color w:val="4F81BD" w:themeColor="accent1"/>
                          <w:sz w:val="24"/>
                          <w:szCs w:val="24"/>
                        </w:rPr>
                        <w:t>41% of Nevada BRFSS respondents had ever been tested for HIV.</w:t>
                      </w:r>
                    </w:p>
                  </w:txbxContent>
                </v:textbox>
                <w10:wrap type="square"/>
              </v:shape>
            </w:pict>
          </mc:Fallback>
        </mc:AlternateContent>
      </w:r>
    </w:p>
    <w:p w:rsidR="00245E82" w:rsidRDefault="00245E82" w:rsidP="006876F3"/>
    <w:p w:rsidR="00245E82" w:rsidRDefault="00245E82" w:rsidP="007B4D98">
      <w:pPr>
        <w:jc w:val="both"/>
        <w:rPr>
          <w:sz w:val="22"/>
          <w:szCs w:val="22"/>
        </w:rPr>
      </w:pPr>
    </w:p>
    <w:p w:rsidR="00245E82" w:rsidRDefault="00245E82" w:rsidP="007B4D98">
      <w:pPr>
        <w:jc w:val="both"/>
        <w:rPr>
          <w:sz w:val="22"/>
          <w:szCs w:val="22"/>
        </w:rPr>
      </w:pPr>
    </w:p>
    <w:p w:rsidR="00245E82" w:rsidRDefault="00245E82" w:rsidP="007B4D98">
      <w:pPr>
        <w:jc w:val="both"/>
        <w:rPr>
          <w:sz w:val="22"/>
          <w:szCs w:val="22"/>
        </w:rPr>
      </w:pPr>
    </w:p>
    <w:p w:rsidR="006876F3" w:rsidRPr="00EE3CE1" w:rsidRDefault="007B4D98" w:rsidP="007B4D98">
      <w:pPr>
        <w:jc w:val="both"/>
        <w:rPr>
          <w:sz w:val="22"/>
          <w:szCs w:val="22"/>
        </w:rPr>
      </w:pPr>
      <w:r w:rsidRPr="00EE3CE1">
        <w:rPr>
          <w:sz w:val="22"/>
          <w:szCs w:val="22"/>
        </w:rPr>
        <w:lastRenderedPageBreak/>
        <w:t>CDC funds are used to provide HIV testing through the Southern Nevada Health District (SNHD) and Washoe County Health District (WCHD). Table 1</w:t>
      </w:r>
      <w:r w:rsidR="00D00FE6">
        <w:rPr>
          <w:sz w:val="22"/>
          <w:szCs w:val="22"/>
        </w:rPr>
        <w:t>0</w:t>
      </w:r>
      <w:r w:rsidRPr="00EE3CE1">
        <w:rPr>
          <w:sz w:val="22"/>
          <w:szCs w:val="22"/>
        </w:rPr>
        <w:t xml:space="preserve"> shows the number and types of tests administered through the two health districts from 2012 to 2015. </w:t>
      </w:r>
      <w:r w:rsidR="00817D10" w:rsidRPr="00EE3CE1">
        <w:rPr>
          <w:sz w:val="22"/>
          <w:szCs w:val="22"/>
        </w:rPr>
        <w:t xml:space="preserve">The number of rapid tests has increased since 2012 in both the north and the south. </w:t>
      </w:r>
    </w:p>
    <w:p w:rsidR="006876F3" w:rsidRPr="008F090F" w:rsidRDefault="007B4D98" w:rsidP="00094921">
      <w:pPr>
        <w:spacing w:after="0"/>
        <w:jc w:val="both"/>
        <w:rPr>
          <w:sz w:val="22"/>
        </w:rPr>
      </w:pPr>
      <w:r w:rsidRPr="008F090F">
        <w:rPr>
          <w:b/>
          <w:sz w:val="22"/>
        </w:rPr>
        <w:t>Table 1</w:t>
      </w:r>
      <w:r w:rsidR="00D00FE6">
        <w:rPr>
          <w:b/>
          <w:sz w:val="22"/>
        </w:rPr>
        <w:t>0</w:t>
      </w:r>
      <w:r w:rsidRPr="008F090F">
        <w:rPr>
          <w:b/>
          <w:sz w:val="22"/>
        </w:rPr>
        <w:t xml:space="preserve">. HIV Testing Events </w:t>
      </w:r>
      <w:r w:rsidRPr="008F090F">
        <w:rPr>
          <w:b/>
          <w:sz w:val="24"/>
        </w:rPr>
        <w:t>Southern</w:t>
      </w:r>
      <w:r w:rsidRPr="008F090F">
        <w:rPr>
          <w:b/>
          <w:sz w:val="22"/>
        </w:rPr>
        <w:t xml:space="preserve"> Nevada and Washoe County Health District</w:t>
      </w:r>
      <w:r w:rsidR="008F090F">
        <w:rPr>
          <w:b/>
          <w:sz w:val="22"/>
        </w:rPr>
        <w:t>s</w:t>
      </w:r>
      <w:r w:rsidRPr="008F090F">
        <w:rPr>
          <w:b/>
          <w:sz w:val="22"/>
        </w:rPr>
        <w:t>, 2012-2015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918"/>
        <w:gridCol w:w="920"/>
        <w:gridCol w:w="918"/>
        <w:gridCol w:w="918"/>
        <w:gridCol w:w="918"/>
        <w:gridCol w:w="918"/>
        <w:gridCol w:w="918"/>
        <w:gridCol w:w="914"/>
      </w:tblGrid>
      <w:tr w:rsidR="00CE26A3" w:rsidTr="008F090F">
        <w:trPr>
          <w:trHeight w:val="20"/>
        </w:trPr>
        <w:tc>
          <w:tcPr>
            <w:tcW w:w="1073" w:type="pct"/>
            <w:shd w:val="clear" w:color="000000" w:fill="4F81BD"/>
            <w:noWrap/>
            <w:vAlign w:val="center"/>
            <w:hideMark/>
          </w:tcPr>
          <w:p w:rsidR="00CE26A3" w:rsidRPr="00FD45D3" w:rsidRDefault="00CE26A3" w:rsidP="007267D4">
            <w:pPr>
              <w:spacing w:before="0" w:after="0" w:line="240" w:lineRule="auto"/>
              <w:jc w:val="center"/>
              <w:rPr>
                <w:color w:val="FFFFFF"/>
              </w:rPr>
            </w:pPr>
            <w:r w:rsidRPr="00FD45D3">
              <w:rPr>
                <w:color w:val="FFFFFF"/>
              </w:rPr>
              <w:t> </w:t>
            </w:r>
          </w:p>
        </w:tc>
        <w:tc>
          <w:tcPr>
            <w:tcW w:w="983" w:type="pct"/>
            <w:gridSpan w:val="2"/>
            <w:shd w:val="clear" w:color="000000" w:fill="4F81BD"/>
            <w:noWrap/>
            <w:vAlign w:val="center"/>
            <w:hideMark/>
          </w:tcPr>
          <w:p w:rsidR="00CE26A3" w:rsidRPr="00FD45D3" w:rsidRDefault="00CE26A3" w:rsidP="007267D4">
            <w:pPr>
              <w:spacing w:before="0" w:after="0" w:line="240" w:lineRule="auto"/>
              <w:jc w:val="center"/>
              <w:rPr>
                <w:b/>
                <w:bCs/>
                <w:color w:val="FFFFFF"/>
              </w:rPr>
            </w:pPr>
            <w:r>
              <w:rPr>
                <w:b/>
                <w:bCs/>
                <w:color w:val="FFFFFF"/>
              </w:rPr>
              <w:t>2012</w:t>
            </w:r>
          </w:p>
        </w:tc>
        <w:tc>
          <w:tcPr>
            <w:tcW w:w="982" w:type="pct"/>
            <w:gridSpan w:val="2"/>
            <w:shd w:val="clear" w:color="000000" w:fill="4F81BD"/>
            <w:noWrap/>
            <w:vAlign w:val="center"/>
            <w:hideMark/>
          </w:tcPr>
          <w:p w:rsidR="00CE26A3" w:rsidRPr="00FD45D3" w:rsidRDefault="00CE26A3" w:rsidP="007267D4">
            <w:pPr>
              <w:spacing w:before="0" w:after="0" w:line="240" w:lineRule="auto"/>
              <w:jc w:val="center"/>
              <w:rPr>
                <w:b/>
                <w:bCs/>
                <w:color w:val="FFFFFF"/>
              </w:rPr>
            </w:pPr>
            <w:r>
              <w:rPr>
                <w:b/>
                <w:bCs/>
                <w:color w:val="FFFFFF"/>
              </w:rPr>
              <w:t>2013</w:t>
            </w:r>
          </w:p>
        </w:tc>
        <w:tc>
          <w:tcPr>
            <w:tcW w:w="982" w:type="pct"/>
            <w:gridSpan w:val="2"/>
            <w:shd w:val="clear" w:color="000000" w:fill="4F81BD"/>
            <w:noWrap/>
            <w:vAlign w:val="center"/>
            <w:hideMark/>
          </w:tcPr>
          <w:p w:rsidR="00CE26A3" w:rsidRPr="00FD45D3" w:rsidRDefault="00CE26A3" w:rsidP="007267D4">
            <w:pPr>
              <w:spacing w:before="0" w:after="0" w:line="240" w:lineRule="auto"/>
              <w:jc w:val="center"/>
              <w:rPr>
                <w:b/>
                <w:bCs/>
                <w:color w:val="FFFFFF"/>
              </w:rPr>
            </w:pPr>
            <w:r>
              <w:rPr>
                <w:b/>
                <w:bCs/>
                <w:color w:val="FFFFFF"/>
              </w:rPr>
              <w:t>2014</w:t>
            </w:r>
          </w:p>
        </w:tc>
        <w:tc>
          <w:tcPr>
            <w:tcW w:w="981" w:type="pct"/>
            <w:gridSpan w:val="2"/>
            <w:shd w:val="clear" w:color="000000" w:fill="4F81BD"/>
          </w:tcPr>
          <w:p w:rsidR="00CE26A3" w:rsidRDefault="00CE26A3" w:rsidP="007267D4">
            <w:pPr>
              <w:spacing w:before="0" w:after="0" w:line="240" w:lineRule="auto"/>
              <w:jc w:val="center"/>
              <w:rPr>
                <w:b/>
                <w:bCs/>
                <w:color w:val="FFFFFF"/>
              </w:rPr>
            </w:pPr>
            <w:r>
              <w:rPr>
                <w:b/>
                <w:bCs/>
                <w:color w:val="FFFFFF"/>
              </w:rPr>
              <w:t>2015</w:t>
            </w:r>
          </w:p>
        </w:tc>
      </w:tr>
      <w:tr w:rsidR="00CE26A3" w:rsidRPr="00FD45D3" w:rsidTr="008F090F">
        <w:trPr>
          <w:trHeight w:val="20"/>
        </w:trPr>
        <w:tc>
          <w:tcPr>
            <w:tcW w:w="1073" w:type="pct"/>
            <w:shd w:val="clear" w:color="000000" w:fill="4F81BD"/>
            <w:vAlign w:val="center"/>
            <w:hideMark/>
          </w:tcPr>
          <w:p w:rsidR="00CE26A3" w:rsidRPr="00FD45D3" w:rsidRDefault="008F090F" w:rsidP="008F090F">
            <w:pPr>
              <w:spacing w:before="0" w:after="0" w:line="240" w:lineRule="auto"/>
              <w:rPr>
                <w:color w:val="FFFFFF"/>
              </w:rPr>
            </w:pPr>
            <w:r w:rsidRPr="008F090F">
              <w:rPr>
                <w:b/>
                <w:color w:val="FFFFFF" w:themeColor="background1"/>
              </w:rPr>
              <w:t>Test Type</w:t>
            </w:r>
            <w:r w:rsidR="00CE26A3" w:rsidRPr="008F090F">
              <w:rPr>
                <w:color w:val="FFFFFF" w:themeColor="background1"/>
              </w:rPr>
              <w:t> </w:t>
            </w:r>
          </w:p>
        </w:tc>
        <w:tc>
          <w:tcPr>
            <w:tcW w:w="491" w:type="pct"/>
            <w:shd w:val="clear" w:color="000000" w:fill="4F81BD"/>
            <w:noWrap/>
            <w:vAlign w:val="center"/>
            <w:hideMark/>
          </w:tcPr>
          <w:p w:rsidR="00CE26A3" w:rsidRPr="00FD45D3" w:rsidRDefault="00CE26A3" w:rsidP="007267D4">
            <w:pPr>
              <w:spacing w:before="0" w:after="0" w:line="240" w:lineRule="auto"/>
              <w:jc w:val="center"/>
              <w:rPr>
                <w:b/>
                <w:bCs/>
                <w:color w:val="FFFFFF"/>
              </w:rPr>
            </w:pPr>
            <w:r>
              <w:rPr>
                <w:b/>
                <w:bCs/>
                <w:color w:val="FFFFFF"/>
              </w:rPr>
              <w:t>SNHD</w:t>
            </w:r>
          </w:p>
        </w:tc>
        <w:tc>
          <w:tcPr>
            <w:tcW w:w="492" w:type="pct"/>
            <w:shd w:val="clear" w:color="000000" w:fill="4F81BD"/>
            <w:noWrap/>
            <w:vAlign w:val="center"/>
            <w:hideMark/>
          </w:tcPr>
          <w:p w:rsidR="00CE26A3" w:rsidRPr="00FD45D3" w:rsidRDefault="00CE26A3" w:rsidP="007267D4">
            <w:pPr>
              <w:spacing w:before="0" w:after="0" w:line="240" w:lineRule="auto"/>
              <w:jc w:val="center"/>
              <w:rPr>
                <w:b/>
                <w:bCs/>
                <w:color w:val="FFFFFF"/>
              </w:rPr>
            </w:pPr>
            <w:r>
              <w:rPr>
                <w:b/>
                <w:bCs/>
                <w:color w:val="FFFFFF"/>
              </w:rPr>
              <w:t>WCHD</w:t>
            </w:r>
          </w:p>
        </w:tc>
        <w:tc>
          <w:tcPr>
            <w:tcW w:w="491" w:type="pct"/>
            <w:shd w:val="clear" w:color="000000" w:fill="4F81BD"/>
            <w:noWrap/>
            <w:vAlign w:val="center"/>
          </w:tcPr>
          <w:p w:rsidR="00CE26A3" w:rsidRPr="00FD45D3" w:rsidRDefault="00CE26A3" w:rsidP="007267D4">
            <w:pPr>
              <w:spacing w:before="0" w:after="0" w:line="240" w:lineRule="auto"/>
              <w:jc w:val="center"/>
              <w:rPr>
                <w:b/>
                <w:bCs/>
                <w:color w:val="FFFFFF"/>
              </w:rPr>
            </w:pPr>
            <w:r>
              <w:rPr>
                <w:b/>
                <w:bCs/>
                <w:color w:val="FFFFFF"/>
              </w:rPr>
              <w:t>SNHD</w:t>
            </w:r>
          </w:p>
        </w:tc>
        <w:tc>
          <w:tcPr>
            <w:tcW w:w="491" w:type="pct"/>
            <w:shd w:val="clear" w:color="000000" w:fill="4F81BD"/>
            <w:noWrap/>
            <w:vAlign w:val="center"/>
          </w:tcPr>
          <w:p w:rsidR="00CE26A3" w:rsidRPr="00FD45D3" w:rsidRDefault="00CE26A3" w:rsidP="007267D4">
            <w:pPr>
              <w:spacing w:before="0" w:after="0" w:line="240" w:lineRule="auto"/>
              <w:jc w:val="center"/>
              <w:rPr>
                <w:b/>
                <w:bCs/>
                <w:color w:val="FFFFFF"/>
              </w:rPr>
            </w:pPr>
            <w:r>
              <w:rPr>
                <w:b/>
                <w:bCs/>
                <w:color w:val="FFFFFF"/>
              </w:rPr>
              <w:t>WCHD</w:t>
            </w:r>
          </w:p>
        </w:tc>
        <w:tc>
          <w:tcPr>
            <w:tcW w:w="491" w:type="pct"/>
            <w:shd w:val="clear" w:color="000000" w:fill="4F81BD"/>
            <w:noWrap/>
            <w:vAlign w:val="center"/>
          </w:tcPr>
          <w:p w:rsidR="00CE26A3" w:rsidRPr="00FD45D3" w:rsidRDefault="00CE26A3" w:rsidP="007267D4">
            <w:pPr>
              <w:spacing w:before="0" w:after="0" w:line="240" w:lineRule="auto"/>
              <w:jc w:val="center"/>
              <w:rPr>
                <w:b/>
                <w:bCs/>
                <w:color w:val="FFFFFF"/>
              </w:rPr>
            </w:pPr>
            <w:r>
              <w:rPr>
                <w:b/>
                <w:bCs/>
                <w:color w:val="FFFFFF"/>
              </w:rPr>
              <w:t>SNHD</w:t>
            </w:r>
          </w:p>
        </w:tc>
        <w:tc>
          <w:tcPr>
            <w:tcW w:w="491" w:type="pct"/>
            <w:shd w:val="clear" w:color="000000" w:fill="4F81BD"/>
            <w:noWrap/>
            <w:vAlign w:val="center"/>
          </w:tcPr>
          <w:p w:rsidR="00CE26A3" w:rsidRPr="00FD45D3" w:rsidRDefault="00CE26A3" w:rsidP="007267D4">
            <w:pPr>
              <w:spacing w:before="0" w:after="0" w:line="240" w:lineRule="auto"/>
              <w:jc w:val="center"/>
              <w:rPr>
                <w:b/>
                <w:bCs/>
                <w:color w:val="FFFFFF"/>
              </w:rPr>
            </w:pPr>
            <w:r>
              <w:rPr>
                <w:b/>
                <w:bCs/>
                <w:color w:val="FFFFFF"/>
              </w:rPr>
              <w:t>WCHD</w:t>
            </w:r>
          </w:p>
        </w:tc>
        <w:tc>
          <w:tcPr>
            <w:tcW w:w="491" w:type="pct"/>
            <w:shd w:val="clear" w:color="000000" w:fill="4F81BD"/>
            <w:vAlign w:val="center"/>
          </w:tcPr>
          <w:p w:rsidR="00CE26A3" w:rsidRPr="00FD45D3" w:rsidRDefault="00CE26A3" w:rsidP="007267D4">
            <w:pPr>
              <w:spacing w:before="0" w:after="0" w:line="240" w:lineRule="auto"/>
              <w:jc w:val="center"/>
              <w:rPr>
                <w:b/>
                <w:bCs/>
                <w:color w:val="FFFFFF"/>
              </w:rPr>
            </w:pPr>
            <w:r>
              <w:rPr>
                <w:b/>
                <w:bCs/>
                <w:color w:val="FFFFFF"/>
              </w:rPr>
              <w:t>SNHD</w:t>
            </w:r>
          </w:p>
        </w:tc>
        <w:tc>
          <w:tcPr>
            <w:tcW w:w="490" w:type="pct"/>
            <w:shd w:val="clear" w:color="000000" w:fill="4F81BD"/>
            <w:vAlign w:val="center"/>
          </w:tcPr>
          <w:p w:rsidR="00CE26A3" w:rsidRPr="00FD45D3" w:rsidRDefault="00CE26A3" w:rsidP="007267D4">
            <w:pPr>
              <w:spacing w:before="0" w:after="0" w:line="240" w:lineRule="auto"/>
              <w:jc w:val="center"/>
              <w:rPr>
                <w:b/>
                <w:bCs/>
                <w:color w:val="FFFFFF"/>
              </w:rPr>
            </w:pPr>
            <w:r>
              <w:rPr>
                <w:b/>
                <w:bCs/>
                <w:color w:val="FFFFFF"/>
              </w:rPr>
              <w:t>WCHD</w:t>
            </w:r>
          </w:p>
        </w:tc>
      </w:tr>
      <w:tr w:rsidR="00CE26A3" w:rsidRPr="00FD45D3" w:rsidTr="008F090F">
        <w:trPr>
          <w:trHeight w:val="2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6A3" w:rsidRPr="00CE26A3" w:rsidRDefault="00CE26A3" w:rsidP="00CE26A3">
            <w:pPr>
              <w:spacing w:before="0" w:after="0" w:line="240" w:lineRule="auto"/>
            </w:pPr>
            <w:r w:rsidRPr="00CE26A3">
              <w:t>Rapid tests</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6A3" w:rsidRPr="00817D10" w:rsidRDefault="00817D10" w:rsidP="00094921">
            <w:pPr>
              <w:spacing w:before="0" w:after="0" w:line="240" w:lineRule="auto"/>
              <w:jc w:val="right"/>
              <w:rPr>
                <w:bCs/>
              </w:rPr>
            </w:pPr>
            <w:r w:rsidRPr="00817D10">
              <w:rPr>
                <w:bCs/>
              </w:rPr>
              <w:t>5575</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6A3" w:rsidRPr="00817D10" w:rsidRDefault="00817D10" w:rsidP="00094921">
            <w:pPr>
              <w:spacing w:before="0" w:after="0" w:line="240" w:lineRule="auto"/>
              <w:jc w:val="right"/>
              <w:rPr>
                <w:bCs/>
              </w:rPr>
            </w:pPr>
            <w:r>
              <w:rPr>
                <w:bCs/>
              </w:rPr>
              <w:t>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sidRPr="00817D10">
              <w:rPr>
                <w:bCs/>
              </w:rPr>
              <w:t>5452</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Pr>
                <w:bCs/>
              </w:rPr>
              <w:t>45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Pr>
                <w:bCs/>
              </w:rPr>
              <w:t>6119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Pr>
                <w:bCs/>
              </w:rPr>
              <w:t>153</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CE26A3" w:rsidRPr="00817D10" w:rsidRDefault="00817D10" w:rsidP="00094921">
            <w:pPr>
              <w:spacing w:before="0" w:after="0" w:line="240" w:lineRule="auto"/>
              <w:jc w:val="right"/>
              <w:rPr>
                <w:bCs/>
              </w:rPr>
            </w:pPr>
            <w:r>
              <w:rPr>
                <w:bCs/>
              </w:rPr>
              <w:t>6730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CE26A3" w:rsidRPr="00817D10" w:rsidRDefault="00817D10" w:rsidP="00094921">
            <w:pPr>
              <w:spacing w:before="0" w:after="0" w:line="240" w:lineRule="auto"/>
              <w:jc w:val="right"/>
              <w:rPr>
                <w:bCs/>
              </w:rPr>
            </w:pPr>
            <w:r>
              <w:rPr>
                <w:bCs/>
              </w:rPr>
              <w:t>566</w:t>
            </w:r>
          </w:p>
        </w:tc>
      </w:tr>
      <w:tr w:rsidR="00CE26A3" w:rsidRPr="00FD45D3" w:rsidTr="008F090F">
        <w:trPr>
          <w:trHeight w:val="2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6A3" w:rsidRPr="00CE26A3" w:rsidRDefault="00CE26A3" w:rsidP="00CE26A3">
            <w:pPr>
              <w:spacing w:before="0" w:after="0" w:line="240" w:lineRule="auto"/>
            </w:pPr>
            <w:r w:rsidRPr="00CE26A3">
              <w:t>Conventional Tests</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6A3" w:rsidRPr="00817D10" w:rsidRDefault="00817D10" w:rsidP="00094921">
            <w:pPr>
              <w:spacing w:before="0" w:after="0" w:line="240" w:lineRule="auto"/>
              <w:jc w:val="right"/>
              <w:rPr>
                <w:bCs/>
              </w:rPr>
            </w:pPr>
            <w:r w:rsidRPr="00817D10">
              <w:rPr>
                <w:bCs/>
              </w:rPr>
              <w:t>12387</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26A3" w:rsidRPr="00817D10" w:rsidRDefault="00817D10" w:rsidP="00094921">
            <w:pPr>
              <w:spacing w:before="0" w:after="0" w:line="240" w:lineRule="auto"/>
              <w:jc w:val="right"/>
              <w:rPr>
                <w:bCs/>
              </w:rPr>
            </w:pPr>
            <w:r>
              <w:rPr>
                <w:bCs/>
              </w:rPr>
              <w:t>2877</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sidRPr="00817D10">
              <w:rPr>
                <w:bCs/>
              </w:rPr>
              <w:t>13839</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Pr>
                <w:bCs/>
              </w:rPr>
              <w:t>1970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Pr>
                <w:bCs/>
              </w:rPr>
              <w:t>12985</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26A3" w:rsidRPr="00817D10" w:rsidRDefault="00817D10" w:rsidP="00094921">
            <w:pPr>
              <w:spacing w:before="0" w:after="0" w:line="240" w:lineRule="auto"/>
              <w:jc w:val="right"/>
              <w:rPr>
                <w:bCs/>
              </w:rPr>
            </w:pPr>
            <w:r>
              <w:rPr>
                <w:bCs/>
              </w:rPr>
              <w:t>1966</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rsidR="00CE26A3" w:rsidRPr="00817D10" w:rsidRDefault="00817D10" w:rsidP="00094921">
            <w:pPr>
              <w:spacing w:before="0" w:after="0" w:line="240" w:lineRule="auto"/>
              <w:jc w:val="right"/>
              <w:rPr>
                <w:bCs/>
              </w:rPr>
            </w:pPr>
            <w:r>
              <w:rPr>
                <w:bCs/>
              </w:rPr>
              <w:t>11260</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CE26A3" w:rsidRPr="00817D10" w:rsidRDefault="00817D10" w:rsidP="00094921">
            <w:pPr>
              <w:spacing w:before="0" w:after="0" w:line="240" w:lineRule="auto"/>
              <w:jc w:val="right"/>
              <w:rPr>
                <w:bCs/>
              </w:rPr>
            </w:pPr>
            <w:r>
              <w:rPr>
                <w:bCs/>
              </w:rPr>
              <w:t>1824</w:t>
            </w:r>
          </w:p>
        </w:tc>
      </w:tr>
      <w:tr w:rsidR="00CE26A3" w:rsidRPr="00FD45D3" w:rsidTr="008F090F">
        <w:trPr>
          <w:trHeight w:val="20"/>
        </w:trPr>
        <w:tc>
          <w:tcPr>
            <w:tcW w:w="10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26A3" w:rsidRPr="00CE26A3" w:rsidRDefault="00CE26A3" w:rsidP="00CE26A3">
            <w:pPr>
              <w:spacing w:before="0" w:after="0" w:line="240" w:lineRule="auto"/>
              <w:jc w:val="right"/>
              <w:rPr>
                <w:b/>
              </w:rPr>
            </w:pPr>
            <w:r w:rsidRPr="00CE26A3">
              <w:rPr>
                <w:b/>
              </w:rPr>
              <w:t>Total</w:t>
            </w:r>
          </w:p>
        </w:tc>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26A3" w:rsidRPr="00817D10" w:rsidRDefault="00CE26A3" w:rsidP="00094921">
            <w:pPr>
              <w:spacing w:before="0" w:after="0" w:line="240" w:lineRule="auto"/>
              <w:jc w:val="right"/>
              <w:rPr>
                <w:b/>
                <w:bCs/>
              </w:rPr>
            </w:pPr>
            <w:r w:rsidRPr="00817D10">
              <w:rPr>
                <w:b/>
                <w:bCs/>
              </w:rPr>
              <w:t>17838</w:t>
            </w: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26A3" w:rsidRPr="00817D10" w:rsidRDefault="00817D10" w:rsidP="00094921">
            <w:pPr>
              <w:spacing w:before="0" w:after="0" w:line="240" w:lineRule="auto"/>
              <w:jc w:val="right"/>
              <w:rPr>
                <w:b/>
                <w:bCs/>
              </w:rPr>
            </w:pPr>
            <w:r>
              <w:rPr>
                <w:b/>
                <w:bCs/>
              </w:rPr>
              <w:t>2876</w:t>
            </w:r>
          </w:p>
        </w:tc>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26A3" w:rsidRPr="00817D10" w:rsidRDefault="00817D10" w:rsidP="00094921">
            <w:pPr>
              <w:spacing w:before="0" w:after="0" w:line="240" w:lineRule="auto"/>
              <w:jc w:val="right"/>
              <w:rPr>
                <w:b/>
                <w:bCs/>
              </w:rPr>
            </w:pPr>
            <w:r w:rsidRPr="00817D10">
              <w:rPr>
                <w:b/>
                <w:bCs/>
              </w:rPr>
              <w:t>19140</w:t>
            </w:r>
          </w:p>
        </w:tc>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26A3" w:rsidRPr="00817D10" w:rsidRDefault="00817D10" w:rsidP="00094921">
            <w:pPr>
              <w:spacing w:before="0" w:after="0" w:line="240" w:lineRule="auto"/>
              <w:jc w:val="right"/>
              <w:rPr>
                <w:b/>
                <w:bCs/>
              </w:rPr>
            </w:pPr>
            <w:r>
              <w:rPr>
                <w:b/>
                <w:bCs/>
              </w:rPr>
              <w:t>2003</w:t>
            </w:r>
          </w:p>
        </w:tc>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26A3" w:rsidRPr="00817D10" w:rsidRDefault="00817D10" w:rsidP="00094921">
            <w:pPr>
              <w:spacing w:before="0" w:after="0" w:line="240" w:lineRule="auto"/>
              <w:jc w:val="right"/>
              <w:rPr>
                <w:b/>
                <w:bCs/>
              </w:rPr>
            </w:pPr>
            <w:r>
              <w:rPr>
                <w:b/>
                <w:bCs/>
              </w:rPr>
              <w:t>18999</w:t>
            </w:r>
          </w:p>
        </w:tc>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E26A3" w:rsidRPr="00817D10" w:rsidRDefault="00817D10" w:rsidP="00094921">
            <w:pPr>
              <w:spacing w:before="0" w:after="0" w:line="240" w:lineRule="auto"/>
              <w:jc w:val="right"/>
              <w:rPr>
                <w:b/>
                <w:bCs/>
              </w:rPr>
            </w:pPr>
            <w:r>
              <w:rPr>
                <w:b/>
                <w:bCs/>
              </w:rPr>
              <w:t>2104</w:t>
            </w:r>
          </w:p>
        </w:tc>
        <w:tc>
          <w:tcPr>
            <w:tcW w:w="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26A3" w:rsidRPr="00817D10" w:rsidRDefault="00817D10" w:rsidP="00094921">
            <w:pPr>
              <w:spacing w:before="0" w:after="0" w:line="240" w:lineRule="auto"/>
              <w:jc w:val="right"/>
              <w:rPr>
                <w:b/>
                <w:bCs/>
              </w:rPr>
            </w:pPr>
            <w:r>
              <w:rPr>
                <w:b/>
                <w:bCs/>
              </w:rPr>
              <w:t>17805</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E26A3" w:rsidRPr="00817D10" w:rsidRDefault="00817D10" w:rsidP="00094921">
            <w:pPr>
              <w:spacing w:before="0" w:after="0" w:line="240" w:lineRule="auto"/>
              <w:jc w:val="right"/>
              <w:rPr>
                <w:b/>
                <w:bCs/>
              </w:rPr>
            </w:pPr>
            <w:r>
              <w:rPr>
                <w:b/>
                <w:bCs/>
              </w:rPr>
              <w:t>2345</w:t>
            </w:r>
          </w:p>
        </w:tc>
      </w:tr>
    </w:tbl>
    <w:p w:rsidR="00D22274" w:rsidRPr="009B517F" w:rsidRDefault="00D22274" w:rsidP="00F103A5">
      <w:pPr>
        <w:pStyle w:val="Heading5"/>
      </w:pPr>
      <w:r w:rsidRPr="009B517F">
        <w:t>Early Identification of Individuals with HIV/AIDS Data for Part A and Part B</w:t>
      </w:r>
    </w:p>
    <w:p w:rsidR="00465ED1" w:rsidRPr="00465ED1" w:rsidRDefault="00465ED1" w:rsidP="00465ED1">
      <w:pPr>
        <w:jc w:val="both"/>
        <w:rPr>
          <w:rFonts w:cs="Times New Roman"/>
          <w:sz w:val="22"/>
          <w:szCs w:val="22"/>
        </w:rPr>
      </w:pPr>
      <w:r w:rsidRPr="00465ED1">
        <w:rPr>
          <w:rFonts w:cs="Times New Roman"/>
          <w:sz w:val="22"/>
          <w:szCs w:val="22"/>
        </w:rPr>
        <w:t xml:space="preserve">The Office of Epidemiology and HIV Prevention Program collect data as it relates to testing events, newly identified positive individuals and linkages, or referrals to medical care. Additionally, </w:t>
      </w:r>
      <w:r w:rsidR="00245E82">
        <w:rPr>
          <w:rFonts w:cs="Times New Roman"/>
          <w:sz w:val="22"/>
          <w:szCs w:val="22"/>
        </w:rPr>
        <w:t>SNHD</w:t>
      </w:r>
      <w:r w:rsidRPr="00465ED1">
        <w:rPr>
          <w:rFonts w:cs="Times New Roman"/>
          <w:sz w:val="22"/>
          <w:szCs w:val="22"/>
        </w:rPr>
        <w:t xml:space="preserve"> collects data on clients seen at its Early Intervention Services Program and the Anti-Retroviral Treatment and Access to Services (ARTAS) Program.</w:t>
      </w:r>
    </w:p>
    <w:p w:rsidR="00465ED1" w:rsidRPr="00465ED1" w:rsidRDefault="00465ED1" w:rsidP="00465ED1">
      <w:pPr>
        <w:jc w:val="both"/>
        <w:rPr>
          <w:rFonts w:cs="Times New Roman"/>
          <w:sz w:val="22"/>
          <w:szCs w:val="22"/>
        </w:rPr>
      </w:pPr>
      <w:r w:rsidRPr="00465ED1">
        <w:rPr>
          <w:rFonts w:cs="Times New Roman"/>
          <w:sz w:val="22"/>
          <w:szCs w:val="22"/>
        </w:rPr>
        <w:t>Based on the data, 92% of newly identified individuals are referred to medical care.  The EIIHA Program has been able to work with clients through the Early Intervention Services and ARTAS Programs to ensure a seamless transition from prevention to care.  Once in care, programs work closely with clients to ensure they stay in care by removing obstacles and working with clients to access ancillary services to ensure they have the necessary tools to stay in care.</w:t>
      </w:r>
    </w:p>
    <w:p w:rsidR="006907E8" w:rsidRPr="009B517F" w:rsidRDefault="008111BE" w:rsidP="009B517F">
      <w:pPr>
        <w:spacing w:after="0"/>
        <w:jc w:val="both"/>
        <w:rPr>
          <w:rFonts w:cs="Times New Roman"/>
          <w:sz w:val="22"/>
          <w:szCs w:val="22"/>
        </w:rPr>
      </w:pPr>
      <w:r>
        <w:rPr>
          <w:rFonts w:cs="Times New Roman"/>
          <w:sz w:val="22"/>
          <w:szCs w:val="22"/>
        </w:rPr>
        <w:t>Data</w:t>
      </w:r>
      <w:r w:rsidR="006907E8" w:rsidRPr="009B517F">
        <w:rPr>
          <w:rFonts w:cs="Times New Roman"/>
          <w:sz w:val="22"/>
          <w:szCs w:val="22"/>
        </w:rPr>
        <w:t xml:space="preserve"> from Ryan White Part A grant year 2015-2016 show 462 individuals enrolled in the ARTAS program.  Of the total number of clients, 189 were newly diagnosed and 273 were previously diagnosed but re-engaging in medical care from jails/prison, out of care or out of state. Newly diagnosed clients enrolled in ARTAS have a higher rate of linkage, </w:t>
      </w:r>
      <w:r w:rsidR="00293AAD">
        <w:rPr>
          <w:rFonts w:cs="Times New Roman"/>
          <w:sz w:val="22"/>
          <w:szCs w:val="22"/>
        </w:rPr>
        <w:t xml:space="preserve">with </w:t>
      </w:r>
      <w:r w:rsidR="006907E8" w:rsidRPr="009B517F">
        <w:rPr>
          <w:rFonts w:cs="Times New Roman"/>
          <w:sz w:val="22"/>
          <w:szCs w:val="22"/>
        </w:rPr>
        <w:t xml:space="preserve">79.6% and 76.1% </w:t>
      </w:r>
      <w:r w:rsidR="00293AAD">
        <w:rPr>
          <w:rFonts w:cs="Times New Roman"/>
          <w:sz w:val="22"/>
          <w:szCs w:val="22"/>
        </w:rPr>
        <w:t xml:space="preserve">linkage </w:t>
      </w:r>
      <w:r w:rsidR="006907E8" w:rsidRPr="009B517F">
        <w:rPr>
          <w:rFonts w:cs="Times New Roman"/>
          <w:sz w:val="22"/>
          <w:szCs w:val="22"/>
        </w:rPr>
        <w:t xml:space="preserve">achieved by </w:t>
      </w:r>
      <w:r w:rsidR="00245E82">
        <w:rPr>
          <w:rFonts w:cs="Times New Roman"/>
          <w:sz w:val="22"/>
          <w:szCs w:val="22"/>
        </w:rPr>
        <w:t xml:space="preserve">SNHD </w:t>
      </w:r>
      <w:r w:rsidR="006907E8" w:rsidRPr="009B517F">
        <w:rPr>
          <w:rFonts w:cs="Times New Roman"/>
          <w:sz w:val="22"/>
          <w:szCs w:val="22"/>
        </w:rPr>
        <w:t>and AIDS Healthcare Foundation, respectively</w:t>
      </w:r>
      <w:r w:rsidR="00245E82">
        <w:rPr>
          <w:rFonts w:cs="Times New Roman"/>
          <w:sz w:val="22"/>
          <w:szCs w:val="22"/>
        </w:rPr>
        <w:t>; w</w:t>
      </w:r>
      <w:r w:rsidR="006907E8" w:rsidRPr="009B517F">
        <w:rPr>
          <w:rFonts w:cs="Times New Roman"/>
          <w:sz w:val="22"/>
          <w:szCs w:val="22"/>
        </w:rPr>
        <w:t xml:space="preserve">hereas individuals newly diagnosed that chose not to participate in the ARTAS program saw a linkage rate of 72.3% for grant year 2015-2016.  </w:t>
      </w:r>
    </w:p>
    <w:p w:rsidR="006907E8" w:rsidRDefault="006907E8" w:rsidP="009B517F">
      <w:pPr>
        <w:spacing w:after="0"/>
        <w:jc w:val="both"/>
        <w:rPr>
          <w:rFonts w:cs="Times New Roman"/>
          <w:sz w:val="22"/>
          <w:szCs w:val="22"/>
        </w:rPr>
      </w:pPr>
      <w:r w:rsidRPr="009B517F">
        <w:rPr>
          <w:rFonts w:cs="Times New Roman"/>
          <w:sz w:val="22"/>
          <w:szCs w:val="22"/>
        </w:rPr>
        <w:t>An analysis of viral load upon entry for newly diagnosed individuals enrolled at SNHD show</w:t>
      </w:r>
      <w:r w:rsidR="00245E82">
        <w:rPr>
          <w:rFonts w:cs="Times New Roman"/>
          <w:sz w:val="22"/>
          <w:szCs w:val="22"/>
        </w:rPr>
        <w:t>s</w:t>
      </w:r>
      <w:r w:rsidRPr="009B517F">
        <w:rPr>
          <w:rFonts w:cs="Times New Roman"/>
          <w:sz w:val="22"/>
          <w:szCs w:val="22"/>
        </w:rPr>
        <w:t xml:space="preserve"> 93 individuals reported a viral load of </w:t>
      </w:r>
      <w:r w:rsidRPr="009B517F">
        <w:rPr>
          <w:rFonts w:cs="Times New Roman"/>
          <w:sz w:val="22"/>
          <w:szCs w:val="22"/>
          <w:u w:val="single"/>
        </w:rPr>
        <w:t>&lt;</w:t>
      </w:r>
      <w:r w:rsidRPr="009B517F">
        <w:rPr>
          <w:rFonts w:cs="Times New Roman"/>
          <w:sz w:val="22"/>
          <w:szCs w:val="22"/>
        </w:rPr>
        <w:t xml:space="preserve">200-49,999; 47 individuals reported a viral load of 50,000-99,999; 43 individuals reported a viral load over 100,000.  Seven individuals were missing </w:t>
      </w:r>
      <w:r w:rsidR="00245E82">
        <w:rPr>
          <w:rFonts w:cs="Times New Roman"/>
          <w:sz w:val="22"/>
          <w:szCs w:val="22"/>
        </w:rPr>
        <w:t>v</w:t>
      </w:r>
      <w:r w:rsidRPr="009B517F">
        <w:rPr>
          <w:rFonts w:cs="Times New Roman"/>
          <w:sz w:val="22"/>
          <w:szCs w:val="22"/>
        </w:rPr>
        <w:t xml:space="preserve">iral </w:t>
      </w:r>
      <w:r w:rsidR="00245E82">
        <w:rPr>
          <w:rFonts w:cs="Times New Roman"/>
          <w:sz w:val="22"/>
          <w:szCs w:val="22"/>
        </w:rPr>
        <w:t>l</w:t>
      </w:r>
      <w:r w:rsidRPr="009B517F">
        <w:rPr>
          <w:rFonts w:cs="Times New Roman"/>
          <w:sz w:val="22"/>
          <w:szCs w:val="22"/>
        </w:rPr>
        <w:t>oad data.  Viral load suppression at the end of the 2015-2016 grant year reported 121 individuals with suppressed viral load, 66 individuals with unsuppressed viral load and 3 i</w:t>
      </w:r>
      <w:r w:rsidR="00245E82">
        <w:rPr>
          <w:rFonts w:cs="Times New Roman"/>
          <w:sz w:val="22"/>
          <w:szCs w:val="22"/>
        </w:rPr>
        <w:t xml:space="preserve">ndividuals were missing labs. </w:t>
      </w:r>
      <w:r w:rsidRPr="009B517F">
        <w:rPr>
          <w:rFonts w:cs="Times New Roman"/>
          <w:sz w:val="22"/>
          <w:szCs w:val="22"/>
        </w:rPr>
        <w:t xml:space="preserve">The number of newly diagnosed individuals with a suppressed viral load increased from 1.6% to 63.7% in the 2015-2016 grant year, an increase of 62.1%.  </w:t>
      </w:r>
    </w:p>
    <w:p w:rsidR="00E116CC" w:rsidRDefault="00E116CC" w:rsidP="00C73E41">
      <w:pPr>
        <w:spacing w:before="0" w:after="0"/>
        <w:jc w:val="both"/>
        <w:rPr>
          <w:rFonts w:cs="Times New Roman"/>
          <w:sz w:val="22"/>
          <w:szCs w:val="22"/>
        </w:rPr>
      </w:pPr>
    </w:p>
    <w:p w:rsidR="00245E82" w:rsidRDefault="00245E82" w:rsidP="00C73E41">
      <w:pPr>
        <w:spacing w:before="0" w:after="0"/>
        <w:jc w:val="both"/>
        <w:rPr>
          <w:rFonts w:cs="Times New Roman"/>
          <w:sz w:val="22"/>
          <w:szCs w:val="22"/>
        </w:rPr>
      </w:pPr>
    </w:p>
    <w:p w:rsidR="00245E82" w:rsidRPr="009B517F" w:rsidRDefault="00245E82" w:rsidP="00C73E41">
      <w:pPr>
        <w:spacing w:before="0" w:after="0"/>
        <w:jc w:val="both"/>
        <w:rPr>
          <w:rFonts w:cs="Times New Roman"/>
          <w:sz w:val="22"/>
          <w:szCs w:val="22"/>
        </w:rPr>
      </w:pPr>
    </w:p>
    <w:tbl>
      <w:tblPr>
        <w:tblStyle w:val="ListTable4-Accent12"/>
        <w:tblpPr w:leftFromText="180" w:rightFromText="180" w:vertAnchor="text" w:horzAnchor="margin" w:tblpY="364"/>
        <w:tblW w:w="0" w:type="auto"/>
        <w:tblLook w:val="04A0" w:firstRow="1" w:lastRow="0" w:firstColumn="1" w:lastColumn="0" w:noHBand="0" w:noVBand="1"/>
      </w:tblPr>
      <w:tblGrid>
        <w:gridCol w:w="7645"/>
        <w:gridCol w:w="1530"/>
      </w:tblGrid>
      <w:tr w:rsidR="00C73E41" w:rsidRPr="009B517F" w:rsidTr="00445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lastRenderedPageBreak/>
              <w:t>Definition</w:t>
            </w:r>
          </w:p>
        </w:tc>
        <w:tc>
          <w:tcPr>
            <w:tcW w:w="1530" w:type="dxa"/>
          </w:tcPr>
          <w:p w:rsidR="00C73E41" w:rsidRPr="009B517F" w:rsidRDefault="00C73E41" w:rsidP="00C73E41">
            <w:pPr>
              <w:spacing w:before="0"/>
              <w:cnfStyle w:val="100000000000" w:firstRow="1" w:lastRow="0" w:firstColumn="0" w:lastColumn="0" w:oddVBand="0" w:evenVBand="0" w:oddHBand="0" w:evenHBand="0" w:firstRowFirstColumn="0" w:firstRowLastColumn="0" w:lastRowFirstColumn="0" w:lastRowLastColumn="0"/>
            </w:pPr>
            <w:r w:rsidRPr="009B517F">
              <w:t>Jan. 1, 2014-Dec. 31, 2014</w:t>
            </w:r>
          </w:p>
        </w:tc>
      </w:tr>
      <w:tr w:rsidR="00C73E41" w:rsidRPr="009B517F"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245E82">
            <w:pPr>
              <w:spacing w:before="0"/>
            </w:pPr>
            <w:r w:rsidRPr="009B517F">
              <w:t xml:space="preserve">Total number of publicly funded </w:t>
            </w:r>
            <w:r w:rsidR="00245E82">
              <w:t>t</w:t>
            </w:r>
            <w:r w:rsidRPr="009B517F">
              <w:t xml:space="preserve">est </w:t>
            </w:r>
            <w:r w:rsidR="00245E82">
              <w:t>e</w:t>
            </w:r>
            <w:r w:rsidRPr="009B517F">
              <w:t xml:space="preserve">vents: </w:t>
            </w:r>
          </w:p>
        </w:tc>
        <w:tc>
          <w:tcPr>
            <w:tcW w:w="1530" w:type="dxa"/>
          </w:tcPr>
          <w:p w:rsidR="00C73E41" w:rsidRPr="009B517F" w:rsidRDefault="00C73E41" w:rsidP="00445A1C">
            <w:pPr>
              <w:spacing w:before="0"/>
              <w:jc w:val="right"/>
              <w:cnfStyle w:val="000000100000" w:firstRow="0" w:lastRow="0" w:firstColumn="0" w:lastColumn="0" w:oddVBand="0" w:evenVBand="0" w:oddHBand="1" w:evenHBand="0" w:firstRowFirstColumn="0" w:firstRowLastColumn="0" w:lastRowFirstColumn="0" w:lastRowLastColumn="0"/>
            </w:pPr>
            <w:r w:rsidRPr="009B517F">
              <w:t>18,999</w:t>
            </w:r>
          </w:p>
        </w:tc>
      </w:tr>
      <w:tr w:rsidR="00C73E41" w:rsidRPr="009B517F" w:rsidTr="00445A1C">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245E82">
            <w:pPr>
              <w:spacing w:before="0"/>
            </w:pPr>
            <w:r w:rsidRPr="009B517F">
              <w:t xml:space="preserve">Total number of </w:t>
            </w:r>
            <w:r w:rsidR="00245E82">
              <w:t>n</w:t>
            </w:r>
            <w:r w:rsidRPr="009B517F">
              <w:t>ew HIV positive tests:</w:t>
            </w:r>
          </w:p>
        </w:tc>
        <w:tc>
          <w:tcPr>
            <w:tcW w:w="1530" w:type="dxa"/>
          </w:tcPr>
          <w:p w:rsidR="00C73E41" w:rsidRPr="009B517F" w:rsidRDefault="00C73E41" w:rsidP="00445A1C">
            <w:pPr>
              <w:spacing w:before="0"/>
              <w:jc w:val="right"/>
              <w:cnfStyle w:val="000000000000" w:firstRow="0" w:lastRow="0" w:firstColumn="0" w:lastColumn="0" w:oddVBand="0" w:evenVBand="0" w:oddHBand="0" w:evenHBand="0" w:firstRowFirstColumn="0" w:firstRowLastColumn="0" w:lastRowFirstColumn="0" w:lastRowLastColumn="0"/>
            </w:pPr>
            <w:r w:rsidRPr="009B517F">
              <w:t>386</w:t>
            </w:r>
          </w:p>
        </w:tc>
      </w:tr>
      <w:tr w:rsidR="00C73E41" w:rsidRPr="009B517F"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previously diagnosed HIV positive individuals:</w:t>
            </w:r>
          </w:p>
        </w:tc>
        <w:tc>
          <w:tcPr>
            <w:tcW w:w="1530" w:type="dxa"/>
          </w:tcPr>
          <w:p w:rsidR="00C73E41" w:rsidRPr="009B517F" w:rsidRDefault="00C73E41" w:rsidP="00445A1C">
            <w:pPr>
              <w:spacing w:before="0"/>
              <w:jc w:val="right"/>
              <w:cnfStyle w:val="000000100000" w:firstRow="0" w:lastRow="0" w:firstColumn="0" w:lastColumn="0" w:oddVBand="0" w:evenVBand="0" w:oddHBand="1" w:evenHBand="0" w:firstRowFirstColumn="0" w:firstRowLastColumn="0" w:lastRowFirstColumn="0" w:lastRowLastColumn="0"/>
            </w:pPr>
            <w:r w:rsidRPr="009B517F">
              <w:t>86</w:t>
            </w:r>
          </w:p>
        </w:tc>
      </w:tr>
      <w:tr w:rsidR="00C73E41" w:rsidRPr="009B517F" w:rsidTr="00445A1C">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new HIV positive individuals with results received:</w:t>
            </w:r>
          </w:p>
        </w:tc>
        <w:tc>
          <w:tcPr>
            <w:tcW w:w="1530" w:type="dxa"/>
          </w:tcPr>
          <w:p w:rsidR="00C73E41" w:rsidRPr="009B517F" w:rsidRDefault="00C73E41" w:rsidP="00445A1C">
            <w:pPr>
              <w:spacing w:before="0"/>
              <w:jc w:val="right"/>
              <w:cnfStyle w:val="000000000000" w:firstRow="0" w:lastRow="0" w:firstColumn="0" w:lastColumn="0" w:oddVBand="0" w:evenVBand="0" w:oddHBand="0" w:evenHBand="0" w:firstRowFirstColumn="0" w:firstRowLastColumn="0" w:lastRowFirstColumn="0" w:lastRowLastColumn="0"/>
            </w:pPr>
            <w:r w:rsidRPr="009B517F">
              <w:t>378</w:t>
            </w:r>
          </w:p>
        </w:tc>
      </w:tr>
      <w:tr w:rsidR="00C73E41" w:rsidRPr="009B517F"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new HIV positive individuals linked to medical care:</w:t>
            </w:r>
          </w:p>
        </w:tc>
        <w:tc>
          <w:tcPr>
            <w:tcW w:w="1530" w:type="dxa"/>
          </w:tcPr>
          <w:p w:rsidR="00C73E41" w:rsidRPr="009B517F" w:rsidRDefault="00C73E41" w:rsidP="00445A1C">
            <w:pPr>
              <w:spacing w:before="0"/>
              <w:jc w:val="right"/>
              <w:cnfStyle w:val="000000100000" w:firstRow="0" w:lastRow="0" w:firstColumn="0" w:lastColumn="0" w:oddVBand="0" w:evenVBand="0" w:oddHBand="1" w:evenHBand="0" w:firstRowFirstColumn="0" w:firstRowLastColumn="0" w:lastRowFirstColumn="0" w:lastRowLastColumn="0"/>
            </w:pPr>
            <w:r w:rsidRPr="009B517F">
              <w:t>255</w:t>
            </w:r>
          </w:p>
        </w:tc>
      </w:tr>
      <w:tr w:rsidR="00C73E41" w:rsidRPr="009B517F" w:rsidTr="00445A1C">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previously diagnosed HIV positive individuals linked to medical care:</w:t>
            </w:r>
          </w:p>
        </w:tc>
        <w:tc>
          <w:tcPr>
            <w:tcW w:w="1530" w:type="dxa"/>
          </w:tcPr>
          <w:p w:rsidR="00C73E41" w:rsidRPr="009B517F" w:rsidRDefault="00C73E41" w:rsidP="00445A1C">
            <w:pPr>
              <w:spacing w:before="0"/>
              <w:jc w:val="right"/>
              <w:cnfStyle w:val="000000000000" w:firstRow="0" w:lastRow="0" w:firstColumn="0" w:lastColumn="0" w:oddVBand="0" w:evenVBand="0" w:oddHBand="0" w:evenHBand="0" w:firstRowFirstColumn="0" w:firstRowLastColumn="0" w:lastRowFirstColumn="0" w:lastRowLastColumn="0"/>
            </w:pPr>
            <w:r w:rsidRPr="009B517F">
              <w:t>86</w:t>
            </w:r>
          </w:p>
        </w:tc>
      </w:tr>
      <w:tr w:rsidR="00C73E41" w:rsidRPr="009B517F"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new HIV positive individuals who received partner services:</w:t>
            </w:r>
          </w:p>
        </w:tc>
        <w:tc>
          <w:tcPr>
            <w:tcW w:w="1530" w:type="dxa"/>
          </w:tcPr>
          <w:p w:rsidR="00C73E41" w:rsidRPr="009B517F" w:rsidRDefault="00C73E41" w:rsidP="00445A1C">
            <w:pPr>
              <w:spacing w:before="0"/>
              <w:jc w:val="right"/>
              <w:cnfStyle w:val="000000100000" w:firstRow="0" w:lastRow="0" w:firstColumn="0" w:lastColumn="0" w:oddVBand="0" w:evenVBand="0" w:oddHBand="1" w:evenHBand="0" w:firstRowFirstColumn="0" w:firstRowLastColumn="0" w:lastRowFirstColumn="0" w:lastRowLastColumn="0"/>
            </w:pPr>
            <w:r w:rsidRPr="009B517F">
              <w:t>347</w:t>
            </w:r>
          </w:p>
        </w:tc>
      </w:tr>
      <w:tr w:rsidR="00C73E41" w:rsidRPr="009B517F" w:rsidTr="00445A1C">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new HIV positive individuals linked and referred to prevention services:</w:t>
            </w:r>
          </w:p>
        </w:tc>
        <w:tc>
          <w:tcPr>
            <w:tcW w:w="1530" w:type="dxa"/>
          </w:tcPr>
          <w:p w:rsidR="00C73E41" w:rsidRPr="009B517F" w:rsidRDefault="00C73E41" w:rsidP="00445A1C">
            <w:pPr>
              <w:spacing w:before="0"/>
              <w:jc w:val="right"/>
              <w:cnfStyle w:val="000000000000" w:firstRow="0" w:lastRow="0" w:firstColumn="0" w:lastColumn="0" w:oddVBand="0" w:evenVBand="0" w:oddHBand="0" w:evenHBand="0" w:firstRowFirstColumn="0" w:firstRowLastColumn="0" w:lastRowFirstColumn="0" w:lastRowLastColumn="0"/>
            </w:pPr>
            <w:r w:rsidRPr="009B517F">
              <w:t>347</w:t>
            </w:r>
          </w:p>
        </w:tc>
      </w:tr>
      <w:tr w:rsidR="00C73E41" w:rsidRPr="009B517F" w:rsidTr="00445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new HIV positive individuals who received CD4 cell count and viral load testing:</w:t>
            </w:r>
          </w:p>
        </w:tc>
        <w:tc>
          <w:tcPr>
            <w:tcW w:w="1530" w:type="dxa"/>
          </w:tcPr>
          <w:p w:rsidR="00C73E41" w:rsidRPr="009B517F" w:rsidRDefault="00C73E41" w:rsidP="00445A1C">
            <w:pPr>
              <w:spacing w:before="0"/>
              <w:jc w:val="right"/>
              <w:cnfStyle w:val="000000100000" w:firstRow="0" w:lastRow="0" w:firstColumn="0" w:lastColumn="0" w:oddVBand="0" w:evenVBand="0" w:oddHBand="1" w:evenHBand="0" w:firstRowFirstColumn="0" w:firstRowLastColumn="0" w:lastRowFirstColumn="0" w:lastRowLastColumn="0"/>
            </w:pPr>
            <w:r w:rsidRPr="009B517F">
              <w:t>370</w:t>
            </w:r>
          </w:p>
        </w:tc>
      </w:tr>
      <w:tr w:rsidR="00C73E41" w:rsidRPr="009B517F" w:rsidTr="00445A1C">
        <w:tc>
          <w:tcPr>
            <w:cnfStyle w:val="001000000000" w:firstRow="0" w:lastRow="0" w:firstColumn="1" w:lastColumn="0" w:oddVBand="0" w:evenVBand="0" w:oddHBand="0" w:evenHBand="0" w:firstRowFirstColumn="0" w:firstRowLastColumn="0" w:lastRowFirstColumn="0" w:lastRowLastColumn="0"/>
            <w:tcW w:w="7645" w:type="dxa"/>
          </w:tcPr>
          <w:p w:rsidR="00C73E41" w:rsidRPr="009B517F" w:rsidRDefault="00C73E41" w:rsidP="00C73E41">
            <w:pPr>
              <w:spacing w:before="0"/>
            </w:pPr>
            <w:r w:rsidRPr="009B517F">
              <w:t>Total number of previously diagnosed HIV positive individuals linked to and accessed CD4 cell count and viral load testing:</w:t>
            </w:r>
          </w:p>
        </w:tc>
        <w:tc>
          <w:tcPr>
            <w:tcW w:w="1530" w:type="dxa"/>
          </w:tcPr>
          <w:p w:rsidR="00C73E41" w:rsidRPr="009B517F" w:rsidRDefault="00C73E41" w:rsidP="00445A1C">
            <w:pPr>
              <w:spacing w:before="0"/>
              <w:jc w:val="right"/>
              <w:cnfStyle w:val="000000000000" w:firstRow="0" w:lastRow="0" w:firstColumn="0" w:lastColumn="0" w:oddVBand="0" w:evenVBand="0" w:oddHBand="0" w:evenHBand="0" w:firstRowFirstColumn="0" w:firstRowLastColumn="0" w:lastRowFirstColumn="0" w:lastRowLastColumn="0"/>
            </w:pPr>
            <w:r w:rsidRPr="009B517F">
              <w:t>85</w:t>
            </w:r>
          </w:p>
        </w:tc>
      </w:tr>
    </w:tbl>
    <w:p w:rsidR="006907E8" w:rsidRPr="006876F3" w:rsidRDefault="00E116CC" w:rsidP="00E116CC">
      <w:pPr>
        <w:spacing w:before="0" w:after="0" w:line="240" w:lineRule="auto"/>
        <w:rPr>
          <w:rFonts w:cs="Times New Roman"/>
          <w:b/>
          <w:sz w:val="22"/>
          <w:szCs w:val="22"/>
        </w:rPr>
      </w:pPr>
      <w:r>
        <w:rPr>
          <w:rFonts w:cs="Times New Roman"/>
          <w:b/>
          <w:sz w:val="22"/>
          <w:szCs w:val="22"/>
        </w:rPr>
        <w:t>Table 1</w:t>
      </w:r>
      <w:r w:rsidR="00FD002E">
        <w:rPr>
          <w:rFonts w:cs="Times New Roman"/>
          <w:b/>
          <w:sz w:val="22"/>
          <w:szCs w:val="22"/>
        </w:rPr>
        <w:t>1</w:t>
      </w:r>
      <w:r>
        <w:rPr>
          <w:rFonts w:cs="Times New Roman"/>
          <w:b/>
          <w:sz w:val="22"/>
          <w:szCs w:val="22"/>
        </w:rPr>
        <w:t xml:space="preserve">. </w:t>
      </w:r>
      <w:r w:rsidR="00C73E41" w:rsidRPr="006876F3">
        <w:rPr>
          <w:rFonts w:cs="Times New Roman"/>
          <w:b/>
          <w:sz w:val="22"/>
          <w:szCs w:val="22"/>
        </w:rPr>
        <w:t xml:space="preserve">EIIHA Data </w:t>
      </w:r>
      <w:r w:rsidR="006876F3" w:rsidRPr="006876F3">
        <w:rPr>
          <w:rFonts w:cs="Times New Roman"/>
          <w:b/>
          <w:sz w:val="22"/>
          <w:szCs w:val="22"/>
        </w:rPr>
        <w:t xml:space="preserve">Las Vegas TGA </w:t>
      </w:r>
      <w:r>
        <w:rPr>
          <w:rFonts w:cs="Times New Roman"/>
          <w:b/>
          <w:sz w:val="22"/>
          <w:szCs w:val="22"/>
        </w:rPr>
        <w:t xml:space="preserve">Ryan White </w:t>
      </w:r>
      <w:r w:rsidR="00C73E41" w:rsidRPr="006876F3">
        <w:rPr>
          <w:rFonts w:cs="Times New Roman"/>
          <w:b/>
          <w:sz w:val="22"/>
          <w:szCs w:val="22"/>
        </w:rPr>
        <w:t>Part A</w:t>
      </w:r>
      <w:r>
        <w:rPr>
          <w:rFonts w:cs="Times New Roman"/>
          <w:b/>
          <w:sz w:val="22"/>
          <w:szCs w:val="22"/>
        </w:rPr>
        <w:t xml:space="preserve"> Program, </w:t>
      </w:r>
      <w:r w:rsidRPr="006876F3">
        <w:rPr>
          <w:rFonts w:cs="Times New Roman"/>
          <w:b/>
          <w:sz w:val="22"/>
          <w:szCs w:val="22"/>
        </w:rPr>
        <w:t>2014</w:t>
      </w:r>
    </w:p>
    <w:p w:rsidR="00465ED1" w:rsidRDefault="00465ED1" w:rsidP="00E434EF">
      <w:pPr>
        <w:pStyle w:val="Heading5"/>
      </w:pPr>
      <w:r>
        <w:t>Client Utilization of ADAP Services</w:t>
      </w:r>
    </w:p>
    <w:p w:rsidR="005D75AA" w:rsidRPr="000D1265" w:rsidRDefault="005D75AA" w:rsidP="000D1265">
      <w:pPr>
        <w:pStyle w:val="ListParagraph"/>
        <w:widowControl w:val="0"/>
        <w:numPr>
          <w:ilvl w:val="0"/>
          <w:numId w:val="2"/>
        </w:numPr>
        <w:tabs>
          <w:tab w:val="left" w:pos="220"/>
          <w:tab w:val="left" w:pos="720"/>
        </w:tabs>
        <w:autoSpaceDE w:val="0"/>
        <w:autoSpaceDN w:val="0"/>
        <w:adjustRightInd w:val="0"/>
        <w:ind w:hanging="720"/>
        <w:rPr>
          <w:rFonts w:cs="Calibri Light"/>
          <w:i/>
        </w:rPr>
      </w:pPr>
      <w:r w:rsidRPr="000D1265">
        <w:rPr>
          <w:rFonts w:cs="Calibri Light"/>
          <w:i/>
        </w:rPr>
        <w:t xml:space="preserve">Ryan White HIV/AIDS Program data (Ryan White HIV/AIDS Program Services Report; ADAP Data Report) </w:t>
      </w:r>
      <w:r w:rsidRPr="000D1265">
        <w:rPr>
          <w:rFonts w:ascii="MS Gothic" w:eastAsia="MS Gothic" w:hAnsi="MS Gothic" w:cs="MS Gothic" w:hint="eastAsia"/>
          <w:i/>
        </w:rPr>
        <w:t> </w:t>
      </w:r>
    </w:p>
    <w:p w:rsidR="00465ED1" w:rsidRPr="00465ED1" w:rsidRDefault="00465ED1" w:rsidP="00465ED1">
      <w:pPr>
        <w:tabs>
          <w:tab w:val="left" w:pos="360"/>
        </w:tabs>
        <w:jc w:val="both"/>
        <w:rPr>
          <w:rFonts w:eastAsia="Times New Roman"/>
          <w:sz w:val="22"/>
          <w:szCs w:val="22"/>
        </w:rPr>
      </w:pPr>
      <w:r w:rsidRPr="00465ED1">
        <w:rPr>
          <w:sz w:val="22"/>
          <w:szCs w:val="22"/>
        </w:rPr>
        <w:t xml:space="preserve">High impact prevention targeted testing, early intervention services, outreach, linkage to care and retention programs have contributed to clients being identified as newly diagnosed, out of care, and returned to care. One service provider initiates a call to clients who have not picked up medications in 45 days and another provider calls clients who are in jeopardy of not calling in a timely manner for an eligibility appointment. The only factor contributing to a decrease in ADAP enrollment is the ACA continuation of transitioning clients eligible for Marketplace and Medicaid qualified health plans. Since the direction from HRSA is to vigorously pursue </w:t>
      </w:r>
      <w:r w:rsidR="00C039A0">
        <w:rPr>
          <w:sz w:val="22"/>
          <w:szCs w:val="22"/>
        </w:rPr>
        <w:t xml:space="preserve">linking </w:t>
      </w:r>
      <w:r w:rsidRPr="00465ED1">
        <w:rPr>
          <w:sz w:val="22"/>
          <w:szCs w:val="22"/>
        </w:rPr>
        <w:t xml:space="preserve">clients </w:t>
      </w:r>
      <w:r w:rsidR="00C039A0">
        <w:rPr>
          <w:sz w:val="22"/>
          <w:szCs w:val="22"/>
        </w:rPr>
        <w:t>with</w:t>
      </w:r>
      <w:r w:rsidR="00C039A0" w:rsidRPr="00465ED1">
        <w:rPr>
          <w:sz w:val="22"/>
          <w:szCs w:val="22"/>
        </w:rPr>
        <w:t xml:space="preserve"> </w:t>
      </w:r>
      <w:r w:rsidRPr="00465ED1">
        <w:rPr>
          <w:sz w:val="22"/>
          <w:szCs w:val="22"/>
        </w:rPr>
        <w:t xml:space="preserve">these new health insurance entities, Nevada has experienced a decrease enrollment into ADAP (all services) of approximately 429 clients in the past two years.  However, overall enrollment remains high for wrap around services.  </w:t>
      </w:r>
    </w:p>
    <w:p w:rsidR="00465ED1" w:rsidRPr="00465ED1" w:rsidRDefault="00465ED1" w:rsidP="00445A1C">
      <w:pPr>
        <w:tabs>
          <w:tab w:val="left" w:pos="1252"/>
        </w:tabs>
        <w:jc w:val="both"/>
        <w:rPr>
          <w:rFonts w:eastAsia="Times New Roman"/>
          <w:sz w:val="22"/>
          <w:szCs w:val="22"/>
        </w:rPr>
      </w:pPr>
      <w:r w:rsidRPr="00465ED1">
        <w:rPr>
          <w:rFonts w:eastAsia="Times New Roman"/>
          <w:sz w:val="22"/>
          <w:szCs w:val="22"/>
        </w:rPr>
        <w:t>In 2014, 1,093 clients were on ADAP and of those 678 were served with medication. In 2015, there were 1,084 active ADAP clients and of those 672 were served with medications.</w:t>
      </w:r>
      <w:r w:rsidR="00796E28">
        <w:rPr>
          <w:rFonts w:eastAsia="Times New Roman"/>
          <w:sz w:val="22"/>
          <w:szCs w:val="22"/>
        </w:rPr>
        <w:t xml:space="preserve"> </w:t>
      </w:r>
      <w:r w:rsidRPr="00465ED1">
        <w:rPr>
          <w:rFonts w:eastAsia="Times New Roman"/>
          <w:sz w:val="22"/>
          <w:szCs w:val="22"/>
        </w:rPr>
        <w:t>The majority of ADAP clients live in the major cities of Nevada</w:t>
      </w:r>
      <w:r w:rsidR="00FB51EE">
        <w:rPr>
          <w:rFonts w:eastAsia="Times New Roman"/>
          <w:sz w:val="22"/>
          <w:szCs w:val="22"/>
        </w:rPr>
        <w:t>—</w:t>
      </w:r>
      <w:r w:rsidRPr="00465ED1">
        <w:rPr>
          <w:rFonts w:eastAsia="Times New Roman"/>
          <w:sz w:val="22"/>
          <w:szCs w:val="22"/>
        </w:rPr>
        <w:t>Reno, Carson City</w:t>
      </w:r>
      <w:r w:rsidR="00FB51EE">
        <w:rPr>
          <w:rFonts w:eastAsia="Times New Roman"/>
          <w:sz w:val="22"/>
          <w:szCs w:val="22"/>
        </w:rPr>
        <w:t>,</w:t>
      </w:r>
      <w:r w:rsidRPr="00465ED1">
        <w:rPr>
          <w:rFonts w:eastAsia="Times New Roman"/>
          <w:sz w:val="22"/>
          <w:szCs w:val="22"/>
        </w:rPr>
        <w:t xml:space="preserve"> or Las Vegas.  Clients residing in rural frontier </w:t>
      </w:r>
      <w:r w:rsidR="00245E82">
        <w:rPr>
          <w:rFonts w:eastAsia="Times New Roman"/>
          <w:sz w:val="22"/>
          <w:szCs w:val="22"/>
        </w:rPr>
        <w:t xml:space="preserve">areas </w:t>
      </w:r>
      <w:r w:rsidRPr="00465ED1">
        <w:rPr>
          <w:rFonts w:eastAsia="Times New Roman"/>
          <w:sz w:val="22"/>
          <w:szCs w:val="22"/>
        </w:rPr>
        <w:t xml:space="preserve">travel to one of these locations for services and medications can be mailed to them, if needed.   </w:t>
      </w:r>
    </w:p>
    <w:p w:rsidR="00512FE8" w:rsidRDefault="00512FE8" w:rsidP="000D1265">
      <w:pPr>
        <w:widowControl w:val="0"/>
        <w:numPr>
          <w:ilvl w:val="0"/>
          <w:numId w:val="2"/>
        </w:numPr>
        <w:tabs>
          <w:tab w:val="left" w:pos="220"/>
          <w:tab w:val="left" w:pos="720"/>
        </w:tabs>
        <w:autoSpaceDE w:val="0"/>
        <w:autoSpaceDN w:val="0"/>
        <w:adjustRightInd w:val="0"/>
        <w:spacing w:before="0" w:after="0"/>
        <w:ind w:hanging="720"/>
        <w:rPr>
          <w:rFonts w:cs="Calibri Light"/>
          <w:i/>
        </w:rPr>
      </w:pPr>
      <w:r>
        <w:rPr>
          <w:rFonts w:cs="Calibri Light"/>
          <w:i/>
        </w:rPr>
        <w:t xml:space="preserve">Other relevant Demographic data (i.e., Hepatitis B or C surveillance, STD surveillance, Tuberculosis surveillance, and Substance use data) </w:t>
      </w:r>
      <w:r>
        <w:rPr>
          <w:rFonts w:ascii="MS Gothic" w:eastAsia="MS Gothic" w:hAnsi="MS Gothic" w:cs="MS Gothic" w:hint="eastAsia"/>
          <w:i/>
        </w:rPr>
        <w:t> </w:t>
      </w:r>
    </w:p>
    <w:p w:rsidR="00512FE8" w:rsidRDefault="00FD3104" w:rsidP="00F103A5">
      <w:pPr>
        <w:pStyle w:val="Heading5"/>
      </w:pPr>
      <w:r>
        <w:t>Sexually Transmitted Diseases (STD)</w:t>
      </w:r>
    </w:p>
    <w:p w:rsidR="00512FE8" w:rsidRDefault="00512FE8" w:rsidP="00F23788">
      <w:pPr>
        <w:widowControl w:val="0"/>
        <w:ind w:left="90"/>
        <w:jc w:val="both"/>
        <w:rPr>
          <w:sz w:val="22"/>
          <w:szCs w:val="22"/>
        </w:rPr>
      </w:pPr>
      <w:r>
        <w:rPr>
          <w:sz w:val="22"/>
          <w:szCs w:val="22"/>
        </w:rPr>
        <w:t>According to the CDC</w:t>
      </w:r>
      <w:r w:rsidR="00C039A0">
        <w:rPr>
          <w:sz w:val="22"/>
          <w:szCs w:val="22"/>
        </w:rPr>
        <w:t>, i</w:t>
      </w:r>
      <w:r>
        <w:rPr>
          <w:sz w:val="22"/>
          <w:szCs w:val="22"/>
        </w:rPr>
        <w:t xml:space="preserve">ndividuals who contract syphilis, gonorrhea, and herpes often also have HIV, or have an increased risk of contracting HIV in the future. Some STDs produce sores or breaks in the skin which may allow for HIV to be transmitted more easily. The same behaviors which put an individual at risk of contracting an STD are the same behaviors which increase an individual’s risk of contracting HIV. The CDC advises the only way to avoid STDs is to not have vaginal, anal, or oral sex. </w:t>
      </w:r>
    </w:p>
    <w:p w:rsidR="00512FE8" w:rsidRDefault="00512FE8" w:rsidP="00FB51EE">
      <w:pPr>
        <w:widowControl w:val="0"/>
        <w:spacing w:before="240" w:after="240"/>
        <w:ind w:left="90"/>
        <w:jc w:val="both"/>
        <w:rPr>
          <w:sz w:val="22"/>
          <w:szCs w:val="22"/>
        </w:rPr>
      </w:pPr>
      <w:r>
        <w:rPr>
          <w:sz w:val="22"/>
          <w:szCs w:val="22"/>
        </w:rPr>
        <w:lastRenderedPageBreak/>
        <w:t xml:space="preserve">In 2013, a total of 1,401,906 cases of </w:t>
      </w:r>
      <w:r>
        <w:rPr>
          <w:i/>
          <w:iCs/>
          <w:sz w:val="22"/>
          <w:szCs w:val="22"/>
        </w:rPr>
        <w:t xml:space="preserve">Chlamydia trachomatis </w:t>
      </w:r>
      <w:r>
        <w:rPr>
          <w:sz w:val="22"/>
          <w:szCs w:val="22"/>
        </w:rPr>
        <w:t xml:space="preserve">infection, 333,004 cases of </w:t>
      </w:r>
      <w:r w:rsidR="00245E82">
        <w:rPr>
          <w:sz w:val="22"/>
          <w:szCs w:val="22"/>
        </w:rPr>
        <w:t>g</w:t>
      </w:r>
      <w:r>
        <w:rPr>
          <w:sz w:val="22"/>
          <w:szCs w:val="22"/>
        </w:rPr>
        <w:t xml:space="preserve">onorrhea, and 56,471 cases of syphilis (P&amp;S, early latent, late, late latent, and congenital) in the United States were reported to the CDC. </w:t>
      </w:r>
      <w:r w:rsidR="00C039A0">
        <w:rPr>
          <w:sz w:val="22"/>
          <w:szCs w:val="22"/>
        </w:rPr>
        <w:t xml:space="preserve">In 2014, </w:t>
      </w:r>
      <w:r>
        <w:rPr>
          <w:sz w:val="22"/>
          <w:szCs w:val="22"/>
        </w:rPr>
        <w:t xml:space="preserve">Nevada reported </w:t>
      </w:r>
      <w:r w:rsidR="005424CC">
        <w:rPr>
          <w:sz w:val="22"/>
          <w:szCs w:val="22"/>
        </w:rPr>
        <w:t>12,810</w:t>
      </w:r>
      <w:r>
        <w:rPr>
          <w:sz w:val="22"/>
          <w:szCs w:val="22"/>
        </w:rPr>
        <w:t xml:space="preserve"> cases of chlamydia, </w:t>
      </w:r>
      <w:r w:rsidR="005424CC">
        <w:rPr>
          <w:sz w:val="22"/>
          <w:szCs w:val="22"/>
        </w:rPr>
        <w:t>3,399</w:t>
      </w:r>
      <w:r>
        <w:rPr>
          <w:sz w:val="22"/>
          <w:szCs w:val="22"/>
        </w:rPr>
        <w:t xml:space="preserve"> cases of gonorrhea</w:t>
      </w:r>
      <w:r w:rsidR="00C039A0">
        <w:rPr>
          <w:sz w:val="22"/>
          <w:szCs w:val="22"/>
        </w:rPr>
        <w:t>,</w:t>
      </w:r>
      <w:r>
        <w:rPr>
          <w:sz w:val="22"/>
          <w:szCs w:val="22"/>
        </w:rPr>
        <w:t xml:space="preserve"> and </w:t>
      </w:r>
      <w:r w:rsidR="005424CC">
        <w:rPr>
          <w:sz w:val="22"/>
          <w:szCs w:val="22"/>
        </w:rPr>
        <w:t>314</w:t>
      </w:r>
      <w:r>
        <w:rPr>
          <w:sz w:val="22"/>
          <w:szCs w:val="22"/>
        </w:rPr>
        <w:t xml:space="preserve"> cases of syphilis (prima</w:t>
      </w:r>
      <w:r w:rsidR="00E116CC">
        <w:rPr>
          <w:sz w:val="22"/>
          <w:szCs w:val="22"/>
        </w:rPr>
        <w:t>ry and secondary; Table 1</w:t>
      </w:r>
      <w:r w:rsidR="00FD002E">
        <w:rPr>
          <w:sz w:val="22"/>
          <w:szCs w:val="22"/>
        </w:rPr>
        <w:t>2</w:t>
      </w:r>
      <w:r w:rsidR="00E116CC">
        <w:rPr>
          <w:sz w:val="22"/>
          <w:szCs w:val="22"/>
        </w:rPr>
        <w:t>)</w:t>
      </w:r>
      <w:r>
        <w:rPr>
          <w:sz w:val="22"/>
          <w:szCs w:val="22"/>
        </w:rPr>
        <w:t xml:space="preserve">. </w:t>
      </w:r>
    </w:p>
    <w:p w:rsidR="00512FE8" w:rsidRPr="00E116CC" w:rsidRDefault="00212ECC" w:rsidP="00245E82">
      <w:pPr>
        <w:widowControl w:val="0"/>
        <w:spacing w:before="0" w:after="0"/>
        <w:ind w:left="1440" w:firstLine="720"/>
        <w:rPr>
          <w:b/>
          <w:iCs/>
          <w:sz w:val="22"/>
          <w:szCs w:val="22"/>
        </w:rPr>
      </w:pPr>
      <w:r>
        <w:rPr>
          <w:sz w:val="18"/>
          <w:szCs w:val="18"/>
        </w:rPr>
        <w:t> </w:t>
      </w:r>
      <w:r w:rsidR="00E116CC" w:rsidRPr="00E116CC">
        <w:rPr>
          <w:b/>
          <w:bCs/>
          <w:iCs/>
          <w:sz w:val="22"/>
          <w:szCs w:val="22"/>
        </w:rPr>
        <w:t xml:space="preserve">Table </w:t>
      </w:r>
      <w:r w:rsidR="008111BE">
        <w:rPr>
          <w:b/>
          <w:bCs/>
          <w:iCs/>
          <w:sz w:val="22"/>
          <w:szCs w:val="22"/>
        </w:rPr>
        <w:t>1</w:t>
      </w:r>
      <w:r w:rsidR="00FD002E">
        <w:rPr>
          <w:b/>
          <w:bCs/>
          <w:iCs/>
          <w:sz w:val="22"/>
          <w:szCs w:val="22"/>
        </w:rPr>
        <w:t>2</w:t>
      </w:r>
      <w:r w:rsidR="00E116CC" w:rsidRPr="00E116CC">
        <w:rPr>
          <w:b/>
          <w:bCs/>
          <w:iCs/>
          <w:sz w:val="22"/>
          <w:szCs w:val="22"/>
        </w:rPr>
        <w:t>.</w:t>
      </w:r>
      <w:r w:rsidR="00512FE8" w:rsidRPr="00E116CC">
        <w:rPr>
          <w:b/>
          <w:bCs/>
          <w:iCs/>
          <w:sz w:val="22"/>
          <w:szCs w:val="22"/>
        </w:rPr>
        <w:t xml:space="preserve"> </w:t>
      </w:r>
      <w:r w:rsidR="00512FE8" w:rsidRPr="00E116CC">
        <w:rPr>
          <w:b/>
          <w:iCs/>
          <w:sz w:val="22"/>
          <w:szCs w:val="22"/>
        </w:rPr>
        <w:t>All Reported STD Infections in Nevada by Disease, 201</w:t>
      </w:r>
      <w:r w:rsidR="005424CC" w:rsidRPr="00E116CC">
        <w:rPr>
          <w:b/>
          <w:iCs/>
          <w:sz w:val="22"/>
          <w:szCs w:val="22"/>
        </w:rPr>
        <w:t>4</w:t>
      </w:r>
      <w:r w:rsidR="00512FE8" w:rsidRPr="00E116CC">
        <w:rPr>
          <w:b/>
          <w:iCs/>
          <w:sz w:val="22"/>
          <w:szCs w:val="22"/>
        </w:rPr>
        <w:t>*</w:t>
      </w:r>
    </w:p>
    <w:tbl>
      <w:tblPr>
        <w:tblW w:w="13000" w:type="dxa"/>
        <w:tblInd w:w="58" w:type="dxa"/>
        <w:tblLayout w:type="fixed"/>
        <w:tblCellMar>
          <w:left w:w="43" w:type="dxa"/>
          <w:right w:w="43" w:type="dxa"/>
        </w:tblCellMar>
        <w:tblLook w:val="04A0" w:firstRow="1" w:lastRow="0" w:firstColumn="1" w:lastColumn="0" w:noHBand="0" w:noVBand="1"/>
      </w:tblPr>
      <w:tblGrid>
        <w:gridCol w:w="31"/>
        <w:gridCol w:w="2141"/>
        <w:gridCol w:w="628"/>
        <w:gridCol w:w="661"/>
        <w:gridCol w:w="663"/>
        <w:gridCol w:w="553"/>
        <w:gridCol w:w="661"/>
        <w:gridCol w:w="570"/>
        <w:gridCol w:w="439"/>
        <w:gridCol w:w="661"/>
        <w:gridCol w:w="570"/>
        <w:gridCol w:w="432"/>
        <w:gridCol w:w="669"/>
        <w:gridCol w:w="570"/>
        <w:gridCol w:w="21"/>
        <w:gridCol w:w="1358"/>
        <w:gridCol w:w="136"/>
        <w:gridCol w:w="1168"/>
        <w:gridCol w:w="1068"/>
      </w:tblGrid>
      <w:tr w:rsidR="005B2915" w:rsidRPr="005D75AA" w:rsidTr="005D75AA">
        <w:trPr>
          <w:gridBefore w:val="1"/>
          <w:gridAfter w:val="5"/>
          <w:wBefore w:w="31" w:type="dxa"/>
          <w:wAfter w:w="3751" w:type="dxa"/>
          <w:trHeight w:val="345"/>
        </w:trPr>
        <w:tc>
          <w:tcPr>
            <w:tcW w:w="2141" w:type="dxa"/>
            <w:tcBorders>
              <w:top w:val="nil"/>
              <w:left w:val="nil"/>
              <w:bottom w:val="nil"/>
              <w:right w:val="nil"/>
            </w:tcBorders>
            <w:shd w:val="clear" w:color="000000" w:fill="FFFFFF"/>
            <w:noWrap/>
            <w:tcMar>
              <w:left w:w="58" w:type="dxa"/>
              <w:right w:w="58" w:type="dxa"/>
            </w:tcMar>
            <w:vAlign w:val="center"/>
            <w:hideMark/>
          </w:tcPr>
          <w:p w:rsidR="005B2915" w:rsidRPr="005D75AA" w:rsidRDefault="00512FE8" w:rsidP="005B2915">
            <w:pPr>
              <w:spacing w:before="0" w:after="0" w:line="240" w:lineRule="auto"/>
              <w:rPr>
                <w:rFonts w:eastAsia="Times New Roman" w:cs="Times New Roman"/>
                <w:color w:val="000000"/>
                <w:sz w:val="18"/>
                <w:szCs w:val="18"/>
              </w:rPr>
            </w:pPr>
            <w:r w:rsidRPr="005D75AA">
              <w:rPr>
                <w:sz w:val="18"/>
                <w:szCs w:val="18"/>
              </w:rPr>
              <w:t> </w:t>
            </w:r>
            <w:r w:rsidR="005B2915" w:rsidRPr="005D75AA">
              <w:rPr>
                <w:rFonts w:eastAsia="Times New Roman" w:cs="Times New Roman"/>
                <w:color w:val="000000"/>
                <w:sz w:val="18"/>
                <w:szCs w:val="18"/>
              </w:rPr>
              <w:t> </w:t>
            </w:r>
          </w:p>
        </w:tc>
        <w:tc>
          <w:tcPr>
            <w:tcW w:w="1952" w:type="dxa"/>
            <w:gridSpan w:val="3"/>
            <w:tcBorders>
              <w:top w:val="single" w:sz="8" w:space="0" w:color="auto"/>
              <w:left w:val="single" w:sz="8" w:space="0" w:color="auto"/>
              <w:bottom w:val="nil"/>
              <w:right w:val="single" w:sz="8" w:space="0" w:color="000000"/>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Chlamydia</w:t>
            </w:r>
          </w:p>
        </w:tc>
        <w:tc>
          <w:tcPr>
            <w:tcW w:w="1784" w:type="dxa"/>
            <w:gridSpan w:val="3"/>
            <w:tcBorders>
              <w:top w:val="single" w:sz="8" w:space="0" w:color="auto"/>
              <w:left w:val="nil"/>
              <w:bottom w:val="nil"/>
              <w:right w:val="single" w:sz="8" w:space="0" w:color="000000"/>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Gonorrhea</w:t>
            </w:r>
          </w:p>
        </w:tc>
        <w:tc>
          <w:tcPr>
            <w:tcW w:w="1670" w:type="dxa"/>
            <w:gridSpan w:val="3"/>
            <w:tcBorders>
              <w:top w:val="single" w:sz="8" w:space="0" w:color="auto"/>
              <w:left w:val="nil"/>
              <w:bottom w:val="nil"/>
              <w:right w:val="single" w:sz="8" w:space="0" w:color="000000"/>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P&amp;S Syphilis</w:t>
            </w:r>
          </w:p>
        </w:tc>
        <w:tc>
          <w:tcPr>
            <w:tcW w:w="1671" w:type="dxa"/>
            <w:gridSpan w:val="3"/>
            <w:tcBorders>
              <w:top w:val="single" w:sz="8" w:space="0" w:color="auto"/>
              <w:left w:val="nil"/>
              <w:bottom w:val="nil"/>
              <w:right w:val="single" w:sz="8" w:space="0" w:color="000000"/>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EL Syphilis</w:t>
            </w:r>
          </w:p>
        </w:tc>
      </w:tr>
      <w:tr w:rsidR="005424CC" w:rsidRPr="005D75AA" w:rsidTr="005D75AA">
        <w:trPr>
          <w:gridBefore w:val="1"/>
          <w:gridAfter w:val="5"/>
          <w:wBefore w:w="31" w:type="dxa"/>
          <w:wAfter w:w="3751" w:type="dxa"/>
          <w:trHeight w:val="315"/>
        </w:trPr>
        <w:tc>
          <w:tcPr>
            <w:tcW w:w="2141" w:type="dxa"/>
            <w:tcBorders>
              <w:top w:val="nil"/>
              <w:left w:val="nil"/>
              <w:bottom w:val="single" w:sz="8"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w:t>
            </w:r>
          </w:p>
        </w:tc>
        <w:tc>
          <w:tcPr>
            <w:tcW w:w="628" w:type="dxa"/>
            <w:tcBorders>
              <w:top w:val="nil"/>
              <w:left w:val="single" w:sz="8" w:space="0" w:color="auto"/>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n</w:t>
            </w:r>
          </w:p>
        </w:tc>
        <w:tc>
          <w:tcPr>
            <w:tcW w:w="661" w:type="dxa"/>
            <w:tcBorders>
              <w:top w:val="nil"/>
              <w:left w:val="nil"/>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w:t>
            </w:r>
          </w:p>
        </w:tc>
        <w:tc>
          <w:tcPr>
            <w:tcW w:w="663" w:type="dxa"/>
            <w:tcBorders>
              <w:top w:val="nil"/>
              <w:left w:val="nil"/>
              <w:bottom w:val="single" w:sz="8" w:space="0" w:color="auto"/>
              <w:right w:val="nil"/>
            </w:tcBorders>
            <w:shd w:val="clear" w:color="000000" w:fill="2F75B5"/>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Rate*</w:t>
            </w:r>
          </w:p>
        </w:tc>
        <w:tc>
          <w:tcPr>
            <w:tcW w:w="553" w:type="dxa"/>
            <w:tcBorders>
              <w:top w:val="nil"/>
              <w:left w:val="single" w:sz="8" w:space="0" w:color="auto"/>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n</w:t>
            </w:r>
          </w:p>
        </w:tc>
        <w:tc>
          <w:tcPr>
            <w:tcW w:w="661" w:type="dxa"/>
            <w:tcBorders>
              <w:top w:val="nil"/>
              <w:left w:val="nil"/>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w:t>
            </w:r>
          </w:p>
        </w:tc>
        <w:tc>
          <w:tcPr>
            <w:tcW w:w="570" w:type="dxa"/>
            <w:tcBorders>
              <w:top w:val="nil"/>
              <w:left w:val="nil"/>
              <w:bottom w:val="single" w:sz="8" w:space="0" w:color="auto"/>
              <w:right w:val="nil"/>
            </w:tcBorders>
            <w:shd w:val="clear" w:color="000000" w:fill="2F75B5"/>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Rate*</w:t>
            </w:r>
          </w:p>
        </w:tc>
        <w:tc>
          <w:tcPr>
            <w:tcW w:w="439" w:type="dxa"/>
            <w:tcBorders>
              <w:top w:val="nil"/>
              <w:left w:val="single" w:sz="8" w:space="0" w:color="auto"/>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n</w:t>
            </w:r>
          </w:p>
        </w:tc>
        <w:tc>
          <w:tcPr>
            <w:tcW w:w="661" w:type="dxa"/>
            <w:tcBorders>
              <w:top w:val="nil"/>
              <w:left w:val="nil"/>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w:t>
            </w:r>
          </w:p>
        </w:tc>
        <w:tc>
          <w:tcPr>
            <w:tcW w:w="570" w:type="dxa"/>
            <w:tcBorders>
              <w:top w:val="nil"/>
              <w:left w:val="nil"/>
              <w:bottom w:val="single" w:sz="8" w:space="0" w:color="auto"/>
              <w:right w:val="nil"/>
            </w:tcBorders>
            <w:shd w:val="clear" w:color="000000" w:fill="2F75B5"/>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Rate*</w:t>
            </w:r>
          </w:p>
        </w:tc>
        <w:tc>
          <w:tcPr>
            <w:tcW w:w="432" w:type="dxa"/>
            <w:tcBorders>
              <w:top w:val="nil"/>
              <w:left w:val="single" w:sz="8" w:space="0" w:color="auto"/>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n</w:t>
            </w:r>
          </w:p>
        </w:tc>
        <w:tc>
          <w:tcPr>
            <w:tcW w:w="669" w:type="dxa"/>
            <w:tcBorders>
              <w:top w:val="nil"/>
              <w:left w:val="nil"/>
              <w:bottom w:val="single" w:sz="8" w:space="0" w:color="auto"/>
              <w:right w:val="nil"/>
            </w:tcBorders>
            <w:shd w:val="clear" w:color="000000" w:fill="2F75B5"/>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w:t>
            </w:r>
          </w:p>
        </w:tc>
        <w:tc>
          <w:tcPr>
            <w:tcW w:w="570" w:type="dxa"/>
            <w:tcBorders>
              <w:top w:val="nil"/>
              <w:left w:val="nil"/>
              <w:bottom w:val="single" w:sz="8" w:space="0" w:color="auto"/>
              <w:right w:val="single" w:sz="8" w:space="0" w:color="auto"/>
            </w:tcBorders>
            <w:shd w:val="clear" w:color="000000" w:fill="2F75B5"/>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b/>
                <w:bCs/>
                <w:color w:val="FFFFFF"/>
                <w:sz w:val="18"/>
                <w:szCs w:val="18"/>
              </w:rPr>
            </w:pPr>
            <w:r w:rsidRPr="005D75AA">
              <w:rPr>
                <w:rFonts w:eastAsia="Times New Roman" w:cs="Times New Roman"/>
                <w:b/>
                <w:bCs/>
                <w:color w:val="FFFFFF"/>
                <w:sz w:val="18"/>
                <w:szCs w:val="18"/>
              </w:rPr>
              <w:t>Rate*</w:t>
            </w:r>
          </w:p>
        </w:tc>
      </w:tr>
      <w:tr w:rsidR="005424CC" w:rsidRPr="005D75AA" w:rsidTr="005D75AA">
        <w:trPr>
          <w:gridBefore w:val="1"/>
          <w:gridAfter w:val="5"/>
          <w:wBefore w:w="31" w:type="dxa"/>
          <w:wAfter w:w="3751" w:type="dxa"/>
          <w:trHeight w:val="315"/>
        </w:trPr>
        <w:tc>
          <w:tcPr>
            <w:tcW w:w="2141"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Resident County at Diagnosis</w:t>
            </w:r>
          </w:p>
        </w:tc>
        <w:tc>
          <w:tcPr>
            <w:tcW w:w="628"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663"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553"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570"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439"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570"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432"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669"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c>
          <w:tcPr>
            <w:tcW w:w="570" w:type="dxa"/>
            <w:tcBorders>
              <w:top w:val="nil"/>
              <w:left w:val="nil"/>
              <w:bottom w:val="single" w:sz="8" w:space="0" w:color="auto"/>
              <w:right w:val="single" w:sz="8" w:space="0" w:color="auto"/>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center"/>
              <w:rPr>
                <w:rFonts w:eastAsia="Times New Roman" w:cs="Times New Roman"/>
                <w:color w:val="FFFFFF"/>
                <w:sz w:val="18"/>
                <w:szCs w:val="18"/>
              </w:rPr>
            </w:pPr>
            <w:r w:rsidRPr="005D75AA">
              <w:rPr>
                <w:rFonts w:eastAsia="Times New Roman" w:cs="Times New Roman"/>
                <w:color w:val="FFFFFF"/>
                <w:sz w:val="18"/>
                <w:szCs w:val="18"/>
              </w:rPr>
              <w:t> </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Clark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10,184</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79.5%</w:t>
            </w:r>
          </w:p>
        </w:tc>
        <w:tc>
          <w:tcPr>
            <w:tcW w:w="663"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492.1</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2,791</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82.1%</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134.9</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268</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85.4%</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13.0</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338</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95.2%</w:t>
            </w:r>
          </w:p>
        </w:tc>
        <w:tc>
          <w:tcPr>
            <w:tcW w:w="570" w:type="dxa"/>
            <w:tcBorders>
              <w:top w:val="nil"/>
              <w:left w:val="nil"/>
              <w:bottom w:val="single" w:sz="4" w:space="0" w:color="auto"/>
              <w:right w:val="single" w:sz="8"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16.3</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Washoe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1,768</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13.8%</w:t>
            </w:r>
          </w:p>
        </w:tc>
        <w:tc>
          <w:tcPr>
            <w:tcW w:w="663"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404.8</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497</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14.6%</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113.8</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36</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11.5%</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8.2</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17</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4.8%</w:t>
            </w:r>
          </w:p>
        </w:tc>
        <w:tc>
          <w:tcPr>
            <w:tcW w:w="570" w:type="dxa"/>
            <w:tcBorders>
              <w:top w:val="nil"/>
              <w:left w:val="nil"/>
              <w:bottom w:val="single" w:sz="4" w:space="0" w:color="auto"/>
              <w:right w:val="single" w:sz="8"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3.9</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Carson/Douglas/Lyon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445</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3.5%</w:t>
            </w:r>
          </w:p>
        </w:tc>
        <w:tc>
          <w:tcPr>
            <w:tcW w:w="663"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285.5</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48</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1.4%</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30.8</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5</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1.6%</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3.2</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c>
          <w:tcPr>
            <w:tcW w:w="570" w:type="dxa"/>
            <w:tcBorders>
              <w:top w:val="nil"/>
              <w:left w:val="nil"/>
              <w:bottom w:val="single" w:sz="4" w:space="0" w:color="auto"/>
              <w:right w:val="single" w:sz="8"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r>
      <w:tr w:rsidR="005424CC" w:rsidRPr="005D75AA" w:rsidTr="005D75AA">
        <w:trPr>
          <w:gridBefore w:val="1"/>
          <w:gridAfter w:val="5"/>
          <w:wBefore w:w="31" w:type="dxa"/>
          <w:wAfter w:w="3751" w:type="dxa"/>
          <w:trHeight w:val="315"/>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All Other Counties** </w:t>
            </w:r>
          </w:p>
        </w:tc>
        <w:tc>
          <w:tcPr>
            <w:tcW w:w="628"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402</w:t>
            </w:r>
          </w:p>
        </w:tc>
        <w:tc>
          <w:tcPr>
            <w:tcW w:w="661"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3.1%</w:t>
            </w:r>
          </w:p>
        </w:tc>
        <w:tc>
          <w:tcPr>
            <w:tcW w:w="663"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221.9</w:t>
            </w:r>
          </w:p>
        </w:tc>
        <w:tc>
          <w:tcPr>
            <w:tcW w:w="553"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62</w:t>
            </w:r>
          </w:p>
        </w:tc>
        <w:tc>
          <w:tcPr>
            <w:tcW w:w="661"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1.8%</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34.2</w:t>
            </w:r>
          </w:p>
        </w:tc>
        <w:tc>
          <w:tcPr>
            <w:tcW w:w="439"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5</w:t>
            </w:r>
          </w:p>
        </w:tc>
        <w:tc>
          <w:tcPr>
            <w:tcW w:w="661"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1.6%</w:t>
            </w:r>
          </w:p>
        </w:tc>
        <w:tc>
          <w:tcPr>
            <w:tcW w:w="570" w:type="dxa"/>
            <w:tcBorders>
              <w:top w:val="nil"/>
              <w:left w:val="nil"/>
              <w:bottom w:val="single" w:sz="4"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2.8</w:t>
            </w:r>
          </w:p>
        </w:tc>
        <w:tc>
          <w:tcPr>
            <w:tcW w:w="432"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w:t>
            </w:r>
          </w:p>
        </w:tc>
        <w:tc>
          <w:tcPr>
            <w:tcW w:w="669"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c>
          <w:tcPr>
            <w:tcW w:w="570" w:type="dxa"/>
            <w:tcBorders>
              <w:top w:val="nil"/>
              <w:left w:val="nil"/>
              <w:bottom w:val="single" w:sz="4" w:space="0" w:color="auto"/>
              <w:right w:val="single" w:sz="8"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r>
      <w:tr w:rsidR="005424CC" w:rsidRPr="005D75AA" w:rsidTr="005D75AA">
        <w:trPr>
          <w:gridBefore w:val="1"/>
          <w:gridAfter w:val="5"/>
          <w:wBefore w:w="31" w:type="dxa"/>
          <w:wAfter w:w="3751" w:type="dxa"/>
          <w:trHeight w:val="315"/>
        </w:trPr>
        <w:tc>
          <w:tcPr>
            <w:tcW w:w="2141" w:type="dxa"/>
            <w:tcBorders>
              <w:top w:val="single" w:sz="8" w:space="0" w:color="auto"/>
              <w:left w:val="single" w:sz="8" w:space="0" w:color="auto"/>
              <w:bottom w:val="single" w:sz="8"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color w:val="000000"/>
                <w:sz w:val="18"/>
                <w:szCs w:val="18"/>
              </w:rPr>
            </w:pPr>
            <w:r w:rsidRPr="005D75AA">
              <w:rPr>
                <w:rFonts w:eastAsia="Times New Roman" w:cs="Times New Roman"/>
                <w:b/>
                <w:bCs/>
                <w:color w:val="000000"/>
                <w:sz w:val="18"/>
                <w:szCs w:val="18"/>
              </w:rPr>
              <w:t xml:space="preserve"> Total </w:t>
            </w:r>
          </w:p>
        </w:tc>
        <w:tc>
          <w:tcPr>
            <w:tcW w:w="628"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12,810</w:t>
            </w:r>
          </w:p>
        </w:tc>
        <w:tc>
          <w:tcPr>
            <w:tcW w:w="661"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100.0%</w:t>
            </w:r>
          </w:p>
        </w:tc>
        <w:tc>
          <w:tcPr>
            <w:tcW w:w="663" w:type="dxa"/>
            <w:tcBorders>
              <w:top w:val="single" w:sz="8" w:space="0" w:color="auto"/>
              <w:left w:val="nil"/>
              <w:bottom w:val="single" w:sz="8"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450.5</w:t>
            </w:r>
          </w:p>
        </w:tc>
        <w:tc>
          <w:tcPr>
            <w:tcW w:w="553"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3,399</w:t>
            </w:r>
          </w:p>
        </w:tc>
        <w:tc>
          <w:tcPr>
            <w:tcW w:w="661"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100.0%</w:t>
            </w:r>
          </w:p>
        </w:tc>
        <w:tc>
          <w:tcPr>
            <w:tcW w:w="570" w:type="dxa"/>
            <w:tcBorders>
              <w:top w:val="single" w:sz="8" w:space="0" w:color="auto"/>
              <w:left w:val="nil"/>
              <w:bottom w:val="single" w:sz="8"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119.5</w:t>
            </w:r>
          </w:p>
        </w:tc>
        <w:tc>
          <w:tcPr>
            <w:tcW w:w="439"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314</w:t>
            </w:r>
          </w:p>
        </w:tc>
        <w:tc>
          <w:tcPr>
            <w:tcW w:w="661"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100.0%</w:t>
            </w:r>
          </w:p>
        </w:tc>
        <w:tc>
          <w:tcPr>
            <w:tcW w:w="570" w:type="dxa"/>
            <w:tcBorders>
              <w:top w:val="single" w:sz="8" w:space="0" w:color="auto"/>
              <w:left w:val="nil"/>
              <w:bottom w:val="single" w:sz="8" w:space="0" w:color="auto"/>
              <w:right w:val="single" w:sz="4"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11.0</w:t>
            </w:r>
          </w:p>
        </w:tc>
        <w:tc>
          <w:tcPr>
            <w:tcW w:w="432"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355</w:t>
            </w:r>
          </w:p>
        </w:tc>
        <w:tc>
          <w:tcPr>
            <w:tcW w:w="669"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100.0%</w:t>
            </w:r>
          </w:p>
        </w:tc>
        <w:tc>
          <w:tcPr>
            <w:tcW w:w="570" w:type="dxa"/>
            <w:tcBorders>
              <w:top w:val="single" w:sz="8" w:space="0" w:color="auto"/>
              <w:left w:val="nil"/>
              <w:bottom w:val="single" w:sz="8" w:space="0" w:color="auto"/>
              <w:right w:val="single" w:sz="8" w:space="0" w:color="auto"/>
            </w:tcBorders>
            <w:shd w:val="clear" w:color="auto" w:fill="auto"/>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12.5</w:t>
            </w:r>
          </w:p>
        </w:tc>
      </w:tr>
      <w:tr w:rsidR="005424CC" w:rsidRPr="005D75AA" w:rsidTr="005D75AA">
        <w:trPr>
          <w:gridBefore w:val="1"/>
          <w:gridAfter w:val="5"/>
          <w:wBefore w:w="31" w:type="dxa"/>
          <w:wAfter w:w="3751" w:type="dxa"/>
          <w:trHeight w:val="315"/>
        </w:trPr>
        <w:tc>
          <w:tcPr>
            <w:tcW w:w="2141"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Race/Ethnicity</w:t>
            </w:r>
          </w:p>
        </w:tc>
        <w:tc>
          <w:tcPr>
            <w:tcW w:w="628"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663"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553"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570"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439"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570"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432"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669"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570" w:type="dxa"/>
            <w:tcBorders>
              <w:top w:val="nil"/>
              <w:left w:val="nil"/>
              <w:bottom w:val="single" w:sz="8" w:space="0" w:color="auto"/>
              <w:right w:val="single" w:sz="8" w:space="0" w:color="auto"/>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White, non-Hispanic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2,755</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21.5%</w:t>
            </w:r>
          </w:p>
        </w:tc>
        <w:tc>
          <w:tcPr>
            <w:tcW w:w="663"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180.2</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784</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23.1%</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51.3</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130</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41.4%</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8.5</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115</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32.4%</w:t>
            </w:r>
          </w:p>
        </w:tc>
        <w:tc>
          <w:tcPr>
            <w:tcW w:w="570" w:type="dxa"/>
            <w:tcBorders>
              <w:top w:val="nil"/>
              <w:left w:val="nil"/>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7.5</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Black, non-Hispanic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1,984</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15.5%</w:t>
            </w:r>
          </w:p>
        </w:tc>
        <w:tc>
          <w:tcPr>
            <w:tcW w:w="663"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830.9</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901</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26.5%</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377.3</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67</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21.3%</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28.1</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85</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23.9%</w:t>
            </w:r>
          </w:p>
        </w:tc>
        <w:tc>
          <w:tcPr>
            <w:tcW w:w="570" w:type="dxa"/>
            <w:tcBorders>
              <w:top w:val="nil"/>
              <w:left w:val="nil"/>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35.6</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Hispanic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2,406</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18.8%</w:t>
            </w:r>
          </w:p>
        </w:tc>
        <w:tc>
          <w:tcPr>
            <w:tcW w:w="663"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303.6</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469</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13.8%</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59.2</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90</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28.7%</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11.4</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119</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33.5%</w:t>
            </w:r>
          </w:p>
        </w:tc>
        <w:tc>
          <w:tcPr>
            <w:tcW w:w="570" w:type="dxa"/>
            <w:tcBorders>
              <w:top w:val="nil"/>
              <w:left w:val="nil"/>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15.0</w:t>
            </w:r>
          </w:p>
        </w:tc>
      </w:tr>
      <w:tr w:rsidR="005424CC" w:rsidRPr="005D75AA" w:rsidTr="005D75AA">
        <w:trPr>
          <w:gridBefore w:val="1"/>
          <w:gridAfter w:val="5"/>
          <w:wBefore w:w="31" w:type="dxa"/>
          <w:wAfter w:w="3751" w:type="dxa"/>
          <w:trHeight w:val="300"/>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American Indian/Alaska Native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95</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0.7%</w:t>
            </w:r>
          </w:p>
        </w:tc>
        <w:tc>
          <w:tcPr>
            <w:tcW w:w="663"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293.0</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25</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0.7%</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77.1</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0.3%</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3.1</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0.3%</w:t>
            </w:r>
          </w:p>
        </w:tc>
        <w:tc>
          <w:tcPr>
            <w:tcW w:w="570" w:type="dxa"/>
            <w:tcBorders>
              <w:top w:val="nil"/>
              <w:left w:val="nil"/>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3.1</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Asian/Hawaiian/Pacific Islander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394</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3.1%</w:t>
            </w:r>
          </w:p>
        </w:tc>
        <w:tc>
          <w:tcPr>
            <w:tcW w:w="663"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157.0</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67</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2.0%</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26.7</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13</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4.1%</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5.2</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14</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3.9%</w:t>
            </w:r>
          </w:p>
        </w:tc>
        <w:tc>
          <w:tcPr>
            <w:tcW w:w="570" w:type="dxa"/>
            <w:tcBorders>
              <w:top w:val="nil"/>
              <w:left w:val="nil"/>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5.6</w:t>
            </w:r>
          </w:p>
        </w:tc>
      </w:tr>
      <w:tr w:rsidR="005424CC" w:rsidRPr="005D75AA" w:rsidTr="005D75AA">
        <w:trPr>
          <w:gridBefore w:val="1"/>
          <w:gridAfter w:val="5"/>
          <w:wBefore w:w="31" w:type="dxa"/>
          <w:wAfter w:w="3751" w:type="dxa"/>
          <w:trHeight w:val="315"/>
        </w:trPr>
        <w:tc>
          <w:tcPr>
            <w:tcW w:w="2141" w:type="dxa"/>
            <w:tcBorders>
              <w:top w:val="single" w:sz="4" w:space="0" w:color="auto"/>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Unknown/Other </w:t>
            </w:r>
          </w:p>
        </w:tc>
        <w:tc>
          <w:tcPr>
            <w:tcW w:w="628"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5,176</w:t>
            </w:r>
          </w:p>
        </w:tc>
        <w:tc>
          <w:tcPr>
            <w:tcW w:w="661"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40.4%</w:t>
            </w:r>
          </w:p>
        </w:tc>
        <w:tc>
          <w:tcPr>
            <w:tcW w:w="663" w:type="dxa"/>
            <w:tcBorders>
              <w:top w:val="nil"/>
              <w:left w:val="nil"/>
              <w:bottom w:val="nil"/>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NA</w:t>
            </w:r>
          </w:p>
        </w:tc>
        <w:tc>
          <w:tcPr>
            <w:tcW w:w="553"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1,153</w:t>
            </w:r>
          </w:p>
        </w:tc>
        <w:tc>
          <w:tcPr>
            <w:tcW w:w="661"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33.9%</w:t>
            </w:r>
          </w:p>
        </w:tc>
        <w:tc>
          <w:tcPr>
            <w:tcW w:w="570" w:type="dxa"/>
            <w:tcBorders>
              <w:top w:val="nil"/>
              <w:left w:val="nil"/>
              <w:bottom w:val="nil"/>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NA</w:t>
            </w:r>
          </w:p>
        </w:tc>
        <w:tc>
          <w:tcPr>
            <w:tcW w:w="439"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13</w:t>
            </w:r>
          </w:p>
        </w:tc>
        <w:tc>
          <w:tcPr>
            <w:tcW w:w="661"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4.1%</w:t>
            </w:r>
          </w:p>
        </w:tc>
        <w:tc>
          <w:tcPr>
            <w:tcW w:w="570" w:type="dxa"/>
            <w:tcBorders>
              <w:top w:val="nil"/>
              <w:left w:val="nil"/>
              <w:bottom w:val="nil"/>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NA</w:t>
            </w:r>
          </w:p>
        </w:tc>
        <w:tc>
          <w:tcPr>
            <w:tcW w:w="432"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21</w:t>
            </w:r>
          </w:p>
        </w:tc>
        <w:tc>
          <w:tcPr>
            <w:tcW w:w="669" w:type="dxa"/>
            <w:tcBorders>
              <w:top w:val="nil"/>
              <w:left w:val="nil"/>
              <w:bottom w:val="nil"/>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5.9%</w:t>
            </w:r>
          </w:p>
        </w:tc>
        <w:tc>
          <w:tcPr>
            <w:tcW w:w="570" w:type="dxa"/>
            <w:tcBorders>
              <w:top w:val="nil"/>
              <w:left w:val="nil"/>
              <w:bottom w:val="nil"/>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NA</w:t>
            </w:r>
          </w:p>
        </w:tc>
      </w:tr>
      <w:tr w:rsidR="005424CC" w:rsidRPr="005D75AA" w:rsidTr="005D75AA">
        <w:trPr>
          <w:gridBefore w:val="1"/>
          <w:gridAfter w:val="5"/>
          <w:wBefore w:w="31" w:type="dxa"/>
          <w:wAfter w:w="3751" w:type="dxa"/>
          <w:trHeight w:val="315"/>
        </w:trPr>
        <w:tc>
          <w:tcPr>
            <w:tcW w:w="2141" w:type="dxa"/>
            <w:tcBorders>
              <w:top w:val="single" w:sz="8" w:space="0" w:color="auto"/>
              <w:left w:val="single" w:sz="8" w:space="0" w:color="auto"/>
              <w:bottom w:val="single" w:sz="8"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color w:val="000000"/>
                <w:sz w:val="18"/>
                <w:szCs w:val="18"/>
              </w:rPr>
            </w:pPr>
            <w:r w:rsidRPr="005D75AA">
              <w:rPr>
                <w:rFonts w:eastAsia="Times New Roman" w:cs="Times New Roman"/>
                <w:b/>
                <w:bCs/>
                <w:color w:val="000000"/>
                <w:sz w:val="18"/>
                <w:szCs w:val="18"/>
              </w:rPr>
              <w:t xml:space="preserve"> Total </w:t>
            </w:r>
          </w:p>
        </w:tc>
        <w:tc>
          <w:tcPr>
            <w:tcW w:w="628"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12,810</w:t>
            </w:r>
          </w:p>
        </w:tc>
        <w:tc>
          <w:tcPr>
            <w:tcW w:w="661"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663" w:type="dxa"/>
            <w:tcBorders>
              <w:top w:val="single" w:sz="8" w:space="0" w:color="auto"/>
              <w:left w:val="nil"/>
              <w:bottom w:val="single" w:sz="8"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450.5</w:t>
            </w:r>
          </w:p>
        </w:tc>
        <w:tc>
          <w:tcPr>
            <w:tcW w:w="553"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3,399</w:t>
            </w:r>
          </w:p>
        </w:tc>
        <w:tc>
          <w:tcPr>
            <w:tcW w:w="661"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570" w:type="dxa"/>
            <w:tcBorders>
              <w:top w:val="single" w:sz="8" w:space="0" w:color="auto"/>
              <w:left w:val="nil"/>
              <w:bottom w:val="single" w:sz="8"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119.5</w:t>
            </w:r>
          </w:p>
        </w:tc>
        <w:tc>
          <w:tcPr>
            <w:tcW w:w="439"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314</w:t>
            </w:r>
          </w:p>
        </w:tc>
        <w:tc>
          <w:tcPr>
            <w:tcW w:w="661"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570" w:type="dxa"/>
            <w:tcBorders>
              <w:top w:val="single" w:sz="8" w:space="0" w:color="auto"/>
              <w:left w:val="nil"/>
              <w:bottom w:val="single" w:sz="8"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11.0</w:t>
            </w:r>
          </w:p>
        </w:tc>
        <w:tc>
          <w:tcPr>
            <w:tcW w:w="432"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355</w:t>
            </w:r>
          </w:p>
        </w:tc>
        <w:tc>
          <w:tcPr>
            <w:tcW w:w="669" w:type="dxa"/>
            <w:tcBorders>
              <w:top w:val="single" w:sz="8" w:space="0" w:color="auto"/>
              <w:left w:val="nil"/>
              <w:bottom w:val="single" w:sz="8"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570" w:type="dxa"/>
            <w:tcBorders>
              <w:top w:val="single" w:sz="8" w:space="0" w:color="auto"/>
              <w:left w:val="nil"/>
              <w:bottom w:val="single" w:sz="8"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12.5</w:t>
            </w:r>
          </w:p>
        </w:tc>
      </w:tr>
      <w:tr w:rsidR="005424CC" w:rsidRPr="005D75AA" w:rsidTr="005D75AA">
        <w:trPr>
          <w:gridBefore w:val="1"/>
          <w:gridAfter w:val="5"/>
          <w:wBefore w:w="31" w:type="dxa"/>
          <w:wAfter w:w="3751" w:type="dxa"/>
          <w:trHeight w:val="315"/>
        </w:trPr>
        <w:tc>
          <w:tcPr>
            <w:tcW w:w="2141"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xml:space="preserve"> Age Group </w:t>
            </w:r>
          </w:p>
        </w:tc>
        <w:tc>
          <w:tcPr>
            <w:tcW w:w="628"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663"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553"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570"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439"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661"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570"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c>
          <w:tcPr>
            <w:tcW w:w="432" w:type="dxa"/>
            <w:tcBorders>
              <w:top w:val="nil"/>
              <w:left w:val="single" w:sz="8" w:space="0" w:color="auto"/>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669" w:type="dxa"/>
            <w:tcBorders>
              <w:top w:val="nil"/>
              <w:left w:val="nil"/>
              <w:bottom w:val="single" w:sz="8" w:space="0" w:color="auto"/>
              <w:right w:val="nil"/>
            </w:tcBorders>
            <w:shd w:val="clear" w:color="000000" w:fill="BFBFB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 </w:t>
            </w:r>
          </w:p>
        </w:tc>
        <w:tc>
          <w:tcPr>
            <w:tcW w:w="570" w:type="dxa"/>
            <w:tcBorders>
              <w:top w:val="nil"/>
              <w:left w:val="nil"/>
              <w:bottom w:val="single" w:sz="8" w:space="0" w:color="auto"/>
              <w:right w:val="single" w:sz="8" w:space="0" w:color="auto"/>
            </w:tcBorders>
            <w:shd w:val="clear" w:color="000000" w:fill="BFBFB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sz w:val="18"/>
                <w:szCs w:val="18"/>
              </w:rPr>
            </w:pPr>
            <w:r w:rsidRPr="005D75AA">
              <w:rPr>
                <w:rFonts w:eastAsia="Times New Roman" w:cs="Times New Roman"/>
                <w:b/>
                <w:bCs/>
                <w:sz w:val="18"/>
                <w:szCs w:val="18"/>
              </w:rPr>
              <w:t> </w:t>
            </w:r>
          </w:p>
        </w:tc>
      </w:tr>
      <w:tr w:rsidR="005424CC" w:rsidRPr="005D75AA" w:rsidTr="005D75AA">
        <w:trPr>
          <w:gridBefore w:val="1"/>
          <w:gridAfter w:val="5"/>
          <w:wBefore w:w="31" w:type="dxa"/>
          <w:wAfter w:w="3751" w:type="dxa"/>
          <w:trHeight w:val="300"/>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&lt; 9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9</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0.1%</w:t>
            </w:r>
          </w:p>
        </w:tc>
        <w:tc>
          <w:tcPr>
            <w:tcW w:w="663"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2.3</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0.1%</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0.5</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w:t>
            </w:r>
          </w:p>
        </w:tc>
        <w:tc>
          <w:tcPr>
            <w:tcW w:w="661"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0.0%</w:t>
            </w:r>
          </w:p>
        </w:tc>
        <w:tc>
          <w:tcPr>
            <w:tcW w:w="570" w:type="dxa"/>
            <w:tcBorders>
              <w:top w:val="nil"/>
              <w:left w:val="nil"/>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w:t>
            </w:r>
          </w:p>
        </w:tc>
        <w:tc>
          <w:tcPr>
            <w:tcW w:w="669" w:type="dxa"/>
            <w:tcBorders>
              <w:top w:val="nil"/>
              <w:left w:val="nil"/>
              <w:bottom w:val="single" w:sz="4" w:space="0" w:color="auto"/>
              <w:right w:val="single" w:sz="4" w:space="0" w:color="auto"/>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0.0%</w:t>
            </w:r>
          </w:p>
        </w:tc>
        <w:tc>
          <w:tcPr>
            <w:tcW w:w="570" w:type="dxa"/>
            <w:tcBorders>
              <w:top w:val="nil"/>
              <w:left w:val="nil"/>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10-14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79</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0.6%</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42.2</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29</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0.9%</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15.5</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0.0%</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0.0%</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0.0</w:t>
            </w:r>
          </w:p>
        </w:tc>
      </w:tr>
      <w:tr w:rsidR="005424CC" w:rsidRPr="005D75AA" w:rsidTr="005D75AA">
        <w:trPr>
          <w:gridBefore w:val="1"/>
          <w:gridAfter w:val="5"/>
          <w:wBefore w:w="31" w:type="dxa"/>
          <w:wAfter w:w="3751" w:type="dxa"/>
          <w:trHeight w:val="300"/>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15-19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3,104</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24.2%</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1,704.1</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552</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16.2%</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303.0</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8</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2.5%</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4.4</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8</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2.3%</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4.4</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20-24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4,794</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37.4%</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2,425.3</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877</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25.8%</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443.7</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67</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21.3%</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33.9</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55</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15.5%</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27.8</w:t>
            </w:r>
          </w:p>
        </w:tc>
      </w:tr>
      <w:tr w:rsidR="005424CC" w:rsidRPr="005D75AA" w:rsidTr="005D75AA">
        <w:trPr>
          <w:gridBefore w:val="1"/>
          <w:gridAfter w:val="5"/>
          <w:wBefore w:w="31" w:type="dxa"/>
          <w:wAfter w:w="3751" w:type="dxa"/>
          <w:trHeight w:val="300"/>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25-29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2,433</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19.0%</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1,258.9</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722</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21.2%</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373.6</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66</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21.0%</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34.1</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70</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19.7%</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36.2</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30-34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1,106</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8.6%</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587.3</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438</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12.9%</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232.6</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53</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16.9%</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28.1</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63</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17.7%</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33.5</w:t>
            </w:r>
          </w:p>
        </w:tc>
      </w:tr>
      <w:tr w:rsidR="005424CC" w:rsidRPr="005D75AA" w:rsidTr="005D75AA">
        <w:trPr>
          <w:gridBefore w:val="1"/>
          <w:gridAfter w:val="5"/>
          <w:wBefore w:w="31" w:type="dxa"/>
          <w:wAfter w:w="3751" w:type="dxa"/>
          <w:trHeight w:val="300"/>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35-39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619</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4.8%</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304.3</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275</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8.1%</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135.2</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39</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12.4%</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19.2</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52</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14.6%</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25.6</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40-44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307</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2.4%</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156.5</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185</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5.4%</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94.3</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22</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7.0%</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11.2</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21</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5.9%</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10.7</w:t>
            </w:r>
          </w:p>
        </w:tc>
      </w:tr>
      <w:tr w:rsidR="005424CC" w:rsidRPr="005D75AA" w:rsidTr="005D75AA">
        <w:trPr>
          <w:gridBefore w:val="1"/>
          <w:gridAfter w:val="5"/>
          <w:wBefore w:w="31" w:type="dxa"/>
          <w:wAfter w:w="3751" w:type="dxa"/>
          <w:trHeight w:val="300"/>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45-54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280</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2.2%</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72.6</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223</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6.6%</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57.8</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41</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13.1%</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10.6</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67</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18.9%</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17.4</w:t>
            </w:r>
          </w:p>
        </w:tc>
      </w:tr>
      <w:tr w:rsidR="005424CC" w:rsidRPr="005D75AA" w:rsidTr="005D75AA">
        <w:trPr>
          <w:gridBefore w:val="1"/>
          <w:gridAfter w:val="5"/>
          <w:wBefore w:w="31" w:type="dxa"/>
          <w:wAfter w:w="3751" w:type="dxa"/>
          <w:trHeight w:val="300"/>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55-64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55</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0.4%</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16.3</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78</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2.3%</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23.1</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16</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5.1%</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4.7</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16</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4.5%</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4.7</w:t>
            </w:r>
          </w:p>
        </w:tc>
      </w:tr>
      <w:tr w:rsidR="005424CC" w:rsidRPr="005D75AA" w:rsidTr="005D75AA">
        <w:trPr>
          <w:gridBefore w:val="1"/>
          <w:gridAfter w:val="5"/>
          <w:wBefore w:w="31" w:type="dxa"/>
          <w:wAfter w:w="3751" w:type="dxa"/>
          <w:trHeight w:val="300"/>
        </w:trPr>
        <w:tc>
          <w:tcPr>
            <w:tcW w:w="2141" w:type="dxa"/>
            <w:tcBorders>
              <w:top w:val="single" w:sz="4" w:space="0" w:color="auto"/>
              <w:left w:val="single" w:sz="8" w:space="0" w:color="auto"/>
              <w:bottom w:val="single" w:sz="4"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65+ </w:t>
            </w:r>
          </w:p>
        </w:tc>
        <w:tc>
          <w:tcPr>
            <w:tcW w:w="628"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17</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0.1%</w:t>
            </w:r>
          </w:p>
        </w:tc>
        <w:tc>
          <w:tcPr>
            <w:tcW w:w="663"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4.4</w:t>
            </w:r>
          </w:p>
        </w:tc>
        <w:tc>
          <w:tcPr>
            <w:tcW w:w="553"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16</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0.5%</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4.1</w:t>
            </w:r>
          </w:p>
        </w:tc>
        <w:tc>
          <w:tcPr>
            <w:tcW w:w="439"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w:t>
            </w:r>
          </w:p>
        </w:tc>
        <w:tc>
          <w:tcPr>
            <w:tcW w:w="661"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0.6%</w:t>
            </w:r>
          </w:p>
        </w:tc>
        <w:tc>
          <w:tcPr>
            <w:tcW w:w="570" w:type="dxa"/>
            <w:tcBorders>
              <w:top w:val="nil"/>
              <w:left w:val="single" w:sz="4" w:space="0" w:color="auto"/>
              <w:bottom w:val="single" w:sz="4"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0.5</w:t>
            </w:r>
          </w:p>
        </w:tc>
        <w:tc>
          <w:tcPr>
            <w:tcW w:w="432" w:type="dxa"/>
            <w:tcBorders>
              <w:top w:val="nil"/>
              <w:left w:val="single" w:sz="8" w:space="0" w:color="auto"/>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3</w:t>
            </w:r>
          </w:p>
        </w:tc>
        <w:tc>
          <w:tcPr>
            <w:tcW w:w="669" w:type="dxa"/>
            <w:tcBorders>
              <w:top w:val="nil"/>
              <w:left w:val="nil"/>
              <w:bottom w:val="single" w:sz="4"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0.8%</w:t>
            </w:r>
          </w:p>
        </w:tc>
        <w:tc>
          <w:tcPr>
            <w:tcW w:w="570" w:type="dxa"/>
            <w:tcBorders>
              <w:top w:val="nil"/>
              <w:left w:val="single" w:sz="4" w:space="0" w:color="auto"/>
              <w:bottom w:val="single" w:sz="4"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0.8</w:t>
            </w:r>
          </w:p>
        </w:tc>
      </w:tr>
      <w:tr w:rsidR="005424CC" w:rsidRPr="005D75AA" w:rsidTr="005D75AA">
        <w:trPr>
          <w:gridBefore w:val="1"/>
          <w:gridAfter w:val="5"/>
          <w:wBefore w:w="31" w:type="dxa"/>
          <w:wAfter w:w="3751" w:type="dxa"/>
          <w:trHeight w:val="315"/>
        </w:trPr>
        <w:tc>
          <w:tcPr>
            <w:tcW w:w="2141" w:type="dxa"/>
            <w:tcBorders>
              <w:top w:val="nil"/>
              <w:left w:val="single" w:sz="8" w:space="0" w:color="auto"/>
              <w:bottom w:val="nil"/>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color w:val="000000"/>
                <w:sz w:val="18"/>
                <w:szCs w:val="18"/>
              </w:rPr>
            </w:pPr>
            <w:r w:rsidRPr="005D75AA">
              <w:rPr>
                <w:rFonts w:eastAsia="Times New Roman" w:cs="Times New Roman"/>
                <w:color w:val="000000"/>
                <w:sz w:val="18"/>
                <w:szCs w:val="18"/>
              </w:rPr>
              <w:t xml:space="preserve"> Unknown </w:t>
            </w:r>
          </w:p>
        </w:tc>
        <w:tc>
          <w:tcPr>
            <w:tcW w:w="628"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7</w:t>
            </w:r>
          </w:p>
        </w:tc>
        <w:tc>
          <w:tcPr>
            <w:tcW w:w="661" w:type="dxa"/>
            <w:tcBorders>
              <w:top w:val="nil"/>
              <w:left w:val="nil"/>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0.1%</w:t>
            </w:r>
          </w:p>
        </w:tc>
        <w:tc>
          <w:tcPr>
            <w:tcW w:w="663" w:type="dxa"/>
            <w:tcBorders>
              <w:top w:val="nil"/>
              <w:left w:val="single" w:sz="4" w:space="0" w:color="auto"/>
              <w:bottom w:val="nil"/>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NA</w:t>
            </w:r>
          </w:p>
        </w:tc>
        <w:tc>
          <w:tcPr>
            <w:tcW w:w="553"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2</w:t>
            </w:r>
          </w:p>
        </w:tc>
        <w:tc>
          <w:tcPr>
            <w:tcW w:w="661" w:type="dxa"/>
            <w:tcBorders>
              <w:top w:val="nil"/>
              <w:left w:val="nil"/>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0.1%</w:t>
            </w:r>
          </w:p>
        </w:tc>
        <w:tc>
          <w:tcPr>
            <w:tcW w:w="570" w:type="dxa"/>
            <w:tcBorders>
              <w:top w:val="nil"/>
              <w:left w:val="single" w:sz="4" w:space="0" w:color="auto"/>
              <w:bottom w:val="nil"/>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NA</w:t>
            </w:r>
          </w:p>
        </w:tc>
        <w:tc>
          <w:tcPr>
            <w:tcW w:w="439"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w:t>
            </w:r>
          </w:p>
        </w:tc>
        <w:tc>
          <w:tcPr>
            <w:tcW w:w="661" w:type="dxa"/>
            <w:tcBorders>
              <w:top w:val="nil"/>
              <w:left w:val="nil"/>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0.0%</w:t>
            </w:r>
          </w:p>
        </w:tc>
        <w:tc>
          <w:tcPr>
            <w:tcW w:w="570" w:type="dxa"/>
            <w:tcBorders>
              <w:top w:val="nil"/>
              <w:left w:val="single" w:sz="4" w:space="0" w:color="auto"/>
              <w:bottom w:val="nil"/>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NA</w:t>
            </w:r>
          </w:p>
        </w:tc>
        <w:tc>
          <w:tcPr>
            <w:tcW w:w="432" w:type="dxa"/>
            <w:tcBorders>
              <w:top w:val="nil"/>
              <w:left w:val="single" w:sz="8" w:space="0" w:color="auto"/>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w:t>
            </w:r>
          </w:p>
        </w:tc>
        <w:tc>
          <w:tcPr>
            <w:tcW w:w="669" w:type="dxa"/>
            <w:tcBorders>
              <w:top w:val="nil"/>
              <w:left w:val="nil"/>
              <w:bottom w:val="nil"/>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color w:val="000000"/>
                <w:sz w:val="18"/>
                <w:szCs w:val="18"/>
              </w:rPr>
            </w:pPr>
            <w:r w:rsidRPr="005D75AA">
              <w:rPr>
                <w:rFonts w:eastAsia="Times New Roman" w:cs="Times New Roman"/>
                <w:color w:val="000000"/>
                <w:sz w:val="18"/>
                <w:szCs w:val="18"/>
              </w:rPr>
              <w:t>0.0%</w:t>
            </w:r>
          </w:p>
        </w:tc>
        <w:tc>
          <w:tcPr>
            <w:tcW w:w="570" w:type="dxa"/>
            <w:tcBorders>
              <w:top w:val="nil"/>
              <w:left w:val="single" w:sz="4" w:space="0" w:color="auto"/>
              <w:bottom w:val="nil"/>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sz w:val="18"/>
                <w:szCs w:val="18"/>
              </w:rPr>
            </w:pPr>
            <w:r w:rsidRPr="005D75AA">
              <w:rPr>
                <w:rFonts w:eastAsia="Times New Roman" w:cs="Times New Roman"/>
                <w:sz w:val="18"/>
                <w:szCs w:val="18"/>
              </w:rPr>
              <w:t>NA</w:t>
            </w:r>
          </w:p>
        </w:tc>
      </w:tr>
      <w:tr w:rsidR="005424CC" w:rsidRPr="005D75AA" w:rsidTr="005D75AA">
        <w:trPr>
          <w:gridBefore w:val="1"/>
          <w:gridAfter w:val="5"/>
          <w:wBefore w:w="31" w:type="dxa"/>
          <w:wAfter w:w="3751" w:type="dxa"/>
          <w:trHeight w:val="315"/>
        </w:trPr>
        <w:tc>
          <w:tcPr>
            <w:tcW w:w="2141" w:type="dxa"/>
            <w:tcBorders>
              <w:top w:val="single" w:sz="8" w:space="0" w:color="auto"/>
              <w:left w:val="single" w:sz="8" w:space="0" w:color="auto"/>
              <w:bottom w:val="single" w:sz="8" w:space="0" w:color="auto"/>
              <w:right w:val="nil"/>
            </w:tcBorders>
            <w:shd w:val="clear" w:color="000000" w:fill="FFFFFF"/>
            <w:noWrap/>
            <w:tcMar>
              <w:left w:w="58" w:type="dxa"/>
              <w:right w:w="58" w:type="dxa"/>
            </w:tcMar>
            <w:vAlign w:val="center"/>
            <w:hideMark/>
          </w:tcPr>
          <w:p w:rsidR="005B2915" w:rsidRPr="005D75AA" w:rsidRDefault="005B2915" w:rsidP="005B2915">
            <w:pPr>
              <w:spacing w:before="0" w:after="0" w:line="240" w:lineRule="auto"/>
              <w:rPr>
                <w:rFonts w:eastAsia="Times New Roman" w:cs="Times New Roman"/>
                <w:b/>
                <w:bCs/>
                <w:color w:val="000000"/>
                <w:sz w:val="18"/>
                <w:szCs w:val="18"/>
              </w:rPr>
            </w:pPr>
            <w:r w:rsidRPr="005D75AA">
              <w:rPr>
                <w:rFonts w:eastAsia="Times New Roman" w:cs="Times New Roman"/>
                <w:b/>
                <w:bCs/>
                <w:color w:val="000000"/>
                <w:sz w:val="18"/>
                <w:szCs w:val="18"/>
              </w:rPr>
              <w:t xml:space="preserve"> Total </w:t>
            </w:r>
          </w:p>
        </w:tc>
        <w:tc>
          <w:tcPr>
            <w:tcW w:w="628"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12,810</w:t>
            </w:r>
          </w:p>
        </w:tc>
        <w:tc>
          <w:tcPr>
            <w:tcW w:w="661" w:type="dxa"/>
            <w:tcBorders>
              <w:top w:val="single" w:sz="8" w:space="0" w:color="auto"/>
              <w:left w:val="nil"/>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663" w:type="dxa"/>
            <w:tcBorders>
              <w:top w:val="single" w:sz="8" w:space="0" w:color="auto"/>
              <w:left w:val="single" w:sz="4" w:space="0" w:color="auto"/>
              <w:bottom w:val="single" w:sz="8"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450.5</w:t>
            </w:r>
          </w:p>
        </w:tc>
        <w:tc>
          <w:tcPr>
            <w:tcW w:w="553"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3,399</w:t>
            </w:r>
          </w:p>
        </w:tc>
        <w:tc>
          <w:tcPr>
            <w:tcW w:w="661" w:type="dxa"/>
            <w:tcBorders>
              <w:top w:val="single" w:sz="8" w:space="0" w:color="auto"/>
              <w:left w:val="nil"/>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570" w:type="dxa"/>
            <w:tcBorders>
              <w:top w:val="single" w:sz="8" w:space="0" w:color="auto"/>
              <w:left w:val="single" w:sz="4" w:space="0" w:color="auto"/>
              <w:bottom w:val="single" w:sz="8"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119.5</w:t>
            </w:r>
          </w:p>
        </w:tc>
        <w:tc>
          <w:tcPr>
            <w:tcW w:w="439"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314</w:t>
            </w:r>
          </w:p>
        </w:tc>
        <w:tc>
          <w:tcPr>
            <w:tcW w:w="661" w:type="dxa"/>
            <w:tcBorders>
              <w:top w:val="single" w:sz="8" w:space="0" w:color="auto"/>
              <w:left w:val="nil"/>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570" w:type="dxa"/>
            <w:tcBorders>
              <w:top w:val="single" w:sz="8" w:space="0" w:color="auto"/>
              <w:left w:val="single" w:sz="4" w:space="0" w:color="auto"/>
              <w:bottom w:val="single" w:sz="8" w:space="0" w:color="auto"/>
              <w:right w:val="single" w:sz="4"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11.0</w:t>
            </w:r>
          </w:p>
        </w:tc>
        <w:tc>
          <w:tcPr>
            <w:tcW w:w="432" w:type="dxa"/>
            <w:tcBorders>
              <w:top w:val="single" w:sz="8" w:space="0" w:color="auto"/>
              <w:left w:val="single" w:sz="8" w:space="0" w:color="auto"/>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355</w:t>
            </w:r>
          </w:p>
        </w:tc>
        <w:tc>
          <w:tcPr>
            <w:tcW w:w="669" w:type="dxa"/>
            <w:tcBorders>
              <w:top w:val="single" w:sz="8" w:space="0" w:color="auto"/>
              <w:left w:val="nil"/>
              <w:bottom w:val="single" w:sz="8" w:space="0" w:color="auto"/>
              <w:right w:val="nil"/>
            </w:tcBorders>
            <w:shd w:val="clear" w:color="000000" w:fill="F2F2F2"/>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color w:val="000000"/>
                <w:sz w:val="18"/>
                <w:szCs w:val="18"/>
              </w:rPr>
            </w:pPr>
            <w:r w:rsidRPr="005D75AA">
              <w:rPr>
                <w:rFonts w:eastAsia="Times New Roman" w:cs="Times New Roman"/>
                <w:b/>
                <w:bCs/>
                <w:color w:val="000000"/>
                <w:sz w:val="18"/>
                <w:szCs w:val="18"/>
              </w:rPr>
              <w:t>100.0%</w:t>
            </w:r>
          </w:p>
        </w:tc>
        <w:tc>
          <w:tcPr>
            <w:tcW w:w="570" w:type="dxa"/>
            <w:tcBorders>
              <w:top w:val="single" w:sz="8" w:space="0" w:color="auto"/>
              <w:left w:val="single" w:sz="4" w:space="0" w:color="auto"/>
              <w:bottom w:val="single" w:sz="8" w:space="0" w:color="auto"/>
              <w:right w:val="single" w:sz="8" w:space="0" w:color="auto"/>
            </w:tcBorders>
            <w:shd w:val="clear" w:color="000000" w:fill="FFFFFF"/>
            <w:noWrap/>
            <w:tcMar>
              <w:left w:w="58" w:type="dxa"/>
              <w:right w:w="58" w:type="dxa"/>
            </w:tcMar>
            <w:vAlign w:val="center"/>
            <w:hideMark/>
          </w:tcPr>
          <w:p w:rsidR="005B2915" w:rsidRPr="005D75AA" w:rsidRDefault="005B2915" w:rsidP="005B2915">
            <w:pPr>
              <w:spacing w:before="0" w:after="0" w:line="240" w:lineRule="auto"/>
              <w:jc w:val="right"/>
              <w:rPr>
                <w:rFonts w:eastAsia="Times New Roman" w:cs="Times New Roman"/>
                <w:b/>
                <w:bCs/>
                <w:sz w:val="18"/>
                <w:szCs w:val="18"/>
              </w:rPr>
            </w:pPr>
            <w:r w:rsidRPr="005D75AA">
              <w:rPr>
                <w:rFonts w:eastAsia="Times New Roman" w:cs="Times New Roman"/>
                <w:b/>
                <w:bCs/>
                <w:sz w:val="18"/>
                <w:szCs w:val="18"/>
              </w:rPr>
              <w:t>12.5</w:t>
            </w:r>
          </w:p>
        </w:tc>
      </w:tr>
      <w:tr w:rsidR="005424CC" w:rsidRPr="005D75AA" w:rsidTr="005D75AA">
        <w:tblPrEx>
          <w:tblCellMar>
            <w:left w:w="108" w:type="dxa"/>
            <w:right w:w="108" w:type="dxa"/>
          </w:tblCellMar>
        </w:tblPrEx>
        <w:trPr>
          <w:trHeight w:val="240"/>
        </w:trPr>
        <w:tc>
          <w:tcPr>
            <w:tcW w:w="9270" w:type="dxa"/>
            <w:gridSpan w:val="15"/>
            <w:shd w:val="clear" w:color="000000" w:fill="FFFFFF"/>
            <w:noWrap/>
            <w:tcMar>
              <w:left w:w="58" w:type="dxa"/>
              <w:right w:w="58" w:type="dxa"/>
            </w:tcMar>
            <w:vAlign w:val="bottom"/>
            <w:hideMark/>
          </w:tcPr>
          <w:p w:rsidR="005424CC" w:rsidRPr="005D75AA" w:rsidRDefault="005424CC" w:rsidP="005424CC">
            <w:pPr>
              <w:spacing w:before="0" w:after="0" w:line="240" w:lineRule="auto"/>
              <w:rPr>
                <w:rFonts w:ascii="Calibri" w:eastAsia="Times New Roman" w:hAnsi="Calibri" w:cs="Times New Roman"/>
                <w:i/>
                <w:iCs/>
                <w:color w:val="000000"/>
                <w:sz w:val="16"/>
                <w:szCs w:val="16"/>
              </w:rPr>
            </w:pPr>
            <w:r w:rsidRPr="005D75AA">
              <w:rPr>
                <w:rFonts w:ascii="Calibri" w:eastAsia="Times New Roman" w:hAnsi="Calibri" w:cs="Times New Roman"/>
                <w:i/>
                <w:iCs/>
                <w:color w:val="000000"/>
                <w:sz w:val="16"/>
                <w:szCs w:val="16"/>
              </w:rPr>
              <w:t>Source: Division of Public and Behavioral Health, Sexually Transmitted Disease Management Information Systems (STD*MIS), data as of June 2016.</w:t>
            </w:r>
          </w:p>
        </w:tc>
        <w:tc>
          <w:tcPr>
            <w:tcW w:w="2662" w:type="dxa"/>
            <w:gridSpan w:val="3"/>
            <w:tcBorders>
              <w:top w:val="nil"/>
              <w:left w:val="nil"/>
              <w:bottom w:val="nil"/>
              <w:right w:val="nil"/>
            </w:tcBorders>
            <w:shd w:val="clear" w:color="000000" w:fill="FFFFFF"/>
            <w:noWrap/>
            <w:tcMar>
              <w:left w:w="58" w:type="dxa"/>
              <w:right w:w="58" w:type="dxa"/>
            </w:tcMar>
            <w:vAlign w:val="center"/>
            <w:hideMark/>
          </w:tcPr>
          <w:p w:rsidR="005424CC" w:rsidRPr="005D75AA" w:rsidRDefault="005424CC" w:rsidP="005424CC">
            <w:pPr>
              <w:spacing w:before="0" w:after="0" w:line="240" w:lineRule="auto"/>
              <w:jc w:val="center"/>
              <w:rPr>
                <w:rFonts w:ascii="Calibri" w:eastAsia="Times New Roman" w:hAnsi="Calibri" w:cs="Times New Roman"/>
                <w:b/>
                <w:bCs/>
                <w:i/>
                <w:iCs/>
                <w:color w:val="000000"/>
                <w:sz w:val="18"/>
                <w:szCs w:val="18"/>
              </w:rPr>
            </w:pPr>
            <w:r w:rsidRPr="005D75AA">
              <w:rPr>
                <w:rFonts w:ascii="Calibri" w:eastAsia="Times New Roman" w:hAnsi="Calibri" w:cs="Times New Roman"/>
                <w:b/>
                <w:bCs/>
                <w:i/>
                <w:iCs/>
                <w:color w:val="000000"/>
                <w:sz w:val="18"/>
                <w:szCs w:val="18"/>
              </w:rPr>
              <w:t> </w:t>
            </w:r>
          </w:p>
        </w:tc>
        <w:tc>
          <w:tcPr>
            <w:tcW w:w="1068" w:type="dxa"/>
            <w:tcBorders>
              <w:top w:val="nil"/>
              <w:left w:val="nil"/>
              <w:bottom w:val="nil"/>
              <w:right w:val="nil"/>
            </w:tcBorders>
            <w:shd w:val="clear" w:color="000000" w:fill="FFFFFF"/>
            <w:noWrap/>
            <w:tcMar>
              <w:left w:w="58" w:type="dxa"/>
              <w:right w:w="58" w:type="dxa"/>
            </w:tcMar>
            <w:vAlign w:val="center"/>
            <w:hideMark/>
          </w:tcPr>
          <w:p w:rsidR="005424CC" w:rsidRPr="005D75AA" w:rsidRDefault="005424CC" w:rsidP="005424CC">
            <w:pPr>
              <w:spacing w:before="0" w:after="0" w:line="240" w:lineRule="auto"/>
              <w:jc w:val="center"/>
              <w:rPr>
                <w:rFonts w:ascii="Calibri" w:eastAsia="Times New Roman" w:hAnsi="Calibri" w:cs="Times New Roman"/>
                <w:b/>
                <w:bCs/>
                <w:i/>
                <w:iCs/>
                <w:color w:val="000000"/>
                <w:sz w:val="18"/>
                <w:szCs w:val="18"/>
              </w:rPr>
            </w:pPr>
            <w:r w:rsidRPr="005D75AA">
              <w:rPr>
                <w:rFonts w:ascii="Calibri" w:eastAsia="Times New Roman" w:hAnsi="Calibri" w:cs="Times New Roman"/>
                <w:b/>
                <w:bCs/>
                <w:i/>
                <w:iCs/>
                <w:color w:val="000000"/>
                <w:sz w:val="18"/>
                <w:szCs w:val="18"/>
              </w:rPr>
              <w:t> </w:t>
            </w:r>
          </w:p>
        </w:tc>
      </w:tr>
      <w:tr w:rsidR="005424CC" w:rsidRPr="005D75AA" w:rsidTr="005D75AA">
        <w:tblPrEx>
          <w:tblCellMar>
            <w:left w:w="108" w:type="dxa"/>
            <w:right w:w="108" w:type="dxa"/>
          </w:tblCellMar>
        </w:tblPrEx>
        <w:trPr>
          <w:trHeight w:val="240"/>
        </w:trPr>
        <w:tc>
          <w:tcPr>
            <w:tcW w:w="13000" w:type="dxa"/>
            <w:gridSpan w:val="19"/>
            <w:tcBorders>
              <w:top w:val="nil"/>
              <w:left w:val="nil"/>
              <w:bottom w:val="nil"/>
              <w:right w:val="nil"/>
            </w:tcBorders>
            <w:shd w:val="clear" w:color="000000" w:fill="FFFFFF"/>
            <w:tcMar>
              <w:left w:w="58" w:type="dxa"/>
              <w:right w:w="58" w:type="dxa"/>
            </w:tcMar>
            <w:vAlign w:val="bottom"/>
            <w:hideMark/>
          </w:tcPr>
          <w:p w:rsidR="005424CC" w:rsidRPr="005D75AA" w:rsidRDefault="005424CC" w:rsidP="005424CC">
            <w:pPr>
              <w:spacing w:before="0" w:after="0" w:line="240" w:lineRule="auto"/>
              <w:rPr>
                <w:rFonts w:ascii="Calibri" w:eastAsia="Times New Roman" w:hAnsi="Calibri" w:cs="Times New Roman"/>
                <w:i/>
                <w:iCs/>
                <w:sz w:val="16"/>
                <w:szCs w:val="16"/>
              </w:rPr>
            </w:pPr>
            <w:r w:rsidRPr="005D75AA">
              <w:rPr>
                <w:rFonts w:ascii="Calibri" w:eastAsia="Times New Roman" w:hAnsi="Calibri" w:cs="Times New Roman"/>
                <w:i/>
                <w:iCs/>
                <w:sz w:val="16"/>
                <w:szCs w:val="16"/>
              </w:rPr>
              <w:t>*Crude rates per 100,000 population were calculated using 2015 population projections from the Nevada State Demographer vintage 2015 data.</w:t>
            </w:r>
          </w:p>
        </w:tc>
      </w:tr>
      <w:tr w:rsidR="005424CC" w:rsidRPr="005D75AA" w:rsidTr="005D75AA">
        <w:tblPrEx>
          <w:tblCellMar>
            <w:left w:w="108" w:type="dxa"/>
            <w:right w:w="108" w:type="dxa"/>
          </w:tblCellMar>
        </w:tblPrEx>
        <w:trPr>
          <w:trHeight w:val="240"/>
        </w:trPr>
        <w:tc>
          <w:tcPr>
            <w:tcW w:w="10628" w:type="dxa"/>
            <w:gridSpan w:val="16"/>
            <w:tcBorders>
              <w:top w:val="nil"/>
              <w:left w:val="nil"/>
              <w:bottom w:val="nil"/>
              <w:right w:val="nil"/>
            </w:tcBorders>
            <w:shd w:val="clear" w:color="000000" w:fill="FFFFFF"/>
            <w:noWrap/>
            <w:tcMar>
              <w:left w:w="58" w:type="dxa"/>
              <w:right w:w="58" w:type="dxa"/>
            </w:tcMar>
            <w:vAlign w:val="bottom"/>
            <w:hideMark/>
          </w:tcPr>
          <w:p w:rsidR="005424CC" w:rsidRPr="005D75AA" w:rsidRDefault="005424CC" w:rsidP="005424CC">
            <w:pPr>
              <w:spacing w:before="0" w:after="0" w:line="240" w:lineRule="auto"/>
              <w:rPr>
                <w:rFonts w:ascii="Calibri" w:eastAsia="Times New Roman" w:hAnsi="Calibri" w:cs="Times New Roman"/>
                <w:i/>
                <w:iCs/>
                <w:color w:val="000000"/>
                <w:sz w:val="16"/>
                <w:szCs w:val="16"/>
              </w:rPr>
            </w:pPr>
            <w:r w:rsidRPr="005D75AA">
              <w:rPr>
                <w:rFonts w:ascii="Calibri" w:eastAsia="Times New Roman" w:hAnsi="Calibri" w:cs="Times New Roman"/>
                <w:i/>
                <w:iCs/>
                <w:color w:val="000000"/>
                <w:sz w:val="16"/>
                <w:szCs w:val="16"/>
              </w:rPr>
              <w:t>**All other counties include Churchill, Elko, Esmeralda, Eureka, Humboldt, Lander, Lincoln, Mineral, Nye, Pershing, Storey, and White Pine.</w:t>
            </w:r>
          </w:p>
        </w:tc>
        <w:tc>
          <w:tcPr>
            <w:tcW w:w="136" w:type="dxa"/>
            <w:tcBorders>
              <w:top w:val="nil"/>
              <w:left w:val="nil"/>
              <w:bottom w:val="nil"/>
              <w:right w:val="nil"/>
            </w:tcBorders>
            <w:shd w:val="clear" w:color="000000" w:fill="FFFFFF"/>
            <w:noWrap/>
            <w:tcMar>
              <w:left w:w="58" w:type="dxa"/>
              <w:right w:w="58" w:type="dxa"/>
            </w:tcMar>
            <w:vAlign w:val="bottom"/>
            <w:hideMark/>
          </w:tcPr>
          <w:p w:rsidR="005424CC" w:rsidRPr="005D75AA" w:rsidRDefault="005424CC" w:rsidP="005424CC">
            <w:pPr>
              <w:spacing w:before="0" w:after="0" w:line="240" w:lineRule="auto"/>
              <w:rPr>
                <w:rFonts w:ascii="Calibri" w:eastAsia="Times New Roman" w:hAnsi="Calibri" w:cs="Times New Roman"/>
                <w:i/>
                <w:iCs/>
                <w:color w:val="000000"/>
                <w:sz w:val="16"/>
                <w:szCs w:val="16"/>
              </w:rPr>
            </w:pPr>
            <w:r w:rsidRPr="005D75AA">
              <w:rPr>
                <w:rFonts w:ascii="Calibri" w:eastAsia="Times New Roman" w:hAnsi="Calibri" w:cs="Times New Roman"/>
                <w:i/>
                <w:iCs/>
                <w:color w:val="000000"/>
                <w:sz w:val="16"/>
                <w:szCs w:val="16"/>
              </w:rPr>
              <w:t> </w:t>
            </w:r>
          </w:p>
        </w:tc>
        <w:tc>
          <w:tcPr>
            <w:tcW w:w="1168" w:type="dxa"/>
            <w:tcBorders>
              <w:top w:val="nil"/>
              <w:left w:val="nil"/>
              <w:bottom w:val="nil"/>
              <w:right w:val="nil"/>
            </w:tcBorders>
            <w:shd w:val="clear" w:color="000000" w:fill="FFFFFF"/>
            <w:noWrap/>
            <w:tcMar>
              <w:left w:w="58" w:type="dxa"/>
              <w:right w:w="58" w:type="dxa"/>
            </w:tcMar>
            <w:vAlign w:val="bottom"/>
            <w:hideMark/>
          </w:tcPr>
          <w:p w:rsidR="005424CC" w:rsidRPr="005D75AA" w:rsidRDefault="005424CC" w:rsidP="005424CC">
            <w:pPr>
              <w:spacing w:before="0" w:after="0" w:line="240" w:lineRule="auto"/>
              <w:rPr>
                <w:rFonts w:ascii="Calibri" w:eastAsia="Times New Roman" w:hAnsi="Calibri" w:cs="Times New Roman"/>
                <w:i/>
                <w:iCs/>
                <w:color w:val="000000"/>
                <w:sz w:val="16"/>
                <w:szCs w:val="16"/>
              </w:rPr>
            </w:pPr>
            <w:r w:rsidRPr="005D75AA">
              <w:rPr>
                <w:rFonts w:ascii="Calibri" w:eastAsia="Times New Roman" w:hAnsi="Calibri" w:cs="Times New Roman"/>
                <w:i/>
                <w:iCs/>
                <w:color w:val="000000"/>
                <w:sz w:val="16"/>
                <w:szCs w:val="16"/>
              </w:rPr>
              <w:t> </w:t>
            </w:r>
          </w:p>
        </w:tc>
        <w:tc>
          <w:tcPr>
            <w:tcW w:w="1068" w:type="dxa"/>
            <w:tcBorders>
              <w:top w:val="nil"/>
              <w:left w:val="nil"/>
              <w:bottom w:val="nil"/>
              <w:right w:val="nil"/>
            </w:tcBorders>
            <w:shd w:val="clear" w:color="000000" w:fill="FFFFFF"/>
            <w:noWrap/>
            <w:tcMar>
              <w:left w:w="58" w:type="dxa"/>
              <w:right w:w="58" w:type="dxa"/>
            </w:tcMar>
            <w:vAlign w:val="bottom"/>
            <w:hideMark/>
          </w:tcPr>
          <w:p w:rsidR="005424CC" w:rsidRPr="005D75AA" w:rsidRDefault="005424CC" w:rsidP="005424CC">
            <w:pPr>
              <w:spacing w:before="0" w:after="0" w:line="240" w:lineRule="auto"/>
              <w:rPr>
                <w:rFonts w:ascii="Calibri" w:eastAsia="Times New Roman" w:hAnsi="Calibri" w:cs="Times New Roman"/>
                <w:i/>
                <w:iCs/>
                <w:color w:val="000000"/>
                <w:sz w:val="16"/>
                <w:szCs w:val="16"/>
              </w:rPr>
            </w:pPr>
            <w:r w:rsidRPr="005D75AA">
              <w:rPr>
                <w:rFonts w:ascii="Calibri" w:eastAsia="Times New Roman" w:hAnsi="Calibri" w:cs="Times New Roman"/>
                <w:i/>
                <w:iCs/>
                <w:color w:val="000000"/>
                <w:sz w:val="16"/>
                <w:szCs w:val="16"/>
              </w:rPr>
              <w:t> </w:t>
            </w:r>
          </w:p>
        </w:tc>
      </w:tr>
    </w:tbl>
    <w:p w:rsidR="00FD3104" w:rsidRDefault="00FD3104" w:rsidP="00F103A5">
      <w:pPr>
        <w:pStyle w:val="Heading5"/>
      </w:pPr>
      <w:r>
        <w:lastRenderedPageBreak/>
        <w:t>Substance Abuse</w:t>
      </w:r>
    </w:p>
    <w:p w:rsidR="00F34263" w:rsidRPr="00F34263" w:rsidRDefault="00F34263" w:rsidP="00FD002E">
      <w:pPr>
        <w:widowControl w:val="0"/>
        <w:spacing w:before="240" w:after="0"/>
        <w:rPr>
          <w:sz w:val="22"/>
          <w:szCs w:val="22"/>
        </w:rPr>
      </w:pPr>
      <w:r>
        <w:rPr>
          <w:sz w:val="22"/>
          <w:szCs w:val="22"/>
        </w:rPr>
        <w:t xml:space="preserve">During 2013, 9,114 persons were living with HIV/AIDS in Nevada and of those 492 were also admitted to a program monitored by the Substance Abuse Prevention and Treatment Agency (SAPTA). Over 100,000 people have been enrolled in SAPTA since 2006, and of those, over 60,000 have agreed to the HIV testing offered to them when admitted to treatment in a SAPTA approved program. </w:t>
      </w:r>
    </w:p>
    <w:tbl>
      <w:tblPr>
        <w:tblStyle w:val="TableGrid"/>
        <w:tblpPr w:leftFromText="180" w:rightFromText="180" w:vertAnchor="text" w:horzAnchor="page" w:tblpX="3457" w:tblpY="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tblGrid>
      <w:tr w:rsidR="00FD002E" w:rsidTr="00FD002E">
        <w:trPr>
          <w:trHeight w:val="560"/>
        </w:trPr>
        <w:tc>
          <w:tcPr>
            <w:tcW w:w="6295" w:type="dxa"/>
          </w:tcPr>
          <w:p w:rsidR="00FD002E" w:rsidRDefault="00FD002E" w:rsidP="00FD002E">
            <w:pPr>
              <w:widowControl w:val="0"/>
              <w:spacing w:before="120"/>
              <w:rPr>
                <w:b/>
                <w:iCs/>
                <w:sz w:val="22"/>
                <w:szCs w:val="22"/>
              </w:rPr>
            </w:pPr>
            <w:r w:rsidRPr="00D64397">
              <w:rPr>
                <w:b/>
                <w:bCs/>
                <w:iCs/>
                <w:sz w:val="22"/>
                <w:szCs w:val="22"/>
              </w:rPr>
              <w:t>Table 1</w:t>
            </w:r>
            <w:r>
              <w:rPr>
                <w:b/>
                <w:bCs/>
                <w:iCs/>
                <w:sz w:val="22"/>
                <w:szCs w:val="22"/>
              </w:rPr>
              <w:t>3</w:t>
            </w:r>
            <w:r w:rsidRPr="00D64397">
              <w:rPr>
                <w:b/>
                <w:bCs/>
                <w:iCs/>
                <w:sz w:val="22"/>
                <w:szCs w:val="22"/>
              </w:rPr>
              <w:t xml:space="preserve">. </w:t>
            </w:r>
            <w:r w:rsidRPr="00D64397">
              <w:rPr>
                <w:b/>
                <w:iCs/>
                <w:sz w:val="22"/>
                <w:szCs w:val="22"/>
              </w:rPr>
              <w:t>Substance Abuse Prevention and Treatment Agency/</w:t>
            </w:r>
            <w:r>
              <w:rPr>
                <w:b/>
                <w:iCs/>
                <w:sz w:val="22"/>
                <w:szCs w:val="22"/>
              </w:rPr>
              <w:t xml:space="preserve"> </w:t>
            </w:r>
            <w:r w:rsidRPr="00D64397">
              <w:rPr>
                <w:b/>
                <w:iCs/>
                <w:sz w:val="22"/>
                <w:szCs w:val="22"/>
              </w:rPr>
              <w:t>Persons Living with HIV/AIDS in 2013 Linkage Analysis</w:t>
            </w:r>
          </w:p>
        </w:tc>
      </w:tr>
    </w:tbl>
    <w:p w:rsidR="0018310A" w:rsidRDefault="00F34263" w:rsidP="0018310A">
      <w:pPr>
        <w:spacing w:before="0" w:after="0"/>
        <w:jc w:val="both"/>
        <w:rPr>
          <w:sz w:val="22"/>
          <w:szCs w:val="22"/>
        </w:rPr>
      </w:pPr>
      <w:r>
        <w:rPr>
          <w:rFonts w:ascii="Times New Roman" w:hAnsi="Times New Roman"/>
          <w:noProof/>
        </w:rPr>
        <w:drawing>
          <wp:anchor distT="0" distB="0" distL="114300" distR="114300" simplePos="0" relativeHeight="251780096" behindDoc="0" locked="0" layoutInCell="1" allowOverlap="1" wp14:anchorId="0A03EACF" wp14:editId="5353AF49">
            <wp:simplePos x="0" y="0"/>
            <wp:positionH relativeFrom="column">
              <wp:posOffset>1272209</wp:posOffset>
            </wp:positionH>
            <wp:positionV relativeFrom="paragraph">
              <wp:posOffset>138430</wp:posOffset>
            </wp:positionV>
            <wp:extent cx="3712210" cy="593153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210" cy="593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E8">
        <w:rPr>
          <w:sz w:val="22"/>
          <w:szCs w:val="22"/>
        </w:rPr>
        <w:t xml:space="preserve"> </w:t>
      </w:r>
    </w:p>
    <w:tbl>
      <w:tblPr>
        <w:tblW w:w="5826" w:type="dxa"/>
        <w:tblInd w:w="2004" w:type="dxa"/>
        <w:tblCellMar>
          <w:left w:w="0" w:type="dxa"/>
          <w:right w:w="0" w:type="dxa"/>
        </w:tblCellMar>
        <w:tblLook w:val="04A0" w:firstRow="1" w:lastRow="0" w:firstColumn="1" w:lastColumn="0" w:noHBand="0" w:noVBand="1"/>
      </w:tblPr>
      <w:tblGrid>
        <w:gridCol w:w="5826"/>
      </w:tblGrid>
      <w:tr w:rsidR="00512FE8" w:rsidTr="00FD002E">
        <w:trPr>
          <w:trHeight w:val="258"/>
        </w:trPr>
        <w:tc>
          <w:tcPr>
            <w:tcW w:w="5826" w:type="dxa"/>
            <w:shd w:val="clear" w:color="auto" w:fill="FFFFFF"/>
            <w:tcMar>
              <w:top w:w="15" w:type="dxa"/>
              <w:left w:w="15" w:type="dxa"/>
              <w:bottom w:w="0" w:type="dxa"/>
              <w:right w:w="15" w:type="dxa"/>
            </w:tcMar>
            <w:hideMark/>
          </w:tcPr>
          <w:p w:rsidR="00512FE8" w:rsidRPr="00F34263" w:rsidRDefault="00512FE8" w:rsidP="0018310A">
            <w:pPr>
              <w:widowControl w:val="0"/>
              <w:spacing w:before="0" w:after="0"/>
              <w:rPr>
                <w:color w:val="000000"/>
                <w:kern w:val="28"/>
                <w:sz w:val="16"/>
                <w:szCs w:val="16"/>
              </w:rPr>
            </w:pPr>
            <w:r w:rsidRPr="00F34263">
              <w:rPr>
                <w:sz w:val="16"/>
                <w:szCs w:val="16"/>
              </w:rPr>
              <w:t>Source: Division of Public and Behavioral Health, HIV/AIDS Reporting System (eHARS), (Aug 2014)</w:t>
            </w:r>
          </w:p>
        </w:tc>
      </w:tr>
      <w:tr w:rsidR="00512FE8" w:rsidTr="00FD002E">
        <w:trPr>
          <w:trHeight w:val="454"/>
        </w:trPr>
        <w:tc>
          <w:tcPr>
            <w:tcW w:w="5826" w:type="dxa"/>
            <w:tcMar>
              <w:top w:w="15" w:type="dxa"/>
              <w:left w:w="15" w:type="dxa"/>
              <w:bottom w:w="0" w:type="dxa"/>
              <w:right w:w="15" w:type="dxa"/>
            </w:tcMar>
            <w:vAlign w:val="bottom"/>
            <w:hideMark/>
          </w:tcPr>
          <w:p w:rsidR="00512FE8" w:rsidRPr="00F34263" w:rsidRDefault="00512FE8" w:rsidP="00D64397">
            <w:pPr>
              <w:widowControl w:val="0"/>
              <w:spacing w:before="0" w:after="0" w:line="240" w:lineRule="auto"/>
              <w:rPr>
                <w:sz w:val="16"/>
                <w:szCs w:val="16"/>
              </w:rPr>
            </w:pPr>
            <w:r w:rsidRPr="00F34263">
              <w:rPr>
                <w:sz w:val="16"/>
                <w:szCs w:val="16"/>
              </w:rPr>
              <w:t>* SAPTA and PLWHA individuals were matched utilizing Link Plus. First name, last name, date of birth, and social security number were paired with its counterpart using probabilistic matching.</w:t>
            </w:r>
          </w:p>
        </w:tc>
      </w:tr>
    </w:tbl>
    <w:p w:rsidR="00FD002E" w:rsidRPr="00FD002E" w:rsidRDefault="00FD002E" w:rsidP="00FD002E">
      <w:pPr>
        <w:widowControl w:val="0"/>
        <w:tabs>
          <w:tab w:val="left" w:pos="220"/>
          <w:tab w:val="left" w:pos="720"/>
        </w:tabs>
        <w:autoSpaceDE w:val="0"/>
        <w:autoSpaceDN w:val="0"/>
        <w:adjustRightInd w:val="0"/>
        <w:jc w:val="both"/>
        <w:rPr>
          <w:rFonts w:cs="Calibri Light"/>
          <w:i/>
        </w:rPr>
      </w:pPr>
      <w:r w:rsidRPr="00FD002E">
        <w:rPr>
          <w:sz w:val="22"/>
          <w:szCs w:val="22"/>
        </w:rPr>
        <w:lastRenderedPageBreak/>
        <w:t>There have been 68 individuals who were tested for HIV by SAPTA at admission and who were diagnosed within one year with HIV/AIDS. Of the 68 individuals who tested positive for HIV/AIDS within one year of being reported to the state of Nevada, 17 were diagnosed within 30 days of admission and five were diagnosed the same day as the HIV test was administered as a result of admission to a substance abuse treatment program.</w:t>
      </w:r>
    </w:p>
    <w:p w:rsidR="00512FE8" w:rsidRPr="00E54C6C" w:rsidRDefault="00512FE8" w:rsidP="000D1265">
      <w:pPr>
        <w:widowControl w:val="0"/>
        <w:numPr>
          <w:ilvl w:val="0"/>
          <w:numId w:val="2"/>
        </w:numPr>
        <w:tabs>
          <w:tab w:val="left" w:pos="220"/>
          <w:tab w:val="left" w:pos="720"/>
        </w:tabs>
        <w:autoSpaceDE w:val="0"/>
        <w:autoSpaceDN w:val="0"/>
        <w:adjustRightInd w:val="0"/>
        <w:ind w:hanging="720"/>
        <w:rPr>
          <w:rFonts w:cs="Calibri Light"/>
          <w:i/>
        </w:rPr>
      </w:pPr>
      <w:r>
        <w:rPr>
          <w:rFonts w:cs="Calibri Light"/>
          <w:i/>
        </w:rPr>
        <w:t xml:space="preserve">Qualitative data (e.g., observations, interviews, discussion groups, focus groups, and analysis of social networks) </w:t>
      </w:r>
      <w:r>
        <w:rPr>
          <w:rFonts w:ascii="MS Gothic" w:eastAsia="MS Gothic" w:hAnsi="MS Gothic" w:cs="MS Gothic" w:hint="eastAsia"/>
          <w:i/>
        </w:rPr>
        <w:t> </w:t>
      </w:r>
    </w:p>
    <w:p w:rsidR="00E54C6C" w:rsidRPr="005424CC" w:rsidRDefault="00E54C6C" w:rsidP="00F103A5">
      <w:pPr>
        <w:pStyle w:val="Heading5"/>
      </w:pPr>
      <w:r>
        <w:t>HIV Community Survey Respondent Risk Behaviors</w:t>
      </w:r>
    </w:p>
    <w:p w:rsidR="005424CC" w:rsidRDefault="005424CC" w:rsidP="005424CC">
      <w:pPr>
        <w:spacing w:after="0"/>
        <w:jc w:val="both"/>
        <w:rPr>
          <w:sz w:val="22"/>
          <w:szCs w:val="22"/>
        </w:rPr>
      </w:pPr>
      <w:r w:rsidRPr="005424CC">
        <w:rPr>
          <w:sz w:val="22"/>
          <w:szCs w:val="22"/>
        </w:rPr>
        <w:t>The HIV Community Survey was collected from 1687 respondents around Nevada from April 2015 to March 2016. The survey collected information regarding HIV risks, barriers to prevention</w:t>
      </w:r>
      <w:r w:rsidR="00C039A0">
        <w:rPr>
          <w:sz w:val="22"/>
          <w:szCs w:val="22"/>
        </w:rPr>
        <w:t>,</w:t>
      </w:r>
      <w:r w:rsidRPr="005424CC">
        <w:rPr>
          <w:sz w:val="22"/>
          <w:szCs w:val="22"/>
        </w:rPr>
        <w:t xml:space="preserve"> and community needs. </w:t>
      </w:r>
      <w:r w:rsidR="00E54C6C">
        <w:rPr>
          <w:sz w:val="22"/>
          <w:szCs w:val="22"/>
        </w:rPr>
        <w:t xml:space="preserve">Of community survey respondents who reported having more than one sexual partner in the past year (N=751), 28% reported having unprotected anal sex; and 66% reported having unprotected vaginal sex (Figure </w:t>
      </w:r>
      <w:r w:rsidR="00D64397">
        <w:rPr>
          <w:sz w:val="22"/>
          <w:szCs w:val="22"/>
        </w:rPr>
        <w:t>17</w:t>
      </w:r>
      <w:r w:rsidR="00E54C6C">
        <w:rPr>
          <w:sz w:val="22"/>
          <w:szCs w:val="22"/>
        </w:rPr>
        <w:t xml:space="preserve">). </w:t>
      </w:r>
    </w:p>
    <w:p w:rsidR="005424CC" w:rsidRPr="005424CC" w:rsidRDefault="005424CC" w:rsidP="005424CC">
      <w:pPr>
        <w:spacing w:after="0"/>
        <w:jc w:val="both"/>
        <w:rPr>
          <w:sz w:val="22"/>
          <w:szCs w:val="22"/>
        </w:rPr>
      </w:pPr>
      <w:r w:rsidRPr="00D40432">
        <w:rPr>
          <w:noProof/>
          <w:sz w:val="24"/>
          <w:szCs w:val="24"/>
        </w:rPr>
        <w:drawing>
          <wp:inline distT="0" distB="0" distL="0" distR="0" wp14:anchorId="4C78642D" wp14:editId="41A7F853">
            <wp:extent cx="5935980" cy="2138901"/>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24CC" w:rsidRDefault="00E54C6C" w:rsidP="00E54C6C">
      <w:pPr>
        <w:widowControl w:val="0"/>
        <w:tabs>
          <w:tab w:val="left" w:pos="220"/>
          <w:tab w:val="left" w:pos="720"/>
        </w:tabs>
        <w:autoSpaceDE w:val="0"/>
        <w:autoSpaceDN w:val="0"/>
        <w:adjustRightInd w:val="0"/>
        <w:jc w:val="both"/>
        <w:rPr>
          <w:rFonts w:cs="Calibri Light"/>
          <w:sz w:val="22"/>
        </w:rPr>
      </w:pPr>
      <w:r w:rsidRPr="00E54C6C">
        <w:rPr>
          <w:rFonts w:cs="Calibri Light"/>
          <w:sz w:val="22"/>
        </w:rPr>
        <w:t xml:space="preserve">Condom use varied among types of community survey respondents. </w:t>
      </w:r>
      <w:r>
        <w:rPr>
          <w:rFonts w:cs="Calibri Light"/>
          <w:sz w:val="22"/>
        </w:rPr>
        <w:t xml:space="preserve">Overall, 44% of respondents reported that they seldom or never use condoms. Of transgender male to female individuals (N=13), 78% reported seldom or never using condoms. Of intravenous drug users (IDU; N=90), 58% reported seldom or never using condoms. Of those who had more than one sexual partner in the past 12 months, 27% reported seldom or never using condoms. </w:t>
      </w:r>
    </w:p>
    <w:p w:rsidR="00E54C6C" w:rsidRDefault="009B42CB" w:rsidP="00E54C6C">
      <w:pPr>
        <w:widowControl w:val="0"/>
        <w:tabs>
          <w:tab w:val="left" w:pos="220"/>
          <w:tab w:val="left" w:pos="720"/>
        </w:tabs>
        <w:autoSpaceDE w:val="0"/>
        <w:autoSpaceDN w:val="0"/>
        <w:adjustRightInd w:val="0"/>
        <w:jc w:val="both"/>
        <w:rPr>
          <w:sz w:val="22"/>
          <w:szCs w:val="22"/>
        </w:rPr>
      </w:pPr>
      <w:r w:rsidRPr="009B42CB">
        <w:rPr>
          <w:noProof/>
          <w:sz w:val="22"/>
          <w:szCs w:val="22"/>
        </w:rPr>
        <mc:AlternateContent>
          <mc:Choice Requires="wps">
            <w:drawing>
              <wp:anchor distT="91440" distB="91440" distL="114300" distR="114300" simplePos="0" relativeHeight="251793408" behindDoc="0" locked="0" layoutInCell="1" allowOverlap="1" wp14:anchorId="247CE412" wp14:editId="66463D9C">
                <wp:simplePos x="0" y="0"/>
                <wp:positionH relativeFrom="page">
                  <wp:posOffset>1407160</wp:posOffset>
                </wp:positionH>
                <wp:positionV relativeFrom="paragraph">
                  <wp:posOffset>898525</wp:posOffset>
                </wp:positionV>
                <wp:extent cx="4961255" cy="80645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806450"/>
                        </a:xfrm>
                        <a:prstGeom prst="rect">
                          <a:avLst/>
                        </a:prstGeom>
                        <a:noFill/>
                        <a:ln w="9525">
                          <a:noFill/>
                          <a:miter lim="800000"/>
                          <a:headEnd/>
                          <a:tailEnd/>
                        </a:ln>
                      </wps:spPr>
                      <wps:txbx>
                        <w:txbxContent>
                          <w:p w:rsidR="002E77F2" w:rsidRDefault="002E77F2" w:rsidP="009B42CB">
                            <w:pPr>
                              <w:pBdr>
                                <w:top w:val="single" w:sz="24" w:space="8" w:color="4F81BD" w:themeColor="accent1"/>
                                <w:bottom w:val="single" w:sz="24" w:space="8" w:color="4F81BD" w:themeColor="accent1"/>
                              </w:pBdr>
                              <w:spacing w:before="0" w:after="0"/>
                              <w:jc w:val="center"/>
                              <w:rPr>
                                <w:i/>
                                <w:iCs/>
                                <w:color w:val="4F81BD" w:themeColor="accent1"/>
                                <w:sz w:val="24"/>
                                <w:szCs w:val="24"/>
                              </w:rPr>
                            </w:pPr>
                            <w:r>
                              <w:rPr>
                                <w:i/>
                                <w:iCs/>
                                <w:color w:val="4F81BD" w:themeColor="accent1"/>
                                <w:sz w:val="24"/>
                                <w:szCs w:val="24"/>
                              </w:rPr>
                              <w:t>58% of IDU reported seldom/never using condoms</w:t>
                            </w:r>
                          </w:p>
                          <w:p w:rsidR="002E77F2" w:rsidRDefault="002E77F2" w:rsidP="009B42CB">
                            <w:pPr>
                              <w:pBdr>
                                <w:top w:val="single" w:sz="24" w:space="8" w:color="4F81BD" w:themeColor="accent1"/>
                                <w:bottom w:val="single" w:sz="24" w:space="8" w:color="4F81BD" w:themeColor="accent1"/>
                              </w:pBdr>
                              <w:spacing w:before="0" w:after="0"/>
                              <w:jc w:val="center"/>
                              <w:rPr>
                                <w:i/>
                                <w:iCs/>
                                <w:color w:val="4F81BD" w:themeColor="accent1"/>
                                <w:sz w:val="24"/>
                              </w:rPr>
                            </w:pPr>
                            <w:r>
                              <w:rPr>
                                <w:i/>
                                <w:iCs/>
                                <w:color w:val="4F81BD" w:themeColor="accent1"/>
                                <w:sz w:val="24"/>
                              </w:rPr>
                              <w:t>51% of IDU had shared needles/works without bleaching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7CE412" id="_x0000_s1032" type="#_x0000_t202" style="position:absolute;left:0;text-align:left;margin-left:110.8pt;margin-top:70.75pt;width:390.65pt;height:63.5pt;z-index:251793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iqDwIAAPsDAAAOAAAAZHJzL2Uyb0RvYy54bWysU9tu2zAMfR+wfxD0vjjxkqwx4hRduw4D&#10;ugvQ7gMYWY6FSaImKbG7ry8lJ1mwvQ3TgyCK4iHPIbW+HoxmB+mDQlvz2WTKmbQCG2V3Nf/+dP/m&#10;irMQwTag0cqaP8vArzevX617V8kSO9SN9IxAbKh6V/MuRlcVRRCdNBAm6KQlZ4veQCTT74rGQ0/o&#10;RhfldLosevSN8yhkCHR7Nzr5JuO3rRTxa9sGGZmuOdUW8+7zvk17sVlDtfPgOiWOZcA/VGFAWUp6&#10;hrqDCGzv1V9QRgmPAds4EWgKbFslZOZAbGbTP9g8duBk5kLiBHeWKfw/WPHl8M0z1dS8fLvizIKh&#10;Jj3JIbL3OLAy6dO7UNGzR0cP40DX1OfMNbgHFD8Cs3jbgd3JG++x7yQ0VN8sRRYXoSNOSCDb/jM2&#10;lAb2ETPQ0HqTxCM5GKFTn57PvUmlCLqcr5azcrHgTJDvarqcL3LzCqhO0c6H+FGiYelQc0+9z+hw&#10;eAgxVQPV6UlKZvFeaZ37ry3ra75alIsccOExKtJ4amVSzrTGgUkkP9gmB0dQejxTAm2PrBPRkXIc&#10;tkMWeHkSc4vNM8ngcZxG+j106ND/4qynSax5+LkHLznTnyxJuZrN52l0szFfvCvJ8Jee7aUHrCCo&#10;mkfOxuNtzOM+Ur4hyVuV1Ui9GSs5lkwTlkU6/oY0wpd2fvX7z25eAAAA//8DAFBLAwQUAAYACAAA&#10;ACEA/BHngt4AAAAMAQAADwAAAGRycy9kb3ducmV2LnhtbEyPwU7DMBBE70j8g7VI3KidqInaNE6F&#10;QFxBtIDEzY23SdR4HcVuE/6e7QmOqzeaeVtuZ9eLC46h86QhWSgQSLW3HTUaPvYvDysQIRqypveE&#10;Gn4wwLa6vSlNYf1E73jZxUZwCYXCaGhjHAopQ92iM2HhByRmRz86E/kcG2lHM3G562WqVC6d6YgX&#10;WjPgU4v1aXd2Gj5fj99fS/XWPLtsmPysJLm11Pr+bn7cgIg4x78wXPVZHSp2Ovgz2SB6DWma5Bxl&#10;sEwyENeEUukaxIFZvspAVqX8/0T1CwAA//8DAFBLAQItABQABgAIAAAAIQC2gziS/gAAAOEBAAAT&#10;AAAAAAAAAAAAAAAAAAAAAABbQ29udGVudF9UeXBlc10ueG1sUEsBAi0AFAAGAAgAAAAhADj9If/W&#10;AAAAlAEAAAsAAAAAAAAAAAAAAAAALwEAAF9yZWxzLy5yZWxzUEsBAi0AFAAGAAgAAAAhAEajeKoP&#10;AgAA+wMAAA4AAAAAAAAAAAAAAAAALgIAAGRycy9lMm9Eb2MueG1sUEsBAi0AFAAGAAgAAAAhAPwR&#10;54LeAAAADAEAAA8AAAAAAAAAAAAAAAAAaQQAAGRycy9kb3ducmV2LnhtbFBLBQYAAAAABAAEAPMA&#10;AAB0BQAAAAA=&#10;" filled="f" stroked="f">
                <v:textbox>
                  <w:txbxContent>
                    <w:p w:rsidR="002E77F2" w:rsidRDefault="002E77F2" w:rsidP="009B42CB">
                      <w:pPr>
                        <w:pBdr>
                          <w:top w:val="single" w:sz="24" w:space="8" w:color="4F81BD" w:themeColor="accent1"/>
                          <w:bottom w:val="single" w:sz="24" w:space="8" w:color="4F81BD" w:themeColor="accent1"/>
                        </w:pBdr>
                        <w:spacing w:before="0" w:after="0"/>
                        <w:jc w:val="center"/>
                        <w:rPr>
                          <w:i/>
                          <w:iCs/>
                          <w:color w:val="4F81BD" w:themeColor="accent1"/>
                          <w:sz w:val="24"/>
                          <w:szCs w:val="24"/>
                        </w:rPr>
                      </w:pPr>
                      <w:r>
                        <w:rPr>
                          <w:i/>
                          <w:iCs/>
                          <w:color w:val="4F81BD" w:themeColor="accent1"/>
                          <w:sz w:val="24"/>
                          <w:szCs w:val="24"/>
                        </w:rPr>
                        <w:t>58% of IDU reported seldom/never using condoms</w:t>
                      </w:r>
                    </w:p>
                    <w:p w:rsidR="002E77F2" w:rsidRDefault="002E77F2" w:rsidP="009B42CB">
                      <w:pPr>
                        <w:pBdr>
                          <w:top w:val="single" w:sz="24" w:space="8" w:color="4F81BD" w:themeColor="accent1"/>
                          <w:bottom w:val="single" w:sz="24" w:space="8" w:color="4F81BD" w:themeColor="accent1"/>
                        </w:pBdr>
                        <w:spacing w:before="0" w:after="0"/>
                        <w:jc w:val="center"/>
                        <w:rPr>
                          <w:i/>
                          <w:iCs/>
                          <w:color w:val="4F81BD" w:themeColor="accent1"/>
                          <w:sz w:val="24"/>
                        </w:rPr>
                      </w:pPr>
                      <w:r>
                        <w:rPr>
                          <w:i/>
                          <w:iCs/>
                          <w:color w:val="4F81BD" w:themeColor="accent1"/>
                          <w:sz w:val="24"/>
                        </w:rPr>
                        <w:t>51% of IDU had shared needles/works without bleaching</w:t>
                      </w:r>
                    </w:p>
                  </w:txbxContent>
                </v:textbox>
                <w10:wrap type="square" anchorx="page"/>
              </v:shape>
            </w:pict>
          </mc:Fallback>
        </mc:AlternateContent>
      </w:r>
      <w:r w:rsidR="00E54C6C" w:rsidRPr="00E54C6C">
        <w:rPr>
          <w:rFonts w:cs="Calibri Light"/>
          <w:sz w:val="22"/>
          <w:szCs w:val="22"/>
        </w:rPr>
        <w:t xml:space="preserve">Six percent of the respondents (N=90) reported injecting drugs in the past 12 months. Of the IDU respondents, 51% </w:t>
      </w:r>
      <w:r w:rsidR="00E54C6C" w:rsidRPr="00E54C6C">
        <w:rPr>
          <w:sz w:val="22"/>
          <w:szCs w:val="22"/>
        </w:rPr>
        <w:t xml:space="preserve">had shared needles/works without bleaching; 40% had shared needles for tattoos/piercing with someone who </w:t>
      </w:r>
      <w:r>
        <w:rPr>
          <w:sz w:val="22"/>
          <w:szCs w:val="22"/>
        </w:rPr>
        <w:t>they</w:t>
      </w:r>
      <w:r w:rsidR="00E54C6C" w:rsidRPr="00E54C6C">
        <w:rPr>
          <w:sz w:val="22"/>
          <w:szCs w:val="22"/>
        </w:rPr>
        <w:t xml:space="preserve"> believe uses drugs; and 27% had shared a cooker, cotton or rinse water. </w:t>
      </w:r>
    </w:p>
    <w:p w:rsidR="00FD002E" w:rsidRDefault="00FD002E" w:rsidP="00E54C6C">
      <w:pPr>
        <w:widowControl w:val="0"/>
        <w:tabs>
          <w:tab w:val="left" w:pos="220"/>
          <w:tab w:val="left" w:pos="720"/>
        </w:tabs>
        <w:autoSpaceDE w:val="0"/>
        <w:autoSpaceDN w:val="0"/>
        <w:adjustRightInd w:val="0"/>
        <w:jc w:val="both"/>
        <w:rPr>
          <w:sz w:val="22"/>
          <w:szCs w:val="22"/>
        </w:rPr>
      </w:pPr>
    </w:p>
    <w:p w:rsidR="00FD002E" w:rsidRPr="00E54C6C" w:rsidRDefault="00FD002E" w:rsidP="00E54C6C">
      <w:pPr>
        <w:widowControl w:val="0"/>
        <w:tabs>
          <w:tab w:val="left" w:pos="220"/>
          <w:tab w:val="left" w:pos="720"/>
        </w:tabs>
        <w:autoSpaceDE w:val="0"/>
        <w:autoSpaceDN w:val="0"/>
        <w:adjustRightInd w:val="0"/>
        <w:jc w:val="both"/>
        <w:rPr>
          <w:rFonts w:cs="Calibri Light"/>
          <w:sz w:val="22"/>
          <w:szCs w:val="22"/>
        </w:rPr>
      </w:pPr>
    </w:p>
    <w:p w:rsidR="00512FE8" w:rsidRDefault="00512FE8" w:rsidP="00972193">
      <w:pPr>
        <w:pStyle w:val="Heading2"/>
      </w:pPr>
      <w:bookmarkStart w:id="34" w:name="_Toc461188577"/>
      <w:r>
        <w:lastRenderedPageBreak/>
        <w:t>B. HIV Care Continuum</w:t>
      </w:r>
      <w:bookmarkEnd w:id="34"/>
      <w:r>
        <w:t xml:space="preserve"> </w:t>
      </w:r>
    </w:p>
    <w:p w:rsidR="00512FE8" w:rsidRPr="006A5AA4" w:rsidRDefault="00512FE8" w:rsidP="00697880">
      <w:pPr>
        <w:widowControl w:val="0"/>
        <w:autoSpaceDE w:val="0"/>
        <w:autoSpaceDN w:val="0"/>
        <w:adjustRightInd w:val="0"/>
        <w:spacing w:before="120" w:after="0" w:line="240" w:lineRule="auto"/>
        <w:ind w:left="720" w:hanging="720"/>
        <w:rPr>
          <w:rFonts w:cs="Calibri Light"/>
          <w:i/>
          <w:sz w:val="22"/>
          <w:szCs w:val="22"/>
        </w:rPr>
      </w:pPr>
      <w:r w:rsidRPr="006A5AA4">
        <w:rPr>
          <w:rFonts w:cs="Calibri Light"/>
          <w:i/>
          <w:sz w:val="22"/>
          <w:szCs w:val="22"/>
        </w:rPr>
        <w:t xml:space="preserve">a. </w:t>
      </w:r>
      <w:r w:rsidRPr="006A5AA4">
        <w:rPr>
          <w:rFonts w:cs="Calibri Light"/>
          <w:i/>
          <w:sz w:val="22"/>
          <w:szCs w:val="22"/>
        </w:rPr>
        <w:tab/>
        <w:t xml:space="preserve">Provide a graphic depiction and a descriptive narrative of the HIV Care Continuum of the jurisdiction using the most current calendar year data. The definitions of the numerator and the denominator must be clearly stated for each step. In addition to developing the HIV Care Continuum, include a discussion on the acquisition of data needed to develop it in the “Data: Use, Access, and Systems” section. </w:t>
      </w:r>
    </w:p>
    <w:p w:rsidR="00512FE8" w:rsidRPr="006A5AA4" w:rsidRDefault="00512FE8" w:rsidP="00697880">
      <w:pPr>
        <w:widowControl w:val="0"/>
        <w:autoSpaceDE w:val="0"/>
        <w:autoSpaceDN w:val="0"/>
        <w:adjustRightInd w:val="0"/>
        <w:spacing w:before="0" w:after="0" w:line="240" w:lineRule="auto"/>
        <w:ind w:left="720"/>
        <w:rPr>
          <w:rFonts w:cs="Calibri Light"/>
          <w:i/>
          <w:sz w:val="22"/>
          <w:szCs w:val="22"/>
        </w:rPr>
      </w:pPr>
      <w:r w:rsidRPr="006A5AA4">
        <w:rPr>
          <w:rFonts w:cs="Calibri Light"/>
          <w:i/>
          <w:sz w:val="22"/>
          <w:szCs w:val="22"/>
        </w:rPr>
        <w:t xml:space="preserve">The steps of the </w:t>
      </w:r>
      <w:r w:rsidRPr="006A5AA4">
        <w:rPr>
          <w:rFonts w:cs="Calibri Light"/>
          <w:i/>
          <w:iCs/>
          <w:sz w:val="22"/>
          <w:szCs w:val="22"/>
        </w:rPr>
        <w:t xml:space="preserve">diagnosed-based </w:t>
      </w:r>
      <w:r w:rsidRPr="006A5AA4">
        <w:rPr>
          <w:rFonts w:cs="Calibri Light"/>
          <w:i/>
          <w:sz w:val="22"/>
          <w:szCs w:val="22"/>
        </w:rPr>
        <w:t xml:space="preserve">HIV Care Continuum using the HHS indicators are described below. If any updates are made to the HHS indicators or in the NHAS indicators that would impact the descriptions below, jurisdictions should use the most up- to-date indicator language. If using the </w:t>
      </w:r>
      <w:r w:rsidRPr="006A5AA4">
        <w:rPr>
          <w:rFonts w:cs="Calibri Light"/>
          <w:i/>
          <w:iCs/>
          <w:sz w:val="22"/>
          <w:szCs w:val="22"/>
        </w:rPr>
        <w:t xml:space="preserve">prevalence-based </w:t>
      </w:r>
      <w:r w:rsidRPr="006A5AA4">
        <w:rPr>
          <w:rFonts w:cs="Calibri Light"/>
          <w:i/>
          <w:sz w:val="22"/>
          <w:szCs w:val="22"/>
        </w:rPr>
        <w:t xml:space="preserve">approach, your continuum will have an additional first step that includes the undiagnosed HIV infected individuals in the jurisdiction and a different denominator for the other steps. </w:t>
      </w:r>
    </w:p>
    <w:p w:rsidR="00512FE8" w:rsidRPr="006A5AA4" w:rsidRDefault="00512FE8" w:rsidP="003317C9">
      <w:pPr>
        <w:widowControl w:val="0"/>
        <w:numPr>
          <w:ilvl w:val="0"/>
          <w:numId w:val="3"/>
        </w:numPr>
        <w:tabs>
          <w:tab w:val="left" w:pos="220"/>
          <w:tab w:val="left" w:pos="720"/>
        </w:tabs>
        <w:autoSpaceDE w:val="0"/>
        <w:autoSpaceDN w:val="0"/>
        <w:adjustRightInd w:val="0"/>
        <w:spacing w:before="0" w:after="0" w:line="240" w:lineRule="auto"/>
        <w:rPr>
          <w:rFonts w:cs="Calibri Light"/>
          <w:i/>
          <w:sz w:val="22"/>
          <w:szCs w:val="22"/>
        </w:rPr>
      </w:pPr>
      <w:r w:rsidRPr="006A5AA4">
        <w:rPr>
          <w:rFonts w:cs="Calibri Light"/>
          <w:b/>
          <w:bCs/>
          <w:i/>
          <w:sz w:val="22"/>
          <w:szCs w:val="22"/>
        </w:rPr>
        <w:t>HIV-Diagnosed</w:t>
      </w:r>
      <w:r w:rsidRPr="006A5AA4">
        <w:rPr>
          <w:rFonts w:cs="Calibri Light"/>
          <w:i/>
          <w:sz w:val="22"/>
          <w:szCs w:val="22"/>
        </w:rPr>
        <w:t xml:space="preserve">: Diagnosed HIV prevalence in a jurisdiction; the known/reported cases of HIV infection, regardless of AIDS (stage 3 HIV infection) status; this number does not include the number of persons undiagnosed, and only includes the cumulative number of persons reported to the surveillance system through the end of a given year, minus the cumulative number of persons who were reported as having died. </w:t>
      </w:r>
      <w:r w:rsidRPr="006A5AA4">
        <w:rPr>
          <w:rFonts w:ascii="MS Gothic" w:eastAsia="MS Gothic" w:hAnsi="MS Gothic" w:cs="MS Gothic" w:hint="eastAsia"/>
          <w:i/>
          <w:sz w:val="22"/>
          <w:szCs w:val="22"/>
        </w:rPr>
        <w:t> </w:t>
      </w:r>
    </w:p>
    <w:p w:rsidR="00512FE8" w:rsidRPr="006A5AA4" w:rsidRDefault="00512FE8" w:rsidP="003317C9">
      <w:pPr>
        <w:widowControl w:val="0"/>
        <w:numPr>
          <w:ilvl w:val="1"/>
          <w:numId w:val="1"/>
        </w:numPr>
        <w:tabs>
          <w:tab w:val="left" w:pos="220"/>
          <w:tab w:val="left" w:pos="720"/>
        </w:tabs>
        <w:autoSpaceDE w:val="0"/>
        <w:autoSpaceDN w:val="0"/>
        <w:adjustRightInd w:val="0"/>
        <w:spacing w:before="0" w:after="0" w:line="240" w:lineRule="auto"/>
        <w:rPr>
          <w:rFonts w:cs="Calibri Light"/>
          <w:i/>
          <w:sz w:val="22"/>
          <w:szCs w:val="22"/>
        </w:rPr>
      </w:pPr>
      <w:r w:rsidRPr="006A5AA4">
        <w:rPr>
          <w:rFonts w:cs="Calibri Light"/>
          <w:b/>
          <w:bCs/>
          <w:i/>
          <w:sz w:val="22"/>
          <w:szCs w:val="22"/>
        </w:rPr>
        <w:t>Linkage to Care</w:t>
      </w:r>
      <w:r w:rsidRPr="006A5AA4">
        <w:rPr>
          <w:rFonts w:cs="Calibri Light"/>
          <w:i/>
          <w:sz w:val="22"/>
          <w:szCs w:val="22"/>
        </w:rPr>
        <w:t xml:space="preserve">: </w:t>
      </w:r>
      <w:r w:rsidRPr="006A5AA4">
        <w:rPr>
          <w:rFonts w:cs="Calibri Light"/>
          <w:i/>
          <w:color w:val="1A1718"/>
          <w:sz w:val="22"/>
          <w:szCs w:val="22"/>
        </w:rPr>
        <w:t xml:space="preserve">The percentage of people diagnosed with HIV in a given calendar year that had one or more documented medical visits, viral load or CD4 tests within 3 months after diagnosis; this measure has a different denominator than all other measures in the continuum. The denominator is the number diagnosed with HIV infection (regardless of AIDS status) in a given calendar year. </w:t>
      </w:r>
      <w:r w:rsidRPr="006A5AA4">
        <w:rPr>
          <w:rFonts w:ascii="MS Gothic" w:eastAsia="MS Gothic" w:hAnsi="MS Gothic" w:cs="MS Gothic" w:hint="eastAsia"/>
          <w:i/>
          <w:sz w:val="22"/>
          <w:szCs w:val="22"/>
        </w:rPr>
        <w:t> </w:t>
      </w:r>
    </w:p>
    <w:p w:rsidR="00512FE8" w:rsidRPr="006A5AA4" w:rsidRDefault="00512FE8" w:rsidP="003317C9">
      <w:pPr>
        <w:widowControl w:val="0"/>
        <w:numPr>
          <w:ilvl w:val="1"/>
          <w:numId w:val="1"/>
        </w:numPr>
        <w:tabs>
          <w:tab w:val="left" w:pos="220"/>
          <w:tab w:val="left" w:pos="720"/>
        </w:tabs>
        <w:autoSpaceDE w:val="0"/>
        <w:autoSpaceDN w:val="0"/>
        <w:adjustRightInd w:val="0"/>
        <w:spacing w:before="0" w:after="0" w:line="240" w:lineRule="auto"/>
        <w:rPr>
          <w:rFonts w:cs="Calibri Light"/>
          <w:i/>
          <w:color w:val="1A1718"/>
          <w:sz w:val="22"/>
          <w:szCs w:val="22"/>
        </w:rPr>
      </w:pPr>
      <w:r w:rsidRPr="006A5AA4">
        <w:rPr>
          <w:rFonts w:cs="Calibri Light"/>
          <w:b/>
          <w:bCs/>
          <w:i/>
          <w:color w:val="1A1718"/>
          <w:sz w:val="22"/>
          <w:szCs w:val="22"/>
        </w:rPr>
        <w:t>Retained in Care</w:t>
      </w:r>
      <w:r w:rsidRPr="006A5AA4">
        <w:rPr>
          <w:rFonts w:cs="Calibri Light"/>
          <w:i/>
          <w:color w:val="1A1718"/>
          <w:sz w:val="22"/>
          <w:szCs w:val="22"/>
        </w:rPr>
        <w:t xml:space="preserve">: The percentage of diagnosed individuals who had two or more documented medical visits, viral load or CD4 tests, performed at least 3 months apart in the observed year. </w:t>
      </w:r>
      <w:r w:rsidRPr="006A5AA4">
        <w:rPr>
          <w:rFonts w:ascii="MS Gothic" w:eastAsia="MS Gothic" w:hAnsi="MS Gothic" w:cs="MS Gothic" w:hint="eastAsia"/>
          <w:i/>
          <w:color w:val="1A1718"/>
          <w:sz w:val="22"/>
          <w:szCs w:val="22"/>
        </w:rPr>
        <w:t> </w:t>
      </w:r>
    </w:p>
    <w:p w:rsidR="00512FE8" w:rsidRPr="006A5AA4" w:rsidRDefault="00512FE8" w:rsidP="003317C9">
      <w:pPr>
        <w:widowControl w:val="0"/>
        <w:numPr>
          <w:ilvl w:val="1"/>
          <w:numId w:val="1"/>
        </w:numPr>
        <w:tabs>
          <w:tab w:val="left" w:pos="220"/>
          <w:tab w:val="left" w:pos="720"/>
        </w:tabs>
        <w:autoSpaceDE w:val="0"/>
        <w:autoSpaceDN w:val="0"/>
        <w:adjustRightInd w:val="0"/>
        <w:spacing w:before="0" w:after="0" w:line="240" w:lineRule="auto"/>
        <w:rPr>
          <w:rFonts w:cs="Calibri Light"/>
          <w:i/>
          <w:color w:val="1A1718"/>
          <w:sz w:val="22"/>
          <w:szCs w:val="22"/>
        </w:rPr>
      </w:pPr>
      <w:r w:rsidRPr="006A5AA4">
        <w:rPr>
          <w:rFonts w:cs="Calibri Light"/>
          <w:b/>
          <w:bCs/>
          <w:i/>
          <w:color w:val="1A1718"/>
          <w:sz w:val="22"/>
          <w:szCs w:val="22"/>
        </w:rPr>
        <w:t>Antiretroviral Use</w:t>
      </w:r>
      <w:r w:rsidRPr="006A5AA4">
        <w:rPr>
          <w:rFonts w:cs="Calibri Light"/>
          <w:i/>
          <w:color w:val="1A1718"/>
          <w:sz w:val="22"/>
          <w:szCs w:val="22"/>
        </w:rPr>
        <w:t xml:space="preserve">: The number of people receiving medical care and who have a documented antiretroviral therapy prescription in their medical records in the measurement year, (if available). </w:t>
      </w:r>
      <w:r w:rsidRPr="006A5AA4">
        <w:rPr>
          <w:rFonts w:ascii="MS Gothic" w:eastAsia="MS Gothic" w:hAnsi="MS Gothic" w:cs="MS Gothic" w:hint="eastAsia"/>
          <w:i/>
          <w:color w:val="1A1718"/>
          <w:sz w:val="22"/>
          <w:szCs w:val="22"/>
        </w:rPr>
        <w:t> </w:t>
      </w:r>
    </w:p>
    <w:p w:rsidR="00512FE8" w:rsidRPr="006A5AA4" w:rsidRDefault="00512FE8" w:rsidP="003317C9">
      <w:pPr>
        <w:widowControl w:val="0"/>
        <w:numPr>
          <w:ilvl w:val="1"/>
          <w:numId w:val="1"/>
        </w:numPr>
        <w:tabs>
          <w:tab w:val="left" w:pos="220"/>
          <w:tab w:val="left" w:pos="720"/>
        </w:tabs>
        <w:autoSpaceDE w:val="0"/>
        <w:autoSpaceDN w:val="0"/>
        <w:adjustRightInd w:val="0"/>
        <w:spacing w:before="0" w:after="0" w:line="240" w:lineRule="auto"/>
        <w:rPr>
          <w:rFonts w:cs="Calibri Light"/>
          <w:i/>
          <w:color w:val="1A1718"/>
          <w:sz w:val="22"/>
          <w:szCs w:val="22"/>
        </w:rPr>
      </w:pPr>
      <w:r w:rsidRPr="006A5AA4">
        <w:rPr>
          <w:rFonts w:cs="Calibri Light"/>
          <w:b/>
          <w:bCs/>
          <w:i/>
          <w:color w:val="1A1718"/>
          <w:sz w:val="22"/>
          <w:szCs w:val="22"/>
        </w:rPr>
        <w:t>Viral Load Suppression</w:t>
      </w:r>
      <w:r w:rsidRPr="006A5AA4">
        <w:rPr>
          <w:rFonts w:cs="Calibri Light"/>
          <w:i/>
          <w:color w:val="1A1718"/>
          <w:sz w:val="22"/>
          <w:szCs w:val="22"/>
        </w:rPr>
        <w:t xml:space="preserve">: The percentage of individuals whose most recent HIV viral load within the measurement year was less than 200 copies/mL. </w:t>
      </w:r>
      <w:r w:rsidRPr="006A5AA4">
        <w:rPr>
          <w:rFonts w:ascii="MS Gothic" w:eastAsia="MS Gothic" w:hAnsi="MS Gothic" w:cs="MS Gothic" w:hint="eastAsia"/>
          <w:i/>
          <w:color w:val="1A1718"/>
          <w:sz w:val="22"/>
          <w:szCs w:val="22"/>
        </w:rPr>
        <w:t> </w:t>
      </w:r>
    </w:p>
    <w:p w:rsidR="003C4C6E" w:rsidRPr="002C1193" w:rsidRDefault="003C4C6E" w:rsidP="003C4C6E">
      <w:pPr>
        <w:widowControl w:val="0"/>
        <w:tabs>
          <w:tab w:val="left" w:pos="220"/>
          <w:tab w:val="left" w:pos="720"/>
        </w:tabs>
        <w:autoSpaceDE w:val="0"/>
        <w:autoSpaceDN w:val="0"/>
        <w:adjustRightInd w:val="0"/>
        <w:jc w:val="both"/>
        <w:rPr>
          <w:sz w:val="22"/>
          <w:szCs w:val="22"/>
          <w:u w:val="single"/>
          <w:vertAlign w:val="superscript"/>
        </w:rPr>
      </w:pPr>
      <w:r w:rsidRPr="00972193">
        <w:rPr>
          <w:rFonts w:cs="Calibri Light"/>
          <w:bCs/>
          <w:sz w:val="22"/>
          <w:szCs w:val="22"/>
        </w:rPr>
        <w:t xml:space="preserve">Nevada </w:t>
      </w:r>
      <w:r>
        <w:rPr>
          <w:rFonts w:cs="Calibri Light"/>
          <w:bCs/>
          <w:sz w:val="22"/>
          <w:szCs w:val="22"/>
        </w:rPr>
        <w:t xml:space="preserve">has </w:t>
      </w:r>
      <w:r w:rsidRPr="00972193">
        <w:rPr>
          <w:rFonts w:cs="Calibri Light"/>
          <w:bCs/>
          <w:sz w:val="22"/>
          <w:szCs w:val="22"/>
        </w:rPr>
        <w:t xml:space="preserve">elected to use the </w:t>
      </w:r>
      <w:r>
        <w:rPr>
          <w:rFonts w:cs="Calibri Light"/>
          <w:i/>
          <w:iCs/>
          <w:sz w:val="22"/>
          <w:szCs w:val="22"/>
        </w:rPr>
        <w:t xml:space="preserve">diagnosed-based </w:t>
      </w:r>
      <w:r>
        <w:rPr>
          <w:rFonts w:cs="Calibri Light"/>
          <w:sz w:val="22"/>
          <w:szCs w:val="22"/>
        </w:rPr>
        <w:t xml:space="preserve">HIV Care Continuum (Figure </w:t>
      </w:r>
      <w:r w:rsidR="00D64397">
        <w:rPr>
          <w:rFonts w:cs="Calibri Light"/>
          <w:sz w:val="22"/>
          <w:szCs w:val="22"/>
        </w:rPr>
        <w:t>18</w:t>
      </w:r>
      <w:r>
        <w:rPr>
          <w:rFonts w:cs="Calibri Light"/>
          <w:sz w:val="22"/>
          <w:szCs w:val="22"/>
        </w:rPr>
        <w:t>). HIV-Diagnosed is defined as the known/reported cases of HIV infection, regardless of AIDS (stage 3 HIV infection) status. This number does not include the number of persons undiagnosed, and only includes the cumulative number of persons reported to the surveillance system through the end of a given year, minus the cumulative number of persons who were reported as having died. Retained in Care refers to the percentage of diagnosed individuals who had two or more</w:t>
      </w:r>
      <w:r>
        <w:rPr>
          <w:rFonts w:cs="Calibri Light"/>
          <w:color w:val="1A1718"/>
          <w:sz w:val="22"/>
          <w:szCs w:val="22"/>
        </w:rPr>
        <w:t xml:space="preserve"> documented medical visits, viral load or CD4 tests, performed at least 3 months apart in the observed year. </w:t>
      </w:r>
      <w:r w:rsidRPr="005B066E">
        <w:rPr>
          <w:rFonts w:cs="Calibri Light"/>
          <w:bCs/>
          <w:color w:val="1A1718"/>
          <w:sz w:val="22"/>
          <w:szCs w:val="22"/>
        </w:rPr>
        <w:t>Viral Load Suppression</w:t>
      </w:r>
      <w:r>
        <w:rPr>
          <w:rFonts w:cs="Calibri Light"/>
          <w:color w:val="1A1718"/>
          <w:sz w:val="22"/>
          <w:szCs w:val="22"/>
        </w:rPr>
        <w:t xml:space="preserve"> is calculated as the percentage of individuals whose most recent HIV viral load within the measurement year was less than 200 copies/mL. C</w:t>
      </w:r>
      <w:r>
        <w:rPr>
          <w:sz w:val="22"/>
          <w:szCs w:val="22"/>
        </w:rPr>
        <w:t xml:space="preserve">aution is needed when </w:t>
      </w:r>
      <w:r w:rsidRPr="00C559D6">
        <w:rPr>
          <w:sz w:val="22"/>
          <w:szCs w:val="22"/>
        </w:rPr>
        <w:t>interpreting the following analyses because at the time these labs were reported, Nevada state law only required the reporting of CD4 values with counts below 500 per ml</w:t>
      </w:r>
      <w:r w:rsidRPr="00C559D6">
        <w:rPr>
          <w:sz w:val="22"/>
          <w:szCs w:val="22"/>
          <w:vertAlign w:val="superscript"/>
        </w:rPr>
        <w:t>3</w:t>
      </w:r>
      <w:r w:rsidRPr="00C559D6">
        <w:rPr>
          <w:sz w:val="22"/>
          <w:szCs w:val="22"/>
        </w:rPr>
        <w:t xml:space="preserve"> of blood and a detectable viral load (&gt;200 copies/ml); therefore, number of cases retained in care and virally suppressed will most likely be underestimated. In the future more accurate data will be available as Nevada law has recently changed to require reporting of all CD4 values and all HIV viral load measurements.</w:t>
      </w:r>
      <w:r w:rsidRPr="002C1193">
        <w:rPr>
          <w:sz w:val="22"/>
          <w:szCs w:val="22"/>
          <w:u w:val="single"/>
        </w:rPr>
        <w:t xml:space="preserve"> </w:t>
      </w:r>
    </w:p>
    <w:p w:rsidR="003C4C6E" w:rsidRPr="00972193" w:rsidRDefault="003C4C6E" w:rsidP="003C4C6E">
      <w:pPr>
        <w:widowControl w:val="0"/>
        <w:jc w:val="both"/>
        <w:rPr>
          <w:sz w:val="22"/>
          <w:szCs w:val="22"/>
        </w:rPr>
      </w:pPr>
      <w:r w:rsidRPr="00941146">
        <w:rPr>
          <w:sz w:val="22"/>
          <w:szCs w:val="22"/>
        </w:rPr>
        <w:lastRenderedPageBreak/>
        <w:t>Of persons who had been diagnosed with HIV through year-end 2014, 9,062 were alive at year-end 2015.</w:t>
      </w:r>
      <w:r>
        <w:rPr>
          <w:sz w:val="22"/>
          <w:szCs w:val="22"/>
        </w:rPr>
        <w:t xml:space="preserve"> Of those 9,062 PLWH, 38.7% were retained in care (percentage of persons who had </w:t>
      </w:r>
      <w:r w:rsidRPr="00941146">
        <w:rPr>
          <w:sz w:val="22"/>
          <w:szCs w:val="22"/>
        </w:rPr>
        <w:t>≥</w:t>
      </w:r>
      <w:r>
        <w:rPr>
          <w:sz w:val="22"/>
          <w:szCs w:val="22"/>
        </w:rPr>
        <w:t xml:space="preserve"> </w:t>
      </w:r>
      <w:r w:rsidRPr="00941146">
        <w:rPr>
          <w:sz w:val="22"/>
          <w:szCs w:val="22"/>
        </w:rPr>
        <w:t>2</w:t>
      </w:r>
      <w:r>
        <w:rPr>
          <w:sz w:val="22"/>
          <w:szCs w:val="22"/>
        </w:rPr>
        <w:t xml:space="preserve"> CD4 or viral load tests at least </w:t>
      </w:r>
      <w:r w:rsidR="009B42CB">
        <w:rPr>
          <w:sz w:val="22"/>
          <w:szCs w:val="22"/>
        </w:rPr>
        <w:t>three</w:t>
      </w:r>
      <w:r>
        <w:rPr>
          <w:sz w:val="22"/>
          <w:szCs w:val="22"/>
        </w:rPr>
        <w:t xml:space="preserve"> months apart during 2015 among those diagnosed with HIV through year-end 2014 and alive at year-end 2015).</w:t>
      </w:r>
      <w:r w:rsidRPr="00CA71C4">
        <w:rPr>
          <w:sz w:val="16"/>
        </w:rPr>
        <w:t> </w:t>
      </w:r>
      <w:r>
        <w:rPr>
          <w:sz w:val="22"/>
          <w:szCs w:val="22"/>
        </w:rPr>
        <w:t>Among those retained in care at the end of 2015, 75.1% had suppressed viral load (&lt;=200 copies/mL) at most recent test during 2015.  Among PLWH year-end 2014 and alive at year-end 2015, 38.3% had suppressed viral load (&lt;=200 copies/mL) at most recent test during 2015.</w:t>
      </w:r>
    </w:p>
    <w:p w:rsidR="003C4C6E" w:rsidRDefault="003C4C6E" w:rsidP="003C4C6E">
      <w:pPr>
        <w:widowControl w:val="0"/>
        <w:tabs>
          <w:tab w:val="left" w:pos="220"/>
          <w:tab w:val="left" w:pos="720"/>
        </w:tabs>
        <w:autoSpaceDE w:val="0"/>
        <w:autoSpaceDN w:val="0"/>
        <w:adjustRightInd w:val="0"/>
        <w:jc w:val="both"/>
        <w:rPr>
          <w:rFonts w:eastAsia="MS Gothic" w:cs="MS Gothic"/>
          <w:sz w:val="22"/>
          <w:szCs w:val="22"/>
        </w:rPr>
      </w:pPr>
      <w:r w:rsidRPr="00941146">
        <w:rPr>
          <w:rFonts w:eastAsia="MS Gothic" w:cs="MS Gothic"/>
          <w:sz w:val="22"/>
          <w:szCs w:val="22"/>
        </w:rPr>
        <w:t xml:space="preserve">Of the </w:t>
      </w:r>
      <w:r>
        <w:rPr>
          <w:rFonts w:eastAsia="MS Gothic" w:cs="MS Gothic"/>
          <w:sz w:val="22"/>
          <w:szCs w:val="22"/>
        </w:rPr>
        <w:t xml:space="preserve">477 newly diagnosed cases of HIV in 2015, 81.3% were linked to care within </w:t>
      </w:r>
      <w:r w:rsidR="009B42CB">
        <w:rPr>
          <w:rFonts w:eastAsia="MS Gothic" w:cs="MS Gothic"/>
          <w:sz w:val="22"/>
          <w:szCs w:val="22"/>
        </w:rPr>
        <w:t>three</w:t>
      </w:r>
      <w:r>
        <w:rPr>
          <w:rFonts w:eastAsia="MS Gothic" w:cs="MS Gothic"/>
          <w:sz w:val="22"/>
          <w:szCs w:val="22"/>
        </w:rPr>
        <w:t xml:space="preserve"> months after diagnosis during 2015. </w:t>
      </w:r>
    </w:p>
    <w:p w:rsidR="00512FE8" w:rsidRPr="00D64397" w:rsidRDefault="00512FE8" w:rsidP="00F23788">
      <w:pPr>
        <w:widowControl w:val="0"/>
        <w:rPr>
          <w:b/>
          <w:iCs/>
          <w:sz w:val="22"/>
          <w:szCs w:val="22"/>
        </w:rPr>
      </w:pPr>
      <w:r w:rsidRPr="00D64397">
        <w:rPr>
          <w:b/>
          <w:bCs/>
          <w:iCs/>
          <w:sz w:val="22"/>
          <w:szCs w:val="22"/>
        </w:rPr>
        <w:t xml:space="preserve">Figure </w:t>
      </w:r>
      <w:r w:rsidR="00D64397" w:rsidRPr="00D64397">
        <w:rPr>
          <w:b/>
          <w:bCs/>
          <w:iCs/>
          <w:sz w:val="22"/>
          <w:szCs w:val="22"/>
        </w:rPr>
        <w:t>18</w:t>
      </w:r>
      <w:r w:rsidR="001F1901" w:rsidRPr="00D64397">
        <w:rPr>
          <w:b/>
          <w:bCs/>
          <w:iCs/>
          <w:sz w:val="22"/>
          <w:szCs w:val="22"/>
        </w:rPr>
        <w:t xml:space="preserve">. </w:t>
      </w:r>
      <w:r w:rsidRPr="00D64397">
        <w:rPr>
          <w:b/>
          <w:iCs/>
          <w:sz w:val="22"/>
          <w:szCs w:val="22"/>
        </w:rPr>
        <w:t>Persons Living with HIV/AIDS Infections Continuum of Care Cascade for Nevada, 201</w:t>
      </w:r>
      <w:r w:rsidR="001F1901" w:rsidRPr="00D64397">
        <w:rPr>
          <w:b/>
          <w:iCs/>
          <w:sz w:val="22"/>
          <w:szCs w:val="22"/>
        </w:rPr>
        <w:t>5</w:t>
      </w:r>
    </w:p>
    <w:p w:rsidR="00512FE8" w:rsidRDefault="002A7835" w:rsidP="00F23788">
      <w:pPr>
        <w:widowControl w:val="0"/>
        <w:rPr>
          <w:i/>
          <w:iCs/>
          <w:sz w:val="22"/>
          <w:szCs w:val="22"/>
        </w:rPr>
      </w:pPr>
      <w:r>
        <w:rPr>
          <w:noProof/>
        </w:rPr>
        <w:drawing>
          <wp:inline distT="0" distB="0" distL="0" distR="0" wp14:anchorId="63EE6A28" wp14:editId="4C6B70D9">
            <wp:extent cx="5943600" cy="2902227"/>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7835" w:rsidRDefault="002A7835" w:rsidP="002A7835">
      <w:pPr>
        <w:spacing w:before="0" w:after="0"/>
        <w:rPr>
          <w:sz w:val="16"/>
        </w:rPr>
      </w:pPr>
      <w:r w:rsidRPr="00CA71C4">
        <w:rPr>
          <w:sz w:val="16"/>
        </w:rPr>
        <w:t>Source: Division of Public and Behavioral Health, HIV/AIDS Reporting System (eHARS), data as of March 2016</w:t>
      </w:r>
      <w:r>
        <w:rPr>
          <w:sz w:val="16"/>
        </w:rPr>
        <w:t>.</w:t>
      </w:r>
    </w:p>
    <w:p w:rsidR="002A7835" w:rsidRPr="00432C04" w:rsidRDefault="002A7835" w:rsidP="002A7835">
      <w:pPr>
        <w:spacing w:before="0" w:after="0"/>
        <w:rPr>
          <w:sz w:val="16"/>
          <w:vertAlign w:val="superscript"/>
        </w:rPr>
      </w:pPr>
      <w:r w:rsidRPr="00432C04">
        <w:rPr>
          <w:bCs/>
          <w:sz w:val="16"/>
          <w:vertAlign w:val="superscript"/>
        </w:rPr>
        <w:t>‡</w:t>
      </w:r>
      <w:r w:rsidRPr="00432C04">
        <w:rPr>
          <w:sz w:val="16"/>
        </w:rPr>
        <w:t>Persons Living with HIV indicate any person regardless of HIV staging, including HIV stage 3 (AIDS)</w:t>
      </w:r>
      <w:r>
        <w:rPr>
          <w:sz w:val="16"/>
        </w:rPr>
        <w:t>.</w:t>
      </w:r>
    </w:p>
    <w:p w:rsidR="002A7835" w:rsidRPr="00CA71C4" w:rsidRDefault="002A7835" w:rsidP="002A7835">
      <w:pPr>
        <w:spacing w:before="0" w:after="0"/>
        <w:rPr>
          <w:sz w:val="16"/>
        </w:rPr>
      </w:pPr>
      <w:r w:rsidRPr="00CA71C4">
        <w:rPr>
          <w:sz w:val="16"/>
          <w:vertAlign w:val="superscript"/>
        </w:rPr>
        <w:t>a</w:t>
      </w:r>
      <w:r w:rsidRPr="00CA71C4">
        <w:rPr>
          <w:sz w:val="16"/>
        </w:rPr>
        <w:t>Defined as persons diagnosed with HIV infection (regardless of stage of disease) through year‐end 20</w:t>
      </w:r>
      <w:r>
        <w:rPr>
          <w:sz w:val="16"/>
        </w:rPr>
        <w:t>14, who were alive at year‐end </w:t>
      </w:r>
      <w:r w:rsidRPr="00CA71C4">
        <w:rPr>
          <w:sz w:val="16"/>
        </w:rPr>
        <w:t>2015</w:t>
      </w:r>
      <w:r>
        <w:rPr>
          <w:sz w:val="16"/>
        </w:rPr>
        <w:t>.</w:t>
      </w:r>
    </w:p>
    <w:p w:rsidR="002A7835" w:rsidRPr="00CA71C4" w:rsidRDefault="002A7835" w:rsidP="002A7835">
      <w:pPr>
        <w:spacing w:before="0" w:after="0"/>
        <w:ind w:left="63" w:hanging="63"/>
      </w:pPr>
      <w:r w:rsidRPr="00CA71C4">
        <w:rPr>
          <w:sz w:val="16"/>
          <w:vertAlign w:val="superscript"/>
        </w:rPr>
        <w:t>b</w:t>
      </w:r>
      <w:r w:rsidRPr="00CA71C4">
        <w:rPr>
          <w:sz w:val="16"/>
          <w:szCs w:val="16"/>
        </w:rPr>
        <w:t>Calculated as the number of persons linked to care within 3 months after HIV diagnosis during 201</w:t>
      </w:r>
      <w:r>
        <w:rPr>
          <w:sz w:val="16"/>
          <w:szCs w:val="16"/>
        </w:rPr>
        <w:t>5</w:t>
      </w:r>
      <w:r w:rsidRPr="00CA71C4">
        <w:rPr>
          <w:sz w:val="16"/>
          <w:szCs w:val="16"/>
        </w:rPr>
        <w:t xml:space="preserve">, </w:t>
      </w:r>
      <w:r w:rsidR="00D64397">
        <w:rPr>
          <w:sz w:val="16"/>
          <w:szCs w:val="16"/>
        </w:rPr>
        <w:t xml:space="preserve">divided by the total number of </w:t>
      </w:r>
      <w:r w:rsidRPr="00CA71C4">
        <w:rPr>
          <w:sz w:val="16"/>
          <w:szCs w:val="16"/>
        </w:rPr>
        <w:t>persons diagnosed with HIV infection in 201</w:t>
      </w:r>
      <w:r>
        <w:rPr>
          <w:sz w:val="16"/>
          <w:szCs w:val="16"/>
        </w:rPr>
        <w:t>5</w:t>
      </w:r>
      <w:r w:rsidRPr="00CA71C4">
        <w:rPr>
          <w:sz w:val="16"/>
          <w:szCs w:val="16"/>
        </w:rPr>
        <w:t>. Linkage to care is based on the number of persons diagnosed during 201</w:t>
      </w:r>
      <w:r>
        <w:rPr>
          <w:sz w:val="16"/>
          <w:szCs w:val="16"/>
        </w:rPr>
        <w:t>5</w:t>
      </w:r>
      <w:r w:rsidRPr="00CA71C4">
        <w:rPr>
          <w:sz w:val="16"/>
          <w:szCs w:val="16"/>
        </w:rPr>
        <w:t>, and is therefore shown in a different color than the other bars with a different denominator.</w:t>
      </w:r>
    </w:p>
    <w:p w:rsidR="002A7835" w:rsidRPr="00CA71C4" w:rsidRDefault="002A7835" w:rsidP="002A7835">
      <w:pPr>
        <w:spacing w:before="0" w:after="0"/>
        <w:ind w:left="63" w:hanging="63"/>
        <w:rPr>
          <w:sz w:val="16"/>
        </w:rPr>
      </w:pPr>
      <w:r w:rsidRPr="00CA71C4">
        <w:rPr>
          <w:sz w:val="16"/>
          <w:vertAlign w:val="superscript"/>
        </w:rPr>
        <w:t>c</w:t>
      </w:r>
      <w:r w:rsidRPr="00CA71C4">
        <w:rPr>
          <w:sz w:val="16"/>
        </w:rPr>
        <w:t>Calculated as the percentage of persons who had ≥2 CD4 or viral load test results at least 3 months</w:t>
      </w:r>
      <w:r>
        <w:rPr>
          <w:sz w:val="16"/>
        </w:rPr>
        <w:t xml:space="preserve"> apart during 2015 among those </w:t>
      </w:r>
      <w:r w:rsidRPr="00CA71C4">
        <w:rPr>
          <w:sz w:val="16"/>
        </w:rPr>
        <w:t>diagnosed with HIV through year‐end 2014 and alive at year‐end 2015</w:t>
      </w:r>
      <w:r>
        <w:rPr>
          <w:sz w:val="16"/>
        </w:rPr>
        <w:t>.</w:t>
      </w:r>
    </w:p>
    <w:p w:rsidR="002A7835" w:rsidRPr="00CA71C4" w:rsidRDefault="002A7835" w:rsidP="002A7835">
      <w:pPr>
        <w:spacing w:before="0" w:after="0"/>
        <w:ind w:left="63" w:hanging="63"/>
        <w:rPr>
          <w:sz w:val="16"/>
        </w:rPr>
      </w:pPr>
      <w:r w:rsidRPr="00CA71C4">
        <w:rPr>
          <w:sz w:val="16"/>
          <w:vertAlign w:val="superscript"/>
        </w:rPr>
        <w:t>d</w:t>
      </w:r>
      <w:r w:rsidRPr="00CA71C4">
        <w:rPr>
          <w:sz w:val="16"/>
        </w:rPr>
        <w:t>Calculated as the percentage of persons who had suppressed VL (&lt;=200 copies/mL) at most recent</w:t>
      </w:r>
      <w:r>
        <w:rPr>
          <w:sz w:val="16"/>
        </w:rPr>
        <w:t> test during 2015, among those </w:t>
      </w:r>
      <w:r w:rsidR="00D64397">
        <w:rPr>
          <w:sz w:val="16"/>
        </w:rPr>
        <w:t>diagnosed</w:t>
      </w:r>
      <w:r>
        <w:rPr>
          <w:sz w:val="16"/>
        </w:rPr>
        <w:t xml:space="preserve"> </w:t>
      </w:r>
      <w:r w:rsidRPr="00CA71C4">
        <w:rPr>
          <w:sz w:val="16"/>
        </w:rPr>
        <w:t>with HIV through year‐end 2014 and alive at year‐end 2015</w:t>
      </w:r>
      <w:r>
        <w:rPr>
          <w:sz w:val="16"/>
        </w:rPr>
        <w:t>.</w:t>
      </w:r>
    </w:p>
    <w:p w:rsidR="002A7835" w:rsidRPr="00CA71C4" w:rsidRDefault="002A7835" w:rsidP="002A7835">
      <w:pPr>
        <w:spacing w:before="0" w:after="0"/>
        <w:ind w:left="63" w:hanging="63"/>
      </w:pPr>
      <w:r w:rsidRPr="00CA71C4">
        <w:rPr>
          <w:sz w:val="16"/>
          <w:vertAlign w:val="superscript"/>
        </w:rPr>
        <w:t>†</w:t>
      </w:r>
      <w:r w:rsidRPr="00CA71C4">
        <w:rPr>
          <w:sz w:val="16"/>
        </w:rPr>
        <w:t>Calculated as number of persons who had suppressed VL (&lt;=200 copies/mL) at most recent test during 2015, among those who were retained</w:t>
      </w:r>
      <w:r>
        <w:rPr>
          <w:sz w:val="16"/>
        </w:rPr>
        <w:t xml:space="preserve"> </w:t>
      </w:r>
      <w:r w:rsidRPr="00CA71C4">
        <w:rPr>
          <w:sz w:val="16"/>
        </w:rPr>
        <w:t>in care during 2015.</w:t>
      </w:r>
      <w:r w:rsidRPr="00CA71C4">
        <w:rPr>
          <w:sz w:val="16"/>
          <w:vertAlign w:val="superscript"/>
        </w:rPr>
        <w:t> </w:t>
      </w:r>
    </w:p>
    <w:p w:rsidR="002A7835" w:rsidRPr="00432C04" w:rsidRDefault="009B42CB" w:rsidP="002A7835">
      <w:pPr>
        <w:spacing w:before="0" w:after="0"/>
      </w:pPr>
      <w:r w:rsidRPr="009B42CB">
        <w:rPr>
          <w:rFonts w:cs="Calibri Light"/>
          <w:i/>
          <w:noProof/>
          <w:sz w:val="22"/>
        </w:rPr>
        <mc:AlternateContent>
          <mc:Choice Requires="wps">
            <w:drawing>
              <wp:anchor distT="91440" distB="91440" distL="114300" distR="114300" simplePos="0" relativeHeight="251795456" behindDoc="0" locked="0" layoutInCell="1" allowOverlap="1" wp14:anchorId="5070319F" wp14:editId="7B2C872F">
                <wp:simplePos x="0" y="0"/>
                <wp:positionH relativeFrom="page">
                  <wp:posOffset>914400</wp:posOffset>
                </wp:positionH>
                <wp:positionV relativeFrom="paragraph">
                  <wp:posOffset>7124369</wp:posOffset>
                </wp:positionV>
                <wp:extent cx="5780405" cy="969617"/>
                <wp:effectExtent l="0" t="0" r="0" b="25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969617"/>
                        </a:xfrm>
                        <a:prstGeom prst="rect">
                          <a:avLst/>
                        </a:prstGeom>
                        <a:noFill/>
                        <a:ln w="9525">
                          <a:noFill/>
                          <a:miter lim="800000"/>
                          <a:headEnd/>
                          <a:tailEnd/>
                        </a:ln>
                      </wps:spPr>
                      <wps:txbx>
                        <w:txbxContent>
                          <w:p w:rsidR="002E77F2" w:rsidRPr="003A5EF2" w:rsidRDefault="002E77F2" w:rsidP="009B42CB">
                            <w:pPr>
                              <w:pBdr>
                                <w:top w:val="single" w:sz="24" w:space="8" w:color="4F81BD" w:themeColor="accent1"/>
                                <w:bottom w:val="single" w:sz="24" w:space="8" w:color="4F81BD" w:themeColor="accent1"/>
                              </w:pBdr>
                              <w:spacing w:before="0" w:after="0"/>
                              <w:jc w:val="center"/>
                              <w:rPr>
                                <w:i/>
                                <w:iCs/>
                                <w:color w:val="4F81BD" w:themeColor="accent1"/>
                                <w:sz w:val="22"/>
                                <w:szCs w:val="22"/>
                              </w:rPr>
                            </w:pPr>
                            <w:r>
                              <w:rPr>
                                <w:i/>
                                <w:iCs/>
                                <w:color w:val="4F81BD" w:themeColor="accent1"/>
                                <w:sz w:val="22"/>
                                <w:szCs w:val="22"/>
                              </w:rPr>
                              <w:t xml:space="preserve">While </w:t>
                            </w:r>
                            <w:r w:rsidRPr="003A5EF2">
                              <w:rPr>
                                <w:i/>
                                <w:iCs/>
                                <w:color w:val="4F81BD" w:themeColor="accent1"/>
                                <w:sz w:val="22"/>
                                <w:szCs w:val="22"/>
                              </w:rPr>
                              <w:t xml:space="preserve">Nevada’s rates of retention in care and viral suppression for PLWH appear low, </w:t>
                            </w:r>
                            <w:r>
                              <w:rPr>
                                <w:i/>
                                <w:iCs/>
                                <w:color w:val="4F81BD" w:themeColor="accent1"/>
                                <w:sz w:val="22"/>
                                <w:szCs w:val="22"/>
                              </w:rPr>
                              <w:t xml:space="preserve">they </w:t>
                            </w:r>
                            <w:r w:rsidRPr="003A5EF2">
                              <w:rPr>
                                <w:i/>
                                <w:iCs/>
                                <w:color w:val="4F81BD" w:themeColor="accent1"/>
                                <w:sz w:val="22"/>
                                <w:szCs w:val="22"/>
                              </w:rPr>
                              <w:t xml:space="preserve">are underestimated due to the lack of complete data for </w:t>
                            </w:r>
                            <w:r w:rsidRPr="003A5EF2">
                              <w:rPr>
                                <w:i/>
                                <w:color w:val="4F81BD" w:themeColor="accent1"/>
                                <w:sz w:val="22"/>
                                <w:szCs w:val="22"/>
                              </w:rPr>
                              <w:t>CD4 values and viral load measurements</w:t>
                            </w:r>
                            <w:r w:rsidRPr="003A5EF2">
                              <w:rPr>
                                <w:i/>
                                <w:iCs/>
                                <w:color w:val="4F81BD" w:themeColor="accent1"/>
                                <w:sz w:val="22"/>
                                <w:szCs w:val="22"/>
                              </w:rPr>
                              <w:t xml:space="preserve"> at the time this plan was written.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70319F" id="_x0000_s1033" type="#_x0000_t202" style="position:absolute;margin-left:1in;margin-top:560.95pt;width:455.15pt;height:76.35pt;z-index:251795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xADQIAAPsDAAAOAAAAZHJzL2Uyb0RvYy54bWysU9uO2yAQfa/Uf0C8N3asOBcrzmq7260q&#10;bS/Sbj+AYByjAkOBxE6/vgPOZq32raofLGCYM+ecGbY3g1bkJJyXYGo6n+WUCMOhkeZQ0+/PD+/W&#10;lPjATMMUGFHTs/D0Zvf2zba3lSigA9UIRxDE+Kq3Ne1CsFWWed4JzfwMrDAYbMFpFnDrDlnjWI/o&#10;WmVFni+zHlxjHXDhPZ7ej0G6S/htK3j42rZeBKJqitxC+rv038d/ttuy6uCY7SS/0GD/wEIzabDo&#10;FeqeBUaOTv4FpSV34KENMw46g7aVXCQNqGae/6HmqWNWJC1ojrdXm/z/g+VfTt8ckU1NiwX6Y5jG&#10;Jj2LIZD3MJAi+tNbX+G1J4sXw4DH2Oek1dtH4D88MXDXMXMQt85B3wnWIL95zMwmqSOOjyD7/jM0&#10;WIYdAySgoXU6mod2EERHHudrbyIVjoflap0v8pISjrHNcrOcr1IJVr1kW+fDRwGaxEVNHfY+obPT&#10;ow+RDatersRiBh6kUqn/ypAeQcuiTAmTiJYBx1NJXdN1Hr9xYKLID6ZJyYFJNa6xgDIX1VHoKDkM&#10;+yEZnPhGR/bQnNEGB+M04uvBRQfuFyU9TmJN/c8jc4IS9cmglZv5IrYmpM2iXBW4cdPIfhphhiNU&#10;TQMl4/IupHEfJd+i5a1MbrwyuVDGCUsmXV5DHOHpPt16fbO73wAAAP//AwBQSwMEFAAGAAgAAAAh&#10;AEh4hzTgAAAADgEAAA8AAABkcnMvZG93bnJldi54bWxMj81OwzAQhO9IvIO1SNyoneAWGuJUCMQV&#10;RPmRuLnxNomI11HsNuHt2Z7gNqMdzX5TbmbfiyOOsQtkIFsoEEh1cB01Bt7fnq5uQcRkydk+EBr4&#10;wQib6vystIULE73icZsawSUUC2ugTWkopIx1i97GRRiQ+LYPo7eJ7dhIN9qJy30vc6VW0tuO+ENr&#10;B3xosf7eHryBj+f916dWL82jXw5TmJUkv5bGXF7M93cgEs7pLwwnfEaHipl24UAuip691rwlscjy&#10;bA3iFFFLfQ1ixyq/0SuQVSn/z6h+AQAA//8DAFBLAQItABQABgAIAAAAIQC2gziS/gAAAOEBAAAT&#10;AAAAAAAAAAAAAAAAAAAAAABbQ29udGVudF9UeXBlc10ueG1sUEsBAi0AFAAGAAgAAAAhADj9If/W&#10;AAAAlAEAAAsAAAAAAAAAAAAAAAAALwEAAF9yZWxzLy5yZWxzUEsBAi0AFAAGAAgAAAAhAOLtrEAN&#10;AgAA+wMAAA4AAAAAAAAAAAAAAAAALgIAAGRycy9lMm9Eb2MueG1sUEsBAi0AFAAGAAgAAAAhAEh4&#10;hzTgAAAADgEAAA8AAAAAAAAAAAAAAAAAZwQAAGRycy9kb3ducmV2LnhtbFBLBQYAAAAABAAEAPMA&#10;AAB0BQAAAAA=&#10;" filled="f" stroked="f">
                <v:textbox>
                  <w:txbxContent>
                    <w:p w:rsidR="002E77F2" w:rsidRPr="003A5EF2" w:rsidRDefault="002E77F2" w:rsidP="009B42CB">
                      <w:pPr>
                        <w:pBdr>
                          <w:top w:val="single" w:sz="24" w:space="8" w:color="4F81BD" w:themeColor="accent1"/>
                          <w:bottom w:val="single" w:sz="24" w:space="8" w:color="4F81BD" w:themeColor="accent1"/>
                        </w:pBdr>
                        <w:spacing w:before="0" w:after="0"/>
                        <w:jc w:val="center"/>
                        <w:rPr>
                          <w:i/>
                          <w:iCs/>
                          <w:color w:val="4F81BD" w:themeColor="accent1"/>
                          <w:sz w:val="22"/>
                          <w:szCs w:val="22"/>
                        </w:rPr>
                      </w:pPr>
                      <w:r>
                        <w:rPr>
                          <w:i/>
                          <w:iCs/>
                          <w:color w:val="4F81BD" w:themeColor="accent1"/>
                          <w:sz w:val="22"/>
                          <w:szCs w:val="22"/>
                        </w:rPr>
                        <w:t xml:space="preserve">While </w:t>
                      </w:r>
                      <w:r w:rsidRPr="003A5EF2">
                        <w:rPr>
                          <w:i/>
                          <w:iCs/>
                          <w:color w:val="4F81BD" w:themeColor="accent1"/>
                          <w:sz w:val="22"/>
                          <w:szCs w:val="22"/>
                        </w:rPr>
                        <w:t xml:space="preserve">Nevada’s rates of retention in care and viral suppression for PLWH appear low, </w:t>
                      </w:r>
                      <w:r>
                        <w:rPr>
                          <w:i/>
                          <w:iCs/>
                          <w:color w:val="4F81BD" w:themeColor="accent1"/>
                          <w:sz w:val="22"/>
                          <w:szCs w:val="22"/>
                        </w:rPr>
                        <w:t xml:space="preserve">they </w:t>
                      </w:r>
                      <w:r w:rsidRPr="003A5EF2">
                        <w:rPr>
                          <w:i/>
                          <w:iCs/>
                          <w:color w:val="4F81BD" w:themeColor="accent1"/>
                          <w:sz w:val="22"/>
                          <w:szCs w:val="22"/>
                        </w:rPr>
                        <w:t xml:space="preserve">are underestimated due to the lack of complete data for </w:t>
                      </w:r>
                      <w:r w:rsidRPr="003A5EF2">
                        <w:rPr>
                          <w:i/>
                          <w:color w:val="4F81BD" w:themeColor="accent1"/>
                          <w:sz w:val="22"/>
                          <w:szCs w:val="22"/>
                        </w:rPr>
                        <w:t>CD4 values and viral load measurements</w:t>
                      </w:r>
                      <w:r w:rsidRPr="003A5EF2">
                        <w:rPr>
                          <w:i/>
                          <w:iCs/>
                          <w:color w:val="4F81BD" w:themeColor="accent1"/>
                          <w:sz w:val="22"/>
                          <w:szCs w:val="22"/>
                        </w:rPr>
                        <w:t xml:space="preserve"> at the time this plan was written.</w:t>
                      </w:r>
                    </w:p>
                  </w:txbxContent>
                </v:textbox>
                <w10:wrap type="square" anchorx="page"/>
              </v:shape>
            </w:pict>
          </mc:Fallback>
        </mc:AlternateContent>
      </w:r>
      <w:r w:rsidR="002A7835" w:rsidRPr="00432C04">
        <w:rPr>
          <w:sz w:val="16"/>
          <w:vertAlign w:val="superscript"/>
        </w:rPr>
        <w:t>*</w:t>
      </w:r>
      <w:r w:rsidR="002A7835" w:rsidRPr="00432C04">
        <w:rPr>
          <w:sz w:val="16"/>
        </w:rPr>
        <w:t>P</w:t>
      </w:r>
      <w:r w:rsidR="002A7835">
        <w:rPr>
          <w:sz w:val="16"/>
        </w:rPr>
        <w:t>reliminary data. Due to delays in reporting, more individuals may be linked to care than currently represented.</w:t>
      </w:r>
    </w:p>
    <w:p w:rsidR="00512FE8" w:rsidRPr="00F34263" w:rsidRDefault="00512FE8" w:rsidP="003317C9">
      <w:pPr>
        <w:pStyle w:val="ListParagraph"/>
        <w:widowControl w:val="0"/>
        <w:numPr>
          <w:ilvl w:val="0"/>
          <w:numId w:val="4"/>
        </w:numPr>
        <w:tabs>
          <w:tab w:val="left" w:pos="220"/>
          <w:tab w:val="left" w:pos="720"/>
        </w:tabs>
        <w:autoSpaceDE w:val="0"/>
        <w:autoSpaceDN w:val="0"/>
        <w:adjustRightInd w:val="0"/>
        <w:spacing w:line="240" w:lineRule="auto"/>
        <w:rPr>
          <w:rFonts w:cs="Calibri Light"/>
          <w:i/>
          <w:sz w:val="22"/>
        </w:rPr>
      </w:pPr>
      <w:r w:rsidRPr="00F34263">
        <w:rPr>
          <w:rFonts w:cs="Calibri Light"/>
          <w:i/>
          <w:sz w:val="22"/>
        </w:rPr>
        <w:lastRenderedPageBreak/>
        <w:t xml:space="preserve">Provide a narrative (and graphic, if available) description of disparities in engagement among key populations (e.g., young MSM, IDU, African-American heterosexual women, etc.) along the HIV Care Continuum. </w:t>
      </w:r>
      <w:r w:rsidRPr="00F34263">
        <w:rPr>
          <w:rFonts w:ascii="MS Gothic" w:eastAsia="MS Gothic" w:hAnsi="MS Gothic" w:cs="MS Gothic" w:hint="eastAsia"/>
          <w:i/>
          <w:sz w:val="22"/>
        </w:rPr>
        <w:t> </w:t>
      </w:r>
    </w:p>
    <w:p w:rsidR="00C559D6" w:rsidRPr="00C559D6" w:rsidRDefault="00C559D6" w:rsidP="008A232C">
      <w:pPr>
        <w:widowControl w:val="0"/>
        <w:tabs>
          <w:tab w:val="left" w:pos="220"/>
          <w:tab w:val="left" w:pos="720"/>
        </w:tabs>
        <w:autoSpaceDE w:val="0"/>
        <w:autoSpaceDN w:val="0"/>
        <w:adjustRightInd w:val="0"/>
        <w:jc w:val="both"/>
        <w:rPr>
          <w:rFonts w:cs="Calibri Light"/>
        </w:rPr>
      </w:pPr>
      <w:r w:rsidRPr="00C559D6">
        <w:rPr>
          <w:rFonts w:cs="Calibri Light"/>
          <w:sz w:val="22"/>
          <w:szCs w:val="22"/>
        </w:rPr>
        <w:t>Some disparities exist in Nevada’s HIV Care Continuum by sex, race/ethnicity</w:t>
      </w:r>
      <w:r w:rsidR="00697880">
        <w:rPr>
          <w:rFonts w:cs="Calibri Light"/>
          <w:sz w:val="22"/>
          <w:szCs w:val="22"/>
        </w:rPr>
        <w:t>,</w:t>
      </w:r>
      <w:r w:rsidRPr="00C559D6">
        <w:rPr>
          <w:rFonts w:cs="Calibri Light"/>
          <w:sz w:val="22"/>
          <w:szCs w:val="22"/>
        </w:rPr>
        <w:t xml:space="preserve"> and age. Figure </w:t>
      </w:r>
      <w:r w:rsidR="00D64397">
        <w:rPr>
          <w:rFonts w:cs="Calibri Light"/>
          <w:sz w:val="22"/>
          <w:szCs w:val="22"/>
        </w:rPr>
        <w:t>19</w:t>
      </w:r>
      <w:r w:rsidRPr="00C559D6">
        <w:rPr>
          <w:rFonts w:cs="Calibri Light"/>
          <w:sz w:val="22"/>
          <w:szCs w:val="22"/>
        </w:rPr>
        <w:t xml:space="preserve"> compares the percentages of individuals newly diagnosed with HIV who were linked to care within 90 days of diagnosis. A lower percentage of males compared to females were linked to care within 90 days. Comparing individuals of different races/ethnicities, linkage to care was similar across groups but was slightly lower for newly diagnosed black clients (79%). With respect to age, the lowest percentages of newly diagnosed clients linked to care within 90 days were in the age groups of 13 to 24 years, 35 to 44 years, and 65 years and older respectively</w:t>
      </w:r>
      <w:r w:rsidR="00D64397">
        <w:rPr>
          <w:rFonts w:cs="Calibri Light"/>
          <w:sz w:val="22"/>
          <w:szCs w:val="22"/>
        </w:rPr>
        <w:t xml:space="preserve"> (Figure 20)</w:t>
      </w:r>
      <w:r w:rsidRPr="00C559D6">
        <w:rPr>
          <w:rFonts w:cs="Calibri Light"/>
          <w:sz w:val="22"/>
          <w:szCs w:val="22"/>
        </w:rPr>
        <w:t>.</w:t>
      </w:r>
      <w:r w:rsidRPr="00C559D6">
        <w:rPr>
          <w:rFonts w:cs="Calibri Light"/>
        </w:rPr>
        <w:t xml:space="preserve"> </w:t>
      </w:r>
    </w:p>
    <w:p w:rsidR="00C559D6" w:rsidRPr="00C559D6" w:rsidRDefault="00C559D6" w:rsidP="00F34263">
      <w:pPr>
        <w:widowControl w:val="0"/>
        <w:tabs>
          <w:tab w:val="left" w:pos="220"/>
          <w:tab w:val="left" w:pos="720"/>
        </w:tabs>
        <w:autoSpaceDE w:val="0"/>
        <w:autoSpaceDN w:val="0"/>
        <w:adjustRightInd w:val="0"/>
        <w:rPr>
          <w:rFonts w:cs="Calibri Light"/>
        </w:rPr>
      </w:pPr>
      <w:r>
        <w:rPr>
          <w:noProof/>
        </w:rPr>
        <w:drawing>
          <wp:inline distT="0" distB="0" distL="0" distR="0" wp14:anchorId="50D51963" wp14:editId="1A3BBBAA">
            <wp:extent cx="6002655" cy="221046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59D6" w:rsidRPr="00C559D6" w:rsidRDefault="00C559D6" w:rsidP="00F34263">
      <w:pPr>
        <w:widowControl w:val="0"/>
        <w:tabs>
          <w:tab w:val="left" w:pos="220"/>
          <w:tab w:val="left" w:pos="720"/>
        </w:tabs>
        <w:autoSpaceDE w:val="0"/>
        <w:autoSpaceDN w:val="0"/>
        <w:adjustRightInd w:val="0"/>
        <w:rPr>
          <w:rFonts w:cs="Calibri Light"/>
        </w:rPr>
      </w:pPr>
      <w:r>
        <w:rPr>
          <w:noProof/>
        </w:rPr>
        <w:drawing>
          <wp:inline distT="0" distB="0" distL="0" distR="0" wp14:anchorId="009B344A" wp14:editId="5D31B1F4">
            <wp:extent cx="5995035" cy="2584174"/>
            <wp:effectExtent l="0" t="0" r="5715"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59D6" w:rsidRPr="00C559D6" w:rsidRDefault="00F34263" w:rsidP="008A232C">
      <w:pPr>
        <w:widowControl w:val="0"/>
        <w:tabs>
          <w:tab w:val="left" w:pos="220"/>
          <w:tab w:val="left" w:pos="720"/>
        </w:tabs>
        <w:autoSpaceDE w:val="0"/>
        <w:autoSpaceDN w:val="0"/>
        <w:adjustRightInd w:val="0"/>
        <w:jc w:val="both"/>
        <w:rPr>
          <w:rFonts w:cs="Calibri Light"/>
          <w:sz w:val="22"/>
          <w:szCs w:val="22"/>
        </w:rPr>
      </w:pPr>
      <w:r>
        <w:rPr>
          <w:noProof/>
        </w:rPr>
        <w:lastRenderedPageBreak/>
        <w:drawing>
          <wp:anchor distT="0" distB="0" distL="114300" distR="114300" simplePos="0" relativeHeight="251781120" behindDoc="0" locked="0" layoutInCell="1" allowOverlap="1" wp14:anchorId="5684CAE3" wp14:editId="3F684553">
            <wp:simplePos x="0" y="0"/>
            <wp:positionH relativeFrom="column">
              <wp:posOffset>39370</wp:posOffset>
            </wp:positionH>
            <wp:positionV relativeFrom="paragraph">
              <wp:posOffset>702310</wp:posOffset>
            </wp:positionV>
            <wp:extent cx="5943600" cy="2305685"/>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C559D6" w:rsidRPr="00C559D6">
        <w:rPr>
          <w:rFonts w:cs="Calibri Light"/>
          <w:sz w:val="22"/>
          <w:szCs w:val="22"/>
        </w:rPr>
        <w:t>Of PLWH in Nevada, females were more likely to be retained in care than males and slightly more likely to be virally suppressed.  However, among those who were retained in care during 2015, a higher percentage of males (76%) than females (73%) were virally suppressed</w:t>
      </w:r>
      <w:r w:rsidR="00D64397">
        <w:rPr>
          <w:rFonts w:cs="Calibri Light"/>
          <w:sz w:val="22"/>
          <w:szCs w:val="22"/>
        </w:rPr>
        <w:t xml:space="preserve"> (Figure 21)</w:t>
      </w:r>
      <w:r w:rsidR="00C559D6" w:rsidRPr="00C559D6">
        <w:rPr>
          <w:rFonts w:cs="Calibri Light"/>
          <w:sz w:val="22"/>
          <w:szCs w:val="22"/>
        </w:rPr>
        <w:t>.</w:t>
      </w:r>
    </w:p>
    <w:p w:rsidR="00C559D6" w:rsidRPr="00C559D6" w:rsidRDefault="00C559D6" w:rsidP="008A232C">
      <w:pPr>
        <w:widowControl w:val="0"/>
        <w:tabs>
          <w:tab w:val="left" w:pos="220"/>
          <w:tab w:val="left" w:pos="720"/>
        </w:tabs>
        <w:autoSpaceDE w:val="0"/>
        <w:autoSpaceDN w:val="0"/>
        <w:adjustRightInd w:val="0"/>
        <w:jc w:val="both"/>
        <w:rPr>
          <w:rFonts w:cs="Calibri Light"/>
          <w:i/>
          <w:sz w:val="22"/>
          <w:szCs w:val="22"/>
        </w:rPr>
      </w:pPr>
      <w:r w:rsidRPr="00C559D6">
        <w:rPr>
          <w:rFonts w:cs="Calibri Light"/>
          <w:sz w:val="22"/>
          <w:szCs w:val="22"/>
        </w:rPr>
        <w:t xml:space="preserve">Of PLWH in Nevada, </w:t>
      </w:r>
      <w:r w:rsidR="009B42CB">
        <w:rPr>
          <w:rFonts w:cs="Calibri Light"/>
          <w:sz w:val="22"/>
          <w:szCs w:val="22"/>
        </w:rPr>
        <w:t>B</w:t>
      </w:r>
      <w:r w:rsidRPr="00C559D6">
        <w:rPr>
          <w:rFonts w:cs="Calibri Light"/>
          <w:sz w:val="22"/>
          <w:szCs w:val="22"/>
        </w:rPr>
        <w:t>lack clients had the lowest rates of retentio</w:t>
      </w:r>
      <w:r>
        <w:rPr>
          <w:rFonts w:cs="Calibri Light"/>
          <w:sz w:val="22"/>
          <w:szCs w:val="22"/>
        </w:rPr>
        <w:t xml:space="preserve">n of care and viral suppression. </w:t>
      </w:r>
      <w:r w:rsidRPr="00C559D6">
        <w:rPr>
          <w:rFonts w:cs="Calibri Light"/>
          <w:sz w:val="22"/>
          <w:szCs w:val="22"/>
        </w:rPr>
        <w:t>Hispanics and all other races had the highest rates of retention and viral suppression</w:t>
      </w:r>
      <w:r>
        <w:rPr>
          <w:rFonts w:cs="Calibri Light"/>
          <w:sz w:val="22"/>
          <w:szCs w:val="22"/>
        </w:rPr>
        <w:t>,</w:t>
      </w:r>
      <w:r w:rsidRPr="00C559D6">
        <w:rPr>
          <w:rFonts w:cs="Calibri Light"/>
          <w:sz w:val="22"/>
          <w:szCs w:val="22"/>
        </w:rPr>
        <w:t xml:space="preserve"> although overall numbers are low. Among those who were retained in care during 2015, the highest percentage of virally suppressed clients was Hispanic and the lowest was </w:t>
      </w:r>
      <w:r w:rsidR="00FB5BAE">
        <w:rPr>
          <w:rFonts w:cs="Calibri Light"/>
          <w:sz w:val="22"/>
          <w:szCs w:val="22"/>
        </w:rPr>
        <w:t>B</w:t>
      </w:r>
      <w:r w:rsidRPr="00C559D6">
        <w:rPr>
          <w:rFonts w:cs="Calibri Light"/>
          <w:sz w:val="22"/>
          <w:szCs w:val="22"/>
        </w:rPr>
        <w:t>lack</w:t>
      </w:r>
      <w:r w:rsidR="00D64397">
        <w:rPr>
          <w:rFonts w:cs="Calibri Light"/>
          <w:sz w:val="22"/>
          <w:szCs w:val="22"/>
        </w:rPr>
        <w:t xml:space="preserve"> (Figure 22)</w:t>
      </w:r>
      <w:r w:rsidRPr="00C559D6">
        <w:rPr>
          <w:rFonts w:cs="Calibri Light"/>
          <w:sz w:val="22"/>
          <w:szCs w:val="22"/>
        </w:rPr>
        <w:t xml:space="preserve">. </w:t>
      </w:r>
    </w:p>
    <w:p w:rsidR="00C559D6" w:rsidRPr="00C559D6" w:rsidRDefault="00C559D6" w:rsidP="00F34263">
      <w:pPr>
        <w:widowControl w:val="0"/>
        <w:tabs>
          <w:tab w:val="left" w:pos="220"/>
          <w:tab w:val="left" w:pos="720"/>
        </w:tabs>
        <w:autoSpaceDE w:val="0"/>
        <w:autoSpaceDN w:val="0"/>
        <w:adjustRightInd w:val="0"/>
        <w:rPr>
          <w:rFonts w:cs="Calibri Light"/>
          <w:i/>
        </w:rPr>
      </w:pPr>
      <w:r>
        <w:rPr>
          <w:noProof/>
        </w:rPr>
        <w:drawing>
          <wp:inline distT="0" distB="0" distL="0" distR="0" wp14:anchorId="1E385958" wp14:editId="72C856CA">
            <wp:extent cx="5943600" cy="240129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59D6" w:rsidRPr="00C559D6" w:rsidRDefault="00C559D6" w:rsidP="008A232C">
      <w:pPr>
        <w:widowControl w:val="0"/>
        <w:tabs>
          <w:tab w:val="left" w:pos="220"/>
          <w:tab w:val="left" w:pos="720"/>
        </w:tabs>
        <w:autoSpaceDE w:val="0"/>
        <w:autoSpaceDN w:val="0"/>
        <w:adjustRightInd w:val="0"/>
        <w:jc w:val="both"/>
        <w:rPr>
          <w:rFonts w:cs="Calibri Light"/>
          <w:sz w:val="22"/>
          <w:szCs w:val="22"/>
        </w:rPr>
      </w:pPr>
      <w:r w:rsidRPr="00C559D6">
        <w:rPr>
          <w:rFonts w:cs="Calibri Light"/>
          <w:sz w:val="22"/>
          <w:szCs w:val="22"/>
        </w:rPr>
        <w:t>Lowest rates of retention in care and viral suppression were for the age groups 35 to 44 years and 45 to 54 years. Among those who were retained in care during 2015, the lowest percentage of viral suppression was among clients ages 25 to 34</w:t>
      </w:r>
      <w:r w:rsidR="008A232C">
        <w:rPr>
          <w:rFonts w:cs="Calibri Light"/>
          <w:sz w:val="22"/>
          <w:szCs w:val="22"/>
        </w:rPr>
        <w:t xml:space="preserve"> (Figure 23)</w:t>
      </w:r>
      <w:r w:rsidRPr="00C559D6">
        <w:rPr>
          <w:rFonts w:cs="Calibri Light"/>
          <w:sz w:val="22"/>
          <w:szCs w:val="22"/>
        </w:rPr>
        <w:t>.</w:t>
      </w:r>
    </w:p>
    <w:p w:rsidR="00C559D6" w:rsidRPr="00C559D6" w:rsidRDefault="00C559D6" w:rsidP="00F34263">
      <w:pPr>
        <w:widowControl w:val="0"/>
        <w:tabs>
          <w:tab w:val="left" w:pos="220"/>
          <w:tab w:val="left" w:pos="720"/>
        </w:tabs>
        <w:autoSpaceDE w:val="0"/>
        <w:autoSpaceDN w:val="0"/>
        <w:adjustRightInd w:val="0"/>
        <w:rPr>
          <w:rFonts w:cs="Calibri Light"/>
          <w:i/>
        </w:rPr>
      </w:pPr>
      <w:r w:rsidRPr="00184543">
        <w:rPr>
          <w:noProof/>
        </w:rPr>
        <w:lastRenderedPageBreak/>
        <w:drawing>
          <wp:inline distT="0" distB="0" distL="0" distR="0" wp14:anchorId="0AB66AB6" wp14:editId="13288E2E">
            <wp:extent cx="5943600" cy="2552368"/>
            <wp:effectExtent l="0" t="0" r="0"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59D6" w:rsidRPr="00C559D6" w:rsidRDefault="00C559D6" w:rsidP="008A232C">
      <w:pPr>
        <w:widowControl w:val="0"/>
        <w:tabs>
          <w:tab w:val="left" w:pos="220"/>
          <w:tab w:val="left" w:pos="720"/>
        </w:tabs>
        <w:autoSpaceDE w:val="0"/>
        <w:autoSpaceDN w:val="0"/>
        <w:adjustRightInd w:val="0"/>
        <w:jc w:val="both"/>
        <w:rPr>
          <w:rFonts w:cs="Calibri Light"/>
          <w:sz w:val="22"/>
          <w:szCs w:val="22"/>
        </w:rPr>
      </w:pPr>
      <w:r w:rsidRPr="00C559D6">
        <w:rPr>
          <w:rFonts w:cs="Calibri Light"/>
          <w:sz w:val="22"/>
          <w:szCs w:val="22"/>
        </w:rPr>
        <w:t>These findings suggest that across genders, ethnicities and age, viral suppression requires retention in care. Differences in viral suppression among groups retained in care appear minimal. Although linkage to care was successfully recorded in over 80% of newly diagnosed HIV+ persons, retention appears to be the p</w:t>
      </w:r>
      <w:r w:rsidR="00FB5BAE">
        <w:rPr>
          <w:rFonts w:cs="Calibri Light"/>
          <w:sz w:val="22"/>
          <w:szCs w:val="22"/>
        </w:rPr>
        <w:t>rimary concern to improve state</w:t>
      </w:r>
      <w:r w:rsidRPr="00C559D6">
        <w:rPr>
          <w:rFonts w:cs="Calibri Light"/>
          <w:sz w:val="22"/>
          <w:szCs w:val="22"/>
        </w:rPr>
        <w:t>wide viral suppression results. Lack of viral suppression contributes to ongoing transmission and ongoing morbidities in those infected with HIV.</w:t>
      </w:r>
    </w:p>
    <w:p w:rsidR="0081085D" w:rsidRPr="00B41730" w:rsidRDefault="0081085D" w:rsidP="00F103A5">
      <w:pPr>
        <w:pStyle w:val="Heading5"/>
      </w:pPr>
      <w:r>
        <w:t>Comparative Analysis of Care Continuum for Current Ryan White Part A Clients</w:t>
      </w:r>
    </w:p>
    <w:p w:rsidR="004A3B28" w:rsidRDefault="0081085D" w:rsidP="0081085D">
      <w:pPr>
        <w:widowControl w:val="0"/>
        <w:jc w:val="both"/>
        <w:rPr>
          <w:sz w:val="22"/>
          <w:szCs w:val="22"/>
        </w:rPr>
      </w:pPr>
      <w:r w:rsidRPr="00971C39">
        <w:rPr>
          <w:sz w:val="22"/>
          <w:szCs w:val="22"/>
        </w:rPr>
        <w:t xml:space="preserve">A comparative analysis of the care continuum on gender, age, race/ethnicity, HIV risk factor, and insurance status in relation to current Ryan White Part A clients was conducted. </w:t>
      </w:r>
      <w:r>
        <w:rPr>
          <w:sz w:val="22"/>
          <w:szCs w:val="22"/>
        </w:rPr>
        <w:t>S</w:t>
      </w:r>
      <w:r w:rsidRPr="00971C39">
        <w:rPr>
          <w:sz w:val="22"/>
          <w:szCs w:val="22"/>
        </w:rPr>
        <w:t xml:space="preserve">trong disparities were seen with health insurance status and race, which could be largely </w:t>
      </w:r>
      <w:r>
        <w:rPr>
          <w:sz w:val="22"/>
          <w:szCs w:val="22"/>
        </w:rPr>
        <w:t>at</w:t>
      </w:r>
      <w:r w:rsidRPr="00971C39">
        <w:rPr>
          <w:sz w:val="22"/>
          <w:szCs w:val="22"/>
        </w:rPr>
        <w:t>tributed to data collection practices. For health insurance, those with no insurance had much better outcomes for retention in care, ART prescription, and viral load suppression compared to those with Medicaid, Medicare, and private insurance. This</w:t>
      </w:r>
      <w:r>
        <w:rPr>
          <w:sz w:val="22"/>
          <w:szCs w:val="22"/>
        </w:rPr>
        <w:t xml:space="preserve"> may </w:t>
      </w:r>
      <w:r w:rsidRPr="00971C39">
        <w:rPr>
          <w:sz w:val="22"/>
          <w:szCs w:val="22"/>
        </w:rPr>
        <w:t xml:space="preserve">be attributed to clients in the Ryan White Part A program </w:t>
      </w:r>
      <w:r>
        <w:rPr>
          <w:sz w:val="22"/>
          <w:szCs w:val="22"/>
        </w:rPr>
        <w:t xml:space="preserve">that </w:t>
      </w:r>
      <w:r w:rsidRPr="00971C39">
        <w:rPr>
          <w:sz w:val="22"/>
          <w:szCs w:val="22"/>
        </w:rPr>
        <w:t xml:space="preserve">have better outcomes due to the </w:t>
      </w:r>
      <w:r>
        <w:rPr>
          <w:sz w:val="22"/>
          <w:szCs w:val="22"/>
        </w:rPr>
        <w:t xml:space="preserve">measurement of </w:t>
      </w:r>
      <w:r w:rsidRPr="00971C39">
        <w:rPr>
          <w:sz w:val="22"/>
          <w:szCs w:val="22"/>
        </w:rPr>
        <w:t>standards of care</w:t>
      </w:r>
      <w:r w:rsidR="00FB5BAE">
        <w:rPr>
          <w:sz w:val="22"/>
          <w:szCs w:val="22"/>
        </w:rPr>
        <w:t xml:space="preserve">, </w:t>
      </w:r>
      <w:r w:rsidRPr="00971C39">
        <w:rPr>
          <w:sz w:val="22"/>
          <w:szCs w:val="22"/>
        </w:rPr>
        <w:t>HAB performance measures</w:t>
      </w:r>
      <w:r w:rsidR="00FB5BAE">
        <w:rPr>
          <w:sz w:val="22"/>
          <w:szCs w:val="22"/>
        </w:rPr>
        <w:t>,</w:t>
      </w:r>
      <w:r w:rsidRPr="00971C39">
        <w:rPr>
          <w:sz w:val="22"/>
          <w:szCs w:val="22"/>
        </w:rPr>
        <w:t xml:space="preserve"> and other monitoring activities the Ryan White program requires. Another factor is the data collection practices under the RSR funded scope reporting guidelines. Individuals with no insurance have </w:t>
      </w:r>
      <w:r>
        <w:rPr>
          <w:sz w:val="22"/>
          <w:szCs w:val="22"/>
        </w:rPr>
        <w:t xml:space="preserve">most of </w:t>
      </w:r>
      <w:r w:rsidRPr="00971C39">
        <w:rPr>
          <w:sz w:val="22"/>
          <w:szCs w:val="22"/>
        </w:rPr>
        <w:t xml:space="preserve">their medical services entered in CAREWare, as Ryan White is the only pay source. Individuals with other health care coverage would not have their medical services entered in CAREWare as they are covered by another pay source. </w:t>
      </w:r>
    </w:p>
    <w:p w:rsidR="0081085D" w:rsidRDefault="0081085D" w:rsidP="0081085D">
      <w:pPr>
        <w:widowControl w:val="0"/>
        <w:jc w:val="both"/>
        <w:rPr>
          <w:sz w:val="22"/>
          <w:szCs w:val="22"/>
        </w:rPr>
      </w:pPr>
      <w:r w:rsidRPr="00971C39">
        <w:rPr>
          <w:sz w:val="22"/>
          <w:szCs w:val="22"/>
        </w:rPr>
        <w:t>For race, Hispanics had much better outcomes across the continuum compared to other groups. However, most Hispanics had no insurance, so their positive outcomes were most likely correlated to full reporting of their medical service data, whereas other race/ethnicity groups with other types of insurance did not have all of their medical services reported. The Las Vegas TGA implemented eligible scope reporting in 2015</w:t>
      </w:r>
      <w:r w:rsidR="00FB5BAE">
        <w:rPr>
          <w:sz w:val="22"/>
          <w:szCs w:val="22"/>
        </w:rPr>
        <w:t>. I</w:t>
      </w:r>
      <w:r w:rsidRPr="00971C39">
        <w:rPr>
          <w:sz w:val="22"/>
          <w:szCs w:val="22"/>
        </w:rPr>
        <w:t>t is hoped that this will help eliminate bias and provide more accurate engagement estimates.</w:t>
      </w:r>
    </w:p>
    <w:p w:rsidR="0081085D" w:rsidRPr="00971C39" w:rsidRDefault="0081085D" w:rsidP="0081085D">
      <w:pPr>
        <w:widowControl w:val="0"/>
        <w:jc w:val="both"/>
        <w:rPr>
          <w:sz w:val="22"/>
          <w:szCs w:val="22"/>
        </w:rPr>
      </w:pPr>
      <w:r w:rsidRPr="008A232C">
        <w:rPr>
          <w:b/>
          <w:bCs/>
          <w:i/>
          <w:iCs/>
          <w:sz w:val="22"/>
          <w:szCs w:val="22"/>
        </w:rPr>
        <w:t xml:space="preserve">Linkage to care: </w:t>
      </w:r>
      <w:r w:rsidRPr="008A232C">
        <w:rPr>
          <w:sz w:val="22"/>
          <w:szCs w:val="22"/>
        </w:rPr>
        <w:t>In the Las Vegas TGA, 83% of individuals are linked to care which may be attributed to the ARTAS program</w:t>
      </w:r>
      <w:r w:rsidR="008A232C">
        <w:rPr>
          <w:sz w:val="22"/>
          <w:szCs w:val="22"/>
        </w:rPr>
        <w:t xml:space="preserve">—an individual-level, multi-session, time limited intervention to link newly diagnosed individuals to medical care. </w:t>
      </w:r>
      <w:r w:rsidRPr="00971C39">
        <w:rPr>
          <w:sz w:val="22"/>
          <w:szCs w:val="22"/>
        </w:rPr>
        <w:t xml:space="preserve">When analyzing the transmission </w:t>
      </w:r>
      <w:r>
        <w:rPr>
          <w:sz w:val="22"/>
          <w:szCs w:val="22"/>
        </w:rPr>
        <w:t xml:space="preserve">risks, a </w:t>
      </w:r>
      <w:r w:rsidRPr="00971C39">
        <w:rPr>
          <w:sz w:val="22"/>
          <w:szCs w:val="22"/>
        </w:rPr>
        <w:t xml:space="preserve">statistical difference was seen with </w:t>
      </w:r>
      <w:r w:rsidRPr="00971C39">
        <w:rPr>
          <w:sz w:val="22"/>
          <w:szCs w:val="22"/>
        </w:rPr>
        <w:lastRenderedPageBreak/>
        <w:t>heterosexual clients having a lower linkage rate (78%) compared to MSM (85%), IDU (83%), and MSM/IDU (88%).</w:t>
      </w:r>
      <w:r w:rsidR="00FB5BAE">
        <w:rPr>
          <w:sz w:val="22"/>
          <w:szCs w:val="22"/>
        </w:rPr>
        <w:t xml:space="preserve"> </w:t>
      </w:r>
      <w:r w:rsidRPr="00971C39">
        <w:rPr>
          <w:sz w:val="22"/>
          <w:szCs w:val="22"/>
        </w:rPr>
        <w:t xml:space="preserve">The TGA has programs for heterosexual clients including a straight support group (men and women), a women’s support group, and a </w:t>
      </w:r>
      <w:r w:rsidR="00FB5BAE">
        <w:rPr>
          <w:sz w:val="22"/>
          <w:szCs w:val="22"/>
        </w:rPr>
        <w:t>h</w:t>
      </w:r>
      <w:r w:rsidRPr="00971C39">
        <w:rPr>
          <w:sz w:val="22"/>
          <w:szCs w:val="22"/>
        </w:rPr>
        <w:t xml:space="preserve">ealthy </w:t>
      </w:r>
      <w:r w:rsidR="00FB5BAE">
        <w:rPr>
          <w:sz w:val="22"/>
          <w:szCs w:val="22"/>
        </w:rPr>
        <w:t>r</w:t>
      </w:r>
      <w:r w:rsidRPr="00971C39">
        <w:rPr>
          <w:sz w:val="22"/>
          <w:szCs w:val="22"/>
        </w:rPr>
        <w:t>elationships class for women who have sex with men. As the peer navigation program develops, the grantee’s office will recruit navigators specifically to reach this population and increase the linkage rate among Heterosexuals.</w:t>
      </w:r>
    </w:p>
    <w:p w:rsidR="0081085D" w:rsidRPr="00B41730" w:rsidRDefault="0081085D" w:rsidP="0081085D">
      <w:pPr>
        <w:autoSpaceDE w:val="0"/>
        <w:autoSpaceDN w:val="0"/>
        <w:adjustRightInd w:val="0"/>
        <w:spacing w:before="0" w:after="0"/>
        <w:jc w:val="both"/>
        <w:rPr>
          <w:rFonts w:cs="Times New Roman"/>
          <w:color w:val="000000"/>
          <w:sz w:val="22"/>
          <w:szCs w:val="22"/>
        </w:rPr>
      </w:pPr>
      <w:r w:rsidRPr="00B41730">
        <w:rPr>
          <w:rFonts w:cs="Times New Roman"/>
          <w:b/>
          <w:bCs/>
          <w:i/>
          <w:iCs/>
          <w:color w:val="000000"/>
          <w:sz w:val="22"/>
          <w:szCs w:val="22"/>
        </w:rPr>
        <w:t xml:space="preserve">Received Any Care: </w:t>
      </w:r>
      <w:r w:rsidRPr="00B41730">
        <w:rPr>
          <w:rFonts w:cs="Times New Roman"/>
          <w:color w:val="000000"/>
          <w:sz w:val="22"/>
          <w:szCs w:val="22"/>
        </w:rPr>
        <w:t>Overall</w:t>
      </w:r>
      <w:r w:rsidR="00FB5BAE">
        <w:rPr>
          <w:rFonts w:cs="Times New Roman"/>
          <w:color w:val="000000"/>
          <w:sz w:val="22"/>
          <w:szCs w:val="22"/>
        </w:rPr>
        <w:t>,</w:t>
      </w:r>
      <w:r w:rsidRPr="00B41730">
        <w:rPr>
          <w:rFonts w:cs="Times New Roman"/>
          <w:color w:val="000000"/>
          <w:sz w:val="22"/>
          <w:szCs w:val="22"/>
        </w:rPr>
        <w:t xml:space="preserve"> 59% of RWPA clients had at least one </w:t>
      </w:r>
      <w:r>
        <w:rPr>
          <w:rFonts w:cs="Times New Roman"/>
          <w:color w:val="000000"/>
          <w:sz w:val="22"/>
          <w:szCs w:val="22"/>
        </w:rPr>
        <w:t xml:space="preserve">medical </w:t>
      </w:r>
      <w:r w:rsidRPr="00B41730">
        <w:rPr>
          <w:rFonts w:cs="Times New Roman"/>
          <w:color w:val="000000"/>
          <w:sz w:val="22"/>
          <w:szCs w:val="22"/>
        </w:rPr>
        <w:t>visit in CY 2014</w:t>
      </w:r>
      <w:r>
        <w:rPr>
          <w:rFonts w:cs="Times New Roman"/>
          <w:color w:val="000000"/>
          <w:sz w:val="22"/>
          <w:szCs w:val="22"/>
        </w:rPr>
        <w:t>.</w:t>
      </w:r>
      <w:r w:rsidRPr="00B41730">
        <w:rPr>
          <w:rFonts w:cs="Times New Roman"/>
          <w:color w:val="000000"/>
          <w:sz w:val="22"/>
          <w:szCs w:val="22"/>
        </w:rPr>
        <w:t xml:space="preserve"> </w:t>
      </w:r>
      <w:r>
        <w:rPr>
          <w:rFonts w:cs="Times New Roman"/>
          <w:color w:val="000000"/>
          <w:sz w:val="22"/>
          <w:szCs w:val="22"/>
        </w:rPr>
        <w:t>W</w:t>
      </w:r>
      <w:r w:rsidRPr="00B41730">
        <w:rPr>
          <w:rFonts w:cs="Times New Roman"/>
          <w:color w:val="000000"/>
          <w:sz w:val="22"/>
          <w:szCs w:val="22"/>
        </w:rPr>
        <w:t xml:space="preserve">omen were less likely to have received any care with 54% having a least one visit, compared to men with 60% reporting at least one visit and transgender clients at 86%. The straight support group and women’s support group discuss the importance of regular care with clients. Currently a targeted effort of engaging women in their medical care, especially obtaining a Pap smear yearly is underway. When women visit the clinic for any reason, they have a one-on-one medical consult with a female </w:t>
      </w:r>
      <w:r>
        <w:rPr>
          <w:rFonts w:cs="Times New Roman"/>
          <w:color w:val="000000"/>
          <w:sz w:val="22"/>
          <w:szCs w:val="22"/>
        </w:rPr>
        <w:t>p</w:t>
      </w:r>
      <w:r w:rsidRPr="00B41730">
        <w:rPr>
          <w:rFonts w:cs="Times New Roman"/>
          <w:color w:val="000000"/>
          <w:sz w:val="22"/>
          <w:szCs w:val="22"/>
        </w:rPr>
        <w:t xml:space="preserve">hysician to develop a relationship and to discuss the benefits of regular medical care, including a Pap smear. There is also a focused effort on creating and sustaining healthy relationships </w:t>
      </w:r>
      <w:r>
        <w:rPr>
          <w:rFonts w:cs="Times New Roman"/>
          <w:color w:val="000000"/>
          <w:sz w:val="22"/>
          <w:szCs w:val="22"/>
        </w:rPr>
        <w:t xml:space="preserve">in </w:t>
      </w:r>
      <w:r w:rsidRPr="00B41730">
        <w:rPr>
          <w:rFonts w:cs="Times New Roman"/>
          <w:color w:val="000000"/>
          <w:sz w:val="22"/>
          <w:szCs w:val="22"/>
        </w:rPr>
        <w:t xml:space="preserve">a </w:t>
      </w:r>
      <w:r w:rsidR="00FB5BAE">
        <w:rPr>
          <w:rFonts w:cs="Times New Roman"/>
          <w:color w:val="000000"/>
          <w:sz w:val="22"/>
          <w:szCs w:val="22"/>
        </w:rPr>
        <w:t>six</w:t>
      </w:r>
      <w:r w:rsidRPr="00B41730">
        <w:rPr>
          <w:rFonts w:cs="Times New Roman"/>
          <w:color w:val="000000"/>
          <w:sz w:val="22"/>
          <w:szCs w:val="22"/>
        </w:rPr>
        <w:t xml:space="preserve">-week class through Health Education/Risk Reduction. </w:t>
      </w:r>
    </w:p>
    <w:p w:rsidR="004A3B28" w:rsidRDefault="0081085D" w:rsidP="0081085D">
      <w:pPr>
        <w:widowControl w:val="0"/>
        <w:jc w:val="both"/>
        <w:rPr>
          <w:rFonts w:cs="Times New Roman"/>
          <w:color w:val="000000"/>
          <w:sz w:val="22"/>
          <w:szCs w:val="22"/>
        </w:rPr>
      </w:pPr>
      <w:r w:rsidRPr="00971C39">
        <w:rPr>
          <w:rFonts w:cs="Times New Roman"/>
          <w:b/>
          <w:bCs/>
          <w:i/>
          <w:iCs/>
          <w:color w:val="000000"/>
          <w:sz w:val="22"/>
          <w:szCs w:val="22"/>
        </w:rPr>
        <w:t xml:space="preserve">Retained in Care: </w:t>
      </w:r>
      <w:r w:rsidRPr="00971C39">
        <w:rPr>
          <w:rFonts w:cs="Times New Roman"/>
          <w:color w:val="000000"/>
          <w:sz w:val="22"/>
          <w:szCs w:val="22"/>
        </w:rPr>
        <w:t xml:space="preserve">According to </w:t>
      </w:r>
      <w:r w:rsidR="00CD2A1D">
        <w:rPr>
          <w:rFonts w:cs="Times New Roman"/>
          <w:i/>
          <w:iCs/>
          <w:color w:val="000000"/>
          <w:sz w:val="22"/>
          <w:szCs w:val="22"/>
        </w:rPr>
        <w:t>Figure 24</w:t>
      </w:r>
      <w:r w:rsidRPr="00971C39">
        <w:rPr>
          <w:rFonts w:cs="Times New Roman"/>
          <w:i/>
          <w:iCs/>
          <w:color w:val="000000"/>
          <w:sz w:val="22"/>
          <w:szCs w:val="22"/>
        </w:rPr>
        <w:t xml:space="preserve"> Continuum of Care for Ryan White Clients in the Las Vegas TGA, 2014, </w:t>
      </w:r>
      <w:r w:rsidRPr="00971C39">
        <w:rPr>
          <w:rFonts w:cs="Times New Roman"/>
          <w:color w:val="000000"/>
          <w:sz w:val="22"/>
          <w:szCs w:val="22"/>
        </w:rPr>
        <w:t xml:space="preserve">25% of all clients are retained in care. However, this number </w:t>
      </w:r>
      <w:r>
        <w:rPr>
          <w:rFonts w:cs="Times New Roman"/>
          <w:color w:val="000000"/>
          <w:sz w:val="22"/>
          <w:szCs w:val="22"/>
        </w:rPr>
        <w:t xml:space="preserve">may be </w:t>
      </w:r>
      <w:r w:rsidRPr="00971C39">
        <w:rPr>
          <w:rFonts w:cs="Times New Roman"/>
          <w:color w:val="000000"/>
          <w:sz w:val="22"/>
          <w:szCs w:val="22"/>
        </w:rPr>
        <w:t xml:space="preserve">artificially low due to </w:t>
      </w:r>
      <w:r>
        <w:rPr>
          <w:rFonts w:cs="Times New Roman"/>
          <w:color w:val="000000"/>
          <w:sz w:val="22"/>
          <w:szCs w:val="22"/>
        </w:rPr>
        <w:t xml:space="preserve">inaccurate reporting from </w:t>
      </w:r>
      <w:r w:rsidRPr="00971C39">
        <w:rPr>
          <w:rFonts w:cs="Times New Roman"/>
          <w:color w:val="000000"/>
          <w:sz w:val="22"/>
          <w:szCs w:val="22"/>
        </w:rPr>
        <w:t>individuals with other insurance. In CY 2015</w:t>
      </w:r>
      <w:r w:rsidR="00FB5BAE">
        <w:rPr>
          <w:rFonts w:cs="Times New Roman"/>
          <w:color w:val="000000"/>
          <w:sz w:val="22"/>
          <w:szCs w:val="22"/>
        </w:rPr>
        <w:t>,</w:t>
      </w:r>
      <w:r w:rsidRPr="00971C39">
        <w:rPr>
          <w:rFonts w:cs="Times New Roman"/>
          <w:color w:val="000000"/>
          <w:sz w:val="22"/>
          <w:szCs w:val="22"/>
        </w:rPr>
        <w:t xml:space="preserve"> eligible scope reporting was instituted which will provide a more accurate number of individuals retained in care. </w:t>
      </w:r>
      <w:r>
        <w:rPr>
          <w:rFonts w:cs="Times New Roman"/>
          <w:color w:val="000000"/>
          <w:sz w:val="22"/>
          <w:szCs w:val="22"/>
        </w:rPr>
        <w:t>C</w:t>
      </w:r>
      <w:r w:rsidRPr="00971C39">
        <w:rPr>
          <w:rFonts w:cs="Times New Roman"/>
          <w:color w:val="000000"/>
          <w:sz w:val="22"/>
          <w:szCs w:val="22"/>
        </w:rPr>
        <w:t>lients who reported IDU alone (14% retention rate) or MSM and IDU (4% retention rate)</w:t>
      </w:r>
      <w:r>
        <w:rPr>
          <w:rFonts w:cs="Times New Roman"/>
          <w:color w:val="000000"/>
          <w:sz w:val="22"/>
          <w:szCs w:val="22"/>
        </w:rPr>
        <w:t>,</w:t>
      </w:r>
      <w:r w:rsidRPr="00971C39">
        <w:rPr>
          <w:rFonts w:cs="Times New Roman"/>
          <w:color w:val="000000"/>
          <w:sz w:val="22"/>
          <w:szCs w:val="22"/>
        </w:rPr>
        <w:t xml:space="preserve"> lower percentages of retention </w:t>
      </w:r>
      <w:r>
        <w:rPr>
          <w:rFonts w:cs="Times New Roman"/>
          <w:color w:val="000000"/>
          <w:sz w:val="22"/>
          <w:szCs w:val="22"/>
        </w:rPr>
        <w:t xml:space="preserve">were seen </w:t>
      </w:r>
      <w:r w:rsidRPr="00971C39">
        <w:rPr>
          <w:rFonts w:cs="Times New Roman"/>
          <w:color w:val="000000"/>
          <w:sz w:val="22"/>
          <w:szCs w:val="22"/>
        </w:rPr>
        <w:t>than all other categories. Clients 45 and older (21% retention rate or less) are less likely to be retained in care. This</w:t>
      </w:r>
      <w:r>
        <w:rPr>
          <w:rFonts w:cs="Times New Roman"/>
          <w:color w:val="000000"/>
          <w:sz w:val="22"/>
          <w:szCs w:val="22"/>
        </w:rPr>
        <w:t xml:space="preserve"> may </w:t>
      </w:r>
      <w:r w:rsidRPr="00971C39">
        <w:rPr>
          <w:rFonts w:cs="Times New Roman"/>
          <w:color w:val="000000"/>
          <w:sz w:val="22"/>
          <w:szCs w:val="22"/>
        </w:rPr>
        <w:t xml:space="preserve">be attributed to a number of factors, including other co-morbidities such as substance use and mental health issues. </w:t>
      </w:r>
    </w:p>
    <w:p w:rsidR="0081085D" w:rsidRDefault="0081085D" w:rsidP="0081085D">
      <w:pPr>
        <w:widowControl w:val="0"/>
        <w:jc w:val="both"/>
        <w:rPr>
          <w:rFonts w:cs="Times New Roman"/>
          <w:color w:val="000000"/>
          <w:sz w:val="22"/>
          <w:szCs w:val="22"/>
        </w:rPr>
      </w:pPr>
      <w:r w:rsidRPr="00971C39">
        <w:rPr>
          <w:rFonts w:cs="Times New Roman"/>
          <w:color w:val="000000"/>
          <w:sz w:val="22"/>
          <w:szCs w:val="22"/>
        </w:rPr>
        <w:t>A number of interventions are in place to encourage individuals to stay in care</w:t>
      </w:r>
      <w:r w:rsidR="00FB5BAE">
        <w:rPr>
          <w:rFonts w:cs="Times New Roman"/>
          <w:color w:val="000000"/>
          <w:sz w:val="22"/>
          <w:szCs w:val="22"/>
        </w:rPr>
        <w:t>,</w:t>
      </w:r>
      <w:r w:rsidRPr="00971C39">
        <w:rPr>
          <w:rFonts w:cs="Times New Roman"/>
          <w:color w:val="000000"/>
          <w:sz w:val="22"/>
          <w:szCs w:val="22"/>
        </w:rPr>
        <w:t xml:space="preserve"> including health education classes and support groups. Also, </w:t>
      </w:r>
      <w:r w:rsidR="00FB5BAE">
        <w:rPr>
          <w:rFonts w:cs="Times New Roman"/>
          <w:color w:val="000000"/>
          <w:sz w:val="22"/>
          <w:szCs w:val="22"/>
        </w:rPr>
        <w:t>m</w:t>
      </w:r>
      <w:r w:rsidRPr="00971C39">
        <w:rPr>
          <w:rFonts w:cs="Times New Roman"/>
          <w:color w:val="000000"/>
          <w:sz w:val="22"/>
          <w:szCs w:val="22"/>
        </w:rPr>
        <w:t xml:space="preserve">edical </w:t>
      </w:r>
      <w:r w:rsidR="00FB5BAE">
        <w:rPr>
          <w:rFonts w:cs="Times New Roman"/>
          <w:color w:val="000000"/>
          <w:sz w:val="22"/>
          <w:szCs w:val="22"/>
        </w:rPr>
        <w:t>c</w:t>
      </w:r>
      <w:r w:rsidRPr="00971C39">
        <w:rPr>
          <w:rFonts w:cs="Times New Roman"/>
          <w:color w:val="000000"/>
          <w:sz w:val="22"/>
          <w:szCs w:val="22"/>
        </w:rPr>
        <w:t xml:space="preserve">ase </w:t>
      </w:r>
      <w:r w:rsidR="00FB5BAE">
        <w:rPr>
          <w:rFonts w:cs="Times New Roman"/>
          <w:color w:val="000000"/>
          <w:sz w:val="22"/>
          <w:szCs w:val="22"/>
        </w:rPr>
        <w:t>m</w:t>
      </w:r>
      <w:r w:rsidRPr="00971C39">
        <w:rPr>
          <w:rFonts w:cs="Times New Roman"/>
          <w:color w:val="000000"/>
          <w:sz w:val="22"/>
          <w:szCs w:val="22"/>
        </w:rPr>
        <w:t xml:space="preserve">anagers are required to have a face-to-face meeting with clients at least every </w:t>
      </w:r>
      <w:r w:rsidR="00FB5BAE">
        <w:rPr>
          <w:rFonts w:cs="Times New Roman"/>
          <w:color w:val="000000"/>
          <w:sz w:val="22"/>
          <w:szCs w:val="22"/>
        </w:rPr>
        <w:t>three</w:t>
      </w:r>
      <w:r w:rsidRPr="00971C39">
        <w:rPr>
          <w:rFonts w:cs="Times New Roman"/>
          <w:color w:val="000000"/>
          <w:sz w:val="22"/>
          <w:szCs w:val="22"/>
        </w:rPr>
        <w:t xml:space="preserve"> months and make contact calls to individuals that have not been seen in </w:t>
      </w:r>
      <w:r w:rsidR="00FB5BAE">
        <w:rPr>
          <w:rFonts w:cs="Times New Roman"/>
          <w:color w:val="000000"/>
          <w:sz w:val="22"/>
          <w:szCs w:val="22"/>
        </w:rPr>
        <w:t>nine</w:t>
      </w:r>
      <w:r w:rsidRPr="00971C39">
        <w:rPr>
          <w:rFonts w:cs="Times New Roman"/>
          <w:color w:val="000000"/>
          <w:sz w:val="22"/>
          <w:szCs w:val="22"/>
        </w:rPr>
        <w:t xml:space="preserve"> months in an effort to bring them back into care.</w:t>
      </w:r>
    </w:p>
    <w:p w:rsidR="00CD2A1D" w:rsidRDefault="00CD2A1D" w:rsidP="0081085D">
      <w:pPr>
        <w:widowControl w:val="0"/>
        <w:jc w:val="both"/>
        <w:rPr>
          <w:rFonts w:cs="Times New Roman"/>
          <w:b/>
          <w:iCs/>
          <w:color w:val="000000"/>
          <w:sz w:val="22"/>
          <w:szCs w:val="22"/>
        </w:rPr>
      </w:pPr>
      <w:r w:rsidRPr="00CD2A1D">
        <w:rPr>
          <w:rFonts w:cs="Times New Roman"/>
          <w:b/>
          <w:color w:val="000000"/>
          <w:sz w:val="22"/>
          <w:szCs w:val="22"/>
        </w:rPr>
        <w:t>Figure</w:t>
      </w:r>
      <w:r>
        <w:rPr>
          <w:rFonts w:cs="Times New Roman"/>
          <w:b/>
          <w:color w:val="000000"/>
          <w:sz w:val="22"/>
          <w:szCs w:val="22"/>
        </w:rPr>
        <w:t xml:space="preserve"> 24. </w:t>
      </w:r>
      <w:r w:rsidRPr="00CD2A1D">
        <w:rPr>
          <w:rFonts w:cs="Times New Roman"/>
          <w:b/>
          <w:iCs/>
          <w:color w:val="000000"/>
          <w:sz w:val="22"/>
          <w:szCs w:val="22"/>
        </w:rPr>
        <w:t>Continuum of Care for Ryan White Clients in the Las Vegas TGA, 2014</w:t>
      </w:r>
    </w:p>
    <w:p w:rsidR="00CD2A1D" w:rsidRDefault="00CD2A1D" w:rsidP="0081085D">
      <w:pPr>
        <w:widowControl w:val="0"/>
        <w:jc w:val="both"/>
        <w:rPr>
          <w:rFonts w:cs="Times New Roman"/>
          <w:color w:val="000000"/>
          <w:sz w:val="22"/>
          <w:szCs w:val="22"/>
        </w:rPr>
      </w:pPr>
      <w:r w:rsidRPr="00CD2A1D">
        <w:rPr>
          <w:rFonts w:cs="Times New Roman"/>
          <w:noProof/>
          <w:color w:val="000000"/>
          <w:sz w:val="22"/>
          <w:szCs w:val="22"/>
        </w:rPr>
        <w:drawing>
          <wp:inline distT="0" distB="0" distL="0" distR="0" wp14:anchorId="15E327D2" wp14:editId="467B641A">
            <wp:extent cx="5947576" cy="156591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576" cy="1565910"/>
                    </a:xfrm>
                    <a:prstGeom prst="rect">
                      <a:avLst/>
                    </a:prstGeom>
                    <a:noFill/>
                    <a:ln>
                      <a:noFill/>
                    </a:ln>
                  </pic:spPr>
                </pic:pic>
              </a:graphicData>
            </a:graphic>
          </wp:inline>
        </w:drawing>
      </w:r>
    </w:p>
    <w:p w:rsidR="004A3B28" w:rsidRDefault="004A3B28" w:rsidP="00CD2A1D">
      <w:pPr>
        <w:widowControl w:val="0"/>
        <w:jc w:val="both"/>
        <w:rPr>
          <w:rFonts w:cs="Times New Roman"/>
          <w:b/>
          <w:color w:val="000000"/>
          <w:sz w:val="22"/>
          <w:szCs w:val="22"/>
        </w:rPr>
      </w:pPr>
    </w:p>
    <w:p w:rsidR="004A3B28" w:rsidRDefault="004A3B28" w:rsidP="00CD2A1D">
      <w:pPr>
        <w:widowControl w:val="0"/>
        <w:jc w:val="both"/>
        <w:rPr>
          <w:rFonts w:cs="Times New Roman"/>
          <w:b/>
          <w:color w:val="000000"/>
          <w:sz w:val="22"/>
          <w:szCs w:val="22"/>
        </w:rPr>
      </w:pPr>
    </w:p>
    <w:p w:rsidR="00CD2A1D" w:rsidRPr="00CD2A1D" w:rsidRDefault="00CD2A1D" w:rsidP="00CD2A1D">
      <w:pPr>
        <w:widowControl w:val="0"/>
        <w:jc w:val="both"/>
        <w:rPr>
          <w:rFonts w:cs="Times New Roman"/>
          <w:b/>
          <w:color w:val="000000"/>
          <w:sz w:val="22"/>
          <w:szCs w:val="22"/>
        </w:rPr>
      </w:pPr>
      <w:r w:rsidRPr="00CD2A1D">
        <w:rPr>
          <w:rFonts w:cs="Times New Roman"/>
          <w:b/>
          <w:color w:val="000000"/>
          <w:sz w:val="22"/>
          <w:szCs w:val="22"/>
        </w:rPr>
        <w:lastRenderedPageBreak/>
        <w:t>Figure</w:t>
      </w:r>
      <w:r>
        <w:rPr>
          <w:rFonts w:cs="Times New Roman"/>
          <w:b/>
          <w:color w:val="000000"/>
          <w:sz w:val="22"/>
          <w:szCs w:val="22"/>
        </w:rPr>
        <w:t xml:space="preserve"> 25. </w:t>
      </w:r>
      <w:r w:rsidRPr="00CD2A1D">
        <w:rPr>
          <w:rFonts w:cs="Times New Roman"/>
          <w:b/>
          <w:iCs/>
          <w:color w:val="000000"/>
          <w:sz w:val="22"/>
          <w:szCs w:val="22"/>
        </w:rPr>
        <w:t>Continuum of Care for Ryan White Clients</w:t>
      </w:r>
      <w:r>
        <w:rPr>
          <w:rFonts w:cs="Times New Roman"/>
          <w:b/>
          <w:iCs/>
          <w:color w:val="000000"/>
          <w:sz w:val="22"/>
          <w:szCs w:val="22"/>
        </w:rPr>
        <w:t xml:space="preserve"> with No Insurance</w:t>
      </w:r>
      <w:r w:rsidRPr="00CD2A1D">
        <w:rPr>
          <w:rFonts w:cs="Times New Roman"/>
          <w:b/>
          <w:iCs/>
          <w:color w:val="000000"/>
          <w:sz w:val="22"/>
          <w:szCs w:val="22"/>
        </w:rPr>
        <w:t xml:space="preserve"> in the Las Vegas TGA, 2014</w:t>
      </w:r>
    </w:p>
    <w:p w:rsidR="00CD2A1D" w:rsidRDefault="00CD2A1D" w:rsidP="0081085D">
      <w:pPr>
        <w:autoSpaceDE w:val="0"/>
        <w:autoSpaceDN w:val="0"/>
        <w:adjustRightInd w:val="0"/>
        <w:spacing w:before="0" w:after="0"/>
        <w:jc w:val="both"/>
        <w:rPr>
          <w:rFonts w:cs="Times New Roman"/>
          <w:b/>
          <w:bCs/>
          <w:i/>
          <w:iCs/>
          <w:color w:val="000000"/>
          <w:sz w:val="22"/>
          <w:szCs w:val="22"/>
        </w:rPr>
      </w:pPr>
      <w:r w:rsidRPr="00CD2A1D">
        <w:rPr>
          <w:rFonts w:cs="Times New Roman"/>
          <w:b/>
          <w:bCs/>
          <w:i/>
          <w:iCs/>
          <w:noProof/>
          <w:color w:val="000000"/>
          <w:sz w:val="22"/>
          <w:szCs w:val="22"/>
        </w:rPr>
        <w:drawing>
          <wp:inline distT="0" distB="0" distL="0" distR="0" wp14:anchorId="06BC17DC" wp14:editId="78EC014D">
            <wp:extent cx="5943600" cy="187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71200"/>
                    </a:xfrm>
                    <a:prstGeom prst="rect">
                      <a:avLst/>
                    </a:prstGeom>
                    <a:noFill/>
                    <a:ln>
                      <a:noFill/>
                    </a:ln>
                  </pic:spPr>
                </pic:pic>
              </a:graphicData>
            </a:graphic>
          </wp:inline>
        </w:drawing>
      </w:r>
    </w:p>
    <w:p w:rsidR="00CD2A1D" w:rsidRDefault="00CD2A1D" w:rsidP="0081085D">
      <w:pPr>
        <w:autoSpaceDE w:val="0"/>
        <w:autoSpaceDN w:val="0"/>
        <w:adjustRightInd w:val="0"/>
        <w:spacing w:before="0" w:after="0"/>
        <w:jc w:val="both"/>
        <w:rPr>
          <w:rFonts w:cs="Times New Roman"/>
          <w:b/>
          <w:bCs/>
          <w:i/>
          <w:iCs/>
          <w:color w:val="000000"/>
          <w:sz w:val="22"/>
          <w:szCs w:val="22"/>
        </w:rPr>
      </w:pPr>
    </w:p>
    <w:p w:rsidR="0081085D" w:rsidRPr="00B41730" w:rsidRDefault="0081085D" w:rsidP="0081085D">
      <w:pPr>
        <w:autoSpaceDE w:val="0"/>
        <w:autoSpaceDN w:val="0"/>
        <w:adjustRightInd w:val="0"/>
        <w:spacing w:before="0" w:after="0"/>
        <w:jc w:val="both"/>
        <w:rPr>
          <w:rFonts w:cs="Times New Roman"/>
          <w:color w:val="000000"/>
          <w:sz w:val="22"/>
          <w:szCs w:val="22"/>
        </w:rPr>
      </w:pPr>
      <w:r w:rsidRPr="00B41730">
        <w:rPr>
          <w:rFonts w:cs="Times New Roman"/>
          <w:b/>
          <w:bCs/>
          <w:i/>
          <w:iCs/>
          <w:color w:val="000000"/>
          <w:sz w:val="22"/>
          <w:szCs w:val="22"/>
        </w:rPr>
        <w:t xml:space="preserve">Prescribed ART: </w:t>
      </w:r>
      <w:r w:rsidRPr="00B41730">
        <w:rPr>
          <w:rFonts w:cs="Times New Roman"/>
          <w:color w:val="000000"/>
          <w:sz w:val="22"/>
          <w:szCs w:val="22"/>
        </w:rPr>
        <w:t>Significant differences in prescription of ART were seen with gender, race, risk factor, and age. Women were less likely to have been prescribed ART (41% prescribed ART) compared to men (48% prescribed ART) and transgender clients (71% prescribed ART). African American clients had the lowest percentage of ART prescription, 32% were prescribed ART in comparison to 71% of Hispanic clients. Clients aged 13-24 and 55 and older were less likely to have been prescribed ART</w:t>
      </w:r>
      <w:r>
        <w:rPr>
          <w:rFonts w:cs="Times New Roman"/>
          <w:color w:val="000000"/>
          <w:sz w:val="22"/>
          <w:szCs w:val="22"/>
        </w:rPr>
        <w:t xml:space="preserve"> (</w:t>
      </w:r>
      <w:r w:rsidRPr="00B41730">
        <w:rPr>
          <w:rFonts w:cs="Times New Roman"/>
          <w:color w:val="000000"/>
          <w:sz w:val="22"/>
          <w:szCs w:val="22"/>
        </w:rPr>
        <w:t>32% and 39% respectively</w:t>
      </w:r>
      <w:r>
        <w:rPr>
          <w:rFonts w:cs="Times New Roman"/>
          <w:color w:val="000000"/>
          <w:sz w:val="22"/>
          <w:szCs w:val="22"/>
        </w:rPr>
        <w:t>)</w:t>
      </w:r>
      <w:r w:rsidRPr="00B41730">
        <w:rPr>
          <w:rFonts w:cs="Times New Roman"/>
          <w:color w:val="000000"/>
          <w:sz w:val="22"/>
          <w:szCs w:val="22"/>
        </w:rPr>
        <w:t xml:space="preserve">. Targeted interventions </w:t>
      </w:r>
      <w:r>
        <w:rPr>
          <w:rFonts w:cs="Times New Roman"/>
          <w:color w:val="000000"/>
          <w:sz w:val="22"/>
          <w:szCs w:val="22"/>
        </w:rPr>
        <w:t xml:space="preserve">focusing </w:t>
      </w:r>
      <w:r w:rsidRPr="00B41730">
        <w:rPr>
          <w:rFonts w:cs="Times New Roman"/>
          <w:color w:val="000000"/>
          <w:sz w:val="22"/>
          <w:szCs w:val="22"/>
        </w:rPr>
        <w:t>on the necessity of medication, self-care</w:t>
      </w:r>
      <w:r w:rsidR="004A3B28">
        <w:rPr>
          <w:rFonts w:cs="Times New Roman"/>
          <w:color w:val="000000"/>
          <w:sz w:val="22"/>
          <w:szCs w:val="22"/>
        </w:rPr>
        <w:t>,</w:t>
      </w:r>
      <w:r w:rsidRPr="00B41730">
        <w:rPr>
          <w:rFonts w:cs="Times New Roman"/>
          <w:color w:val="000000"/>
          <w:sz w:val="22"/>
          <w:szCs w:val="22"/>
        </w:rPr>
        <w:t xml:space="preserve"> and advocating for one’s needs are available through support groups, classes and one-on-one </w:t>
      </w:r>
      <w:r w:rsidR="00FB5BAE">
        <w:rPr>
          <w:rFonts w:cs="Times New Roman"/>
          <w:color w:val="000000"/>
          <w:sz w:val="22"/>
          <w:szCs w:val="22"/>
        </w:rPr>
        <w:t>m</w:t>
      </w:r>
      <w:r w:rsidRPr="00B41730">
        <w:rPr>
          <w:rFonts w:cs="Times New Roman"/>
          <w:color w:val="000000"/>
          <w:sz w:val="22"/>
          <w:szCs w:val="22"/>
        </w:rPr>
        <w:t xml:space="preserve">edical </w:t>
      </w:r>
      <w:r w:rsidR="00FB5BAE">
        <w:rPr>
          <w:rFonts w:cs="Times New Roman"/>
          <w:color w:val="000000"/>
          <w:sz w:val="22"/>
          <w:szCs w:val="22"/>
        </w:rPr>
        <w:t>c</w:t>
      </w:r>
      <w:r w:rsidRPr="00B41730">
        <w:rPr>
          <w:rFonts w:cs="Times New Roman"/>
          <w:color w:val="000000"/>
          <w:sz w:val="22"/>
          <w:szCs w:val="22"/>
        </w:rPr>
        <w:t xml:space="preserve">ase </w:t>
      </w:r>
      <w:r w:rsidR="00FB5BAE">
        <w:rPr>
          <w:rFonts w:cs="Times New Roman"/>
          <w:color w:val="000000"/>
          <w:sz w:val="22"/>
          <w:szCs w:val="22"/>
        </w:rPr>
        <w:t>m</w:t>
      </w:r>
      <w:r w:rsidRPr="00B41730">
        <w:rPr>
          <w:rFonts w:cs="Times New Roman"/>
          <w:color w:val="000000"/>
          <w:sz w:val="22"/>
          <w:szCs w:val="22"/>
        </w:rPr>
        <w:t>anagement. A portion of the difference in numbers reported</w:t>
      </w:r>
      <w:r>
        <w:rPr>
          <w:rFonts w:cs="Times New Roman"/>
          <w:color w:val="000000"/>
          <w:sz w:val="22"/>
          <w:szCs w:val="22"/>
        </w:rPr>
        <w:t xml:space="preserve"> may</w:t>
      </w:r>
      <w:r w:rsidRPr="00B41730">
        <w:rPr>
          <w:rFonts w:cs="Times New Roman"/>
          <w:color w:val="000000"/>
          <w:sz w:val="22"/>
          <w:szCs w:val="22"/>
        </w:rPr>
        <w:t xml:space="preserve"> be attributed to the d</w:t>
      </w:r>
      <w:r>
        <w:rPr>
          <w:rFonts w:cs="Times New Roman"/>
          <w:color w:val="000000"/>
          <w:sz w:val="22"/>
          <w:szCs w:val="22"/>
        </w:rPr>
        <w:t>ata collection challenges</w:t>
      </w:r>
      <w:r w:rsidRPr="00B41730">
        <w:rPr>
          <w:rFonts w:cs="Times New Roman"/>
          <w:color w:val="000000"/>
          <w:sz w:val="22"/>
          <w:szCs w:val="22"/>
        </w:rPr>
        <w:t>, which should be diminished with the move to eligible scope reporting and the state requirement for all CD4 and Viral Load results to be reported</w:t>
      </w:r>
      <w:r>
        <w:rPr>
          <w:rFonts w:cs="Times New Roman"/>
          <w:color w:val="000000"/>
          <w:sz w:val="22"/>
          <w:szCs w:val="22"/>
        </w:rPr>
        <w:t>.</w:t>
      </w:r>
    </w:p>
    <w:p w:rsidR="0081085D" w:rsidRPr="00971C39" w:rsidRDefault="0081085D" w:rsidP="0081085D">
      <w:pPr>
        <w:widowControl w:val="0"/>
        <w:jc w:val="both"/>
        <w:rPr>
          <w:b/>
          <w:bCs/>
          <w:iCs/>
          <w:caps/>
          <w:color w:val="17365D"/>
          <w:sz w:val="22"/>
          <w:szCs w:val="22"/>
        </w:rPr>
      </w:pPr>
      <w:r w:rsidRPr="00971C39">
        <w:rPr>
          <w:rFonts w:cs="Times New Roman"/>
          <w:b/>
          <w:bCs/>
          <w:i/>
          <w:iCs/>
          <w:color w:val="000000"/>
          <w:sz w:val="22"/>
          <w:szCs w:val="22"/>
        </w:rPr>
        <w:t xml:space="preserve">Viral suppression: </w:t>
      </w:r>
      <w:r w:rsidRPr="00971C39">
        <w:rPr>
          <w:rFonts w:cs="Times New Roman"/>
          <w:color w:val="000000"/>
          <w:sz w:val="22"/>
          <w:szCs w:val="22"/>
        </w:rPr>
        <w:t xml:space="preserve">Race and insurance status were the only characteristics for which there was a statistical difference in viral load suppression. White, Black and Other race all reported </w:t>
      </w:r>
      <w:r>
        <w:rPr>
          <w:rFonts w:cs="Times New Roman"/>
          <w:color w:val="000000"/>
          <w:sz w:val="22"/>
          <w:szCs w:val="22"/>
        </w:rPr>
        <w:t xml:space="preserve">that </w:t>
      </w:r>
      <w:r w:rsidRPr="00971C39">
        <w:rPr>
          <w:rFonts w:cs="Times New Roman"/>
          <w:color w:val="000000"/>
          <w:sz w:val="22"/>
          <w:szCs w:val="22"/>
        </w:rPr>
        <w:t xml:space="preserve">36% </w:t>
      </w:r>
      <w:r>
        <w:rPr>
          <w:rFonts w:cs="Times New Roman"/>
          <w:color w:val="000000"/>
          <w:sz w:val="22"/>
          <w:szCs w:val="22"/>
        </w:rPr>
        <w:t xml:space="preserve">were </w:t>
      </w:r>
      <w:r w:rsidRPr="00971C39">
        <w:rPr>
          <w:rFonts w:cs="Times New Roman"/>
          <w:color w:val="000000"/>
          <w:sz w:val="22"/>
          <w:szCs w:val="22"/>
        </w:rPr>
        <w:t>virally suppressed in contrast</w:t>
      </w:r>
      <w:r>
        <w:rPr>
          <w:rFonts w:cs="Times New Roman"/>
          <w:color w:val="000000"/>
          <w:sz w:val="22"/>
          <w:szCs w:val="22"/>
        </w:rPr>
        <w:t xml:space="preserve"> to</w:t>
      </w:r>
      <w:r w:rsidRPr="00971C39">
        <w:rPr>
          <w:rFonts w:cs="Times New Roman"/>
          <w:color w:val="000000"/>
          <w:sz w:val="22"/>
          <w:szCs w:val="22"/>
        </w:rPr>
        <w:t xml:space="preserve"> 59% of Hispanic clients </w:t>
      </w:r>
      <w:r>
        <w:rPr>
          <w:rFonts w:cs="Times New Roman"/>
          <w:color w:val="000000"/>
          <w:sz w:val="22"/>
          <w:szCs w:val="22"/>
        </w:rPr>
        <w:t xml:space="preserve">with </w:t>
      </w:r>
      <w:r w:rsidRPr="00971C39">
        <w:rPr>
          <w:rFonts w:cs="Times New Roman"/>
          <w:color w:val="000000"/>
          <w:sz w:val="22"/>
          <w:szCs w:val="22"/>
        </w:rPr>
        <w:t xml:space="preserve">viral suppression. Clients with no insurance had a 62% rate of viral suppression while clients with Medicaid and Medicare reported a 38% and 26% viral suppression rate respectively. Although not statistically significant, IDU and MSM/IDU had lower rates of suppression, 35% and 29% respectively. A portion of the difference in numbers reported </w:t>
      </w:r>
      <w:r>
        <w:rPr>
          <w:rFonts w:cs="Times New Roman"/>
          <w:color w:val="000000"/>
          <w:sz w:val="22"/>
          <w:szCs w:val="22"/>
        </w:rPr>
        <w:t xml:space="preserve">may </w:t>
      </w:r>
      <w:r w:rsidRPr="00971C39">
        <w:rPr>
          <w:rFonts w:cs="Times New Roman"/>
          <w:color w:val="000000"/>
          <w:sz w:val="22"/>
          <w:szCs w:val="22"/>
        </w:rPr>
        <w:t xml:space="preserve">be attributed to the data collection </w:t>
      </w:r>
      <w:r>
        <w:rPr>
          <w:rFonts w:cs="Times New Roman"/>
          <w:color w:val="000000"/>
          <w:sz w:val="22"/>
          <w:szCs w:val="22"/>
        </w:rPr>
        <w:t xml:space="preserve">challenges </w:t>
      </w:r>
      <w:r w:rsidRPr="00971C39">
        <w:rPr>
          <w:rFonts w:cs="Times New Roman"/>
          <w:color w:val="000000"/>
          <w:sz w:val="22"/>
          <w:szCs w:val="22"/>
        </w:rPr>
        <w:t xml:space="preserve">which should be diminished with the move to eligible scope reporting and the state requirement for all CD4 and </w:t>
      </w:r>
      <w:r w:rsidR="00FB5BAE">
        <w:rPr>
          <w:rFonts w:cs="Times New Roman"/>
          <w:color w:val="000000"/>
          <w:sz w:val="22"/>
          <w:szCs w:val="22"/>
        </w:rPr>
        <w:t>v</w:t>
      </w:r>
      <w:r w:rsidRPr="00971C39">
        <w:rPr>
          <w:rFonts w:cs="Times New Roman"/>
          <w:color w:val="000000"/>
          <w:sz w:val="22"/>
          <w:szCs w:val="22"/>
        </w:rPr>
        <w:t xml:space="preserve">iral </w:t>
      </w:r>
      <w:r w:rsidR="00FB5BAE">
        <w:rPr>
          <w:rFonts w:cs="Times New Roman"/>
          <w:color w:val="000000"/>
          <w:sz w:val="22"/>
          <w:szCs w:val="22"/>
        </w:rPr>
        <w:t>l</w:t>
      </w:r>
      <w:r w:rsidRPr="00971C39">
        <w:rPr>
          <w:rFonts w:cs="Times New Roman"/>
          <w:color w:val="000000"/>
          <w:sz w:val="22"/>
          <w:szCs w:val="22"/>
        </w:rPr>
        <w:t xml:space="preserve">oad results to be reported. Grantee staff </w:t>
      </w:r>
      <w:r>
        <w:rPr>
          <w:rFonts w:cs="Times New Roman"/>
          <w:color w:val="000000"/>
          <w:sz w:val="22"/>
          <w:szCs w:val="22"/>
        </w:rPr>
        <w:t>members are</w:t>
      </w:r>
      <w:r w:rsidRPr="00971C39">
        <w:rPr>
          <w:rFonts w:cs="Times New Roman"/>
          <w:color w:val="000000"/>
          <w:sz w:val="22"/>
          <w:szCs w:val="22"/>
        </w:rPr>
        <w:t xml:space="preserve"> planning for implementation of a peer navigator program in 2016 which will focus, in part, on the importance of medication adherence to achieve viral suppression.</w:t>
      </w:r>
    </w:p>
    <w:p w:rsidR="00512FE8" w:rsidRPr="00F34263" w:rsidRDefault="00512FE8" w:rsidP="003317C9">
      <w:pPr>
        <w:pStyle w:val="ListParagraph"/>
        <w:widowControl w:val="0"/>
        <w:numPr>
          <w:ilvl w:val="0"/>
          <w:numId w:val="4"/>
        </w:numPr>
        <w:tabs>
          <w:tab w:val="left" w:pos="220"/>
          <w:tab w:val="left" w:pos="720"/>
        </w:tabs>
        <w:autoSpaceDE w:val="0"/>
        <w:autoSpaceDN w:val="0"/>
        <w:adjustRightInd w:val="0"/>
        <w:spacing w:line="240" w:lineRule="auto"/>
        <w:rPr>
          <w:rFonts w:cs="Calibri Light"/>
          <w:i/>
          <w:sz w:val="22"/>
        </w:rPr>
      </w:pPr>
      <w:r w:rsidRPr="00F34263">
        <w:rPr>
          <w:rFonts w:cs="Calibri Light"/>
          <w:i/>
          <w:sz w:val="22"/>
        </w:rPr>
        <w:t xml:space="preserve">Describe how the HIV Care Continuum may be or is currently utilized in (1) planning, prioritizing, targeting, and monitoring available resources in response to the needs of PLWH in the jurisdiction, and (2) improving engagement and outcomes at each stage of the HIV Care Continuum. </w:t>
      </w:r>
      <w:r w:rsidRPr="00F34263">
        <w:rPr>
          <w:rFonts w:ascii="MS Gothic" w:eastAsia="MS Gothic" w:hAnsi="MS Gothic" w:cs="MS Gothic" w:hint="eastAsia"/>
          <w:i/>
          <w:sz w:val="22"/>
        </w:rPr>
        <w:t> </w:t>
      </w:r>
    </w:p>
    <w:p w:rsidR="00264FB3" w:rsidRPr="00697880" w:rsidRDefault="00264FB3" w:rsidP="00FB51EE">
      <w:pPr>
        <w:ind w:left="90"/>
        <w:jc w:val="both"/>
        <w:rPr>
          <w:rFonts w:cs="Calibri Light"/>
          <w:sz w:val="22"/>
          <w:szCs w:val="22"/>
        </w:rPr>
      </w:pPr>
      <w:r w:rsidRPr="00697880">
        <w:rPr>
          <w:rFonts w:cs="Calibri Light"/>
          <w:sz w:val="22"/>
          <w:szCs w:val="22"/>
        </w:rPr>
        <w:t xml:space="preserve">Nevada uses the HIV Care Continuum to closely examine the proportion of </w:t>
      </w:r>
      <w:r w:rsidR="00FB5BAE">
        <w:rPr>
          <w:rFonts w:cs="Calibri Light"/>
          <w:sz w:val="22"/>
          <w:szCs w:val="22"/>
        </w:rPr>
        <w:t>PLWH</w:t>
      </w:r>
      <w:r w:rsidRPr="00697880">
        <w:rPr>
          <w:rFonts w:cs="Calibri Light"/>
          <w:sz w:val="22"/>
          <w:szCs w:val="22"/>
        </w:rPr>
        <w:t xml:space="preserve"> engaged in each of the stages of the continuum to pinpoint where gaps may exist in connecting PLWH to sustained quality care and to implement system improvements and service enhancements that better support individuals as they move from one stage in the continuum to the next. Knowing where the drop-offs are most </w:t>
      </w:r>
      <w:r w:rsidRPr="00697880">
        <w:rPr>
          <w:rFonts w:cs="Calibri Light"/>
          <w:sz w:val="22"/>
          <w:szCs w:val="22"/>
        </w:rPr>
        <w:lastRenderedPageBreak/>
        <w:t xml:space="preserve">pronounced, and for what populations, is vital to knowing how, where, and when to intervene to break the cycle of HIV transmission in Nevada. With the change in Nevada law that requires reporting of all CD4 measures and HIV viral load now in effect, going forward Nevada will have enhanced data to pinpoint gaps and implement improvements, thereby increasing the proportion of PLWH who are prescribed ART and are able to adhere to their treatment so that they can achieve viral load suppression. This will allow them to live healthier, longer lives and reduce the chances that they will transmit HIV to others. </w:t>
      </w:r>
    </w:p>
    <w:p w:rsidR="00264FB3" w:rsidRPr="00697880" w:rsidRDefault="00264FB3" w:rsidP="00FB51EE">
      <w:pPr>
        <w:ind w:left="90"/>
        <w:jc w:val="both"/>
        <w:rPr>
          <w:sz w:val="22"/>
          <w:szCs w:val="22"/>
        </w:rPr>
      </w:pPr>
      <w:r w:rsidRPr="00697880">
        <w:rPr>
          <w:sz w:val="22"/>
          <w:szCs w:val="22"/>
        </w:rPr>
        <w:t>The HIV Care Continuum is currently used in the following ways in the Las Vegas TGA: 1) Planning Council’s Priority Setting and Resource Allocation (PSRA) process; 2) analyzed and evaluated by the Planning Council’s Strategic Planning and Assessment committee for possible trends, gaps and opportunities for improvement; 3) aids in the selection of target populations for the EIIHA plan; 4) supports the development of the implementation plan; 5) supports planning quality improvement projects; 6) used to assist in determining target populations for targeted needs assessments; 7) supports the development of the Integrated HIV Prevention and Care Plan; 8) utilized by sub-populations to better understand any disparities and how to better tailor engagement efforts to specific communities; and 9) used as part of the annual TGA-wide “out of care” project that brings people who have fallen out of care back in to care. Future plans include using the continuum at the provider level to help agencies frame their programs in terms of the care continuum. The Grantee’s office will work with providers to identify interventions targeted at specific steps of the continuum to improve engagement and outcomes. Plans include providing an agency specific care continuum on a quarterly basis</w:t>
      </w:r>
      <w:r w:rsidR="004A3B28">
        <w:rPr>
          <w:sz w:val="22"/>
          <w:szCs w:val="22"/>
        </w:rPr>
        <w:t>,</w:t>
      </w:r>
      <w:r w:rsidRPr="00697880">
        <w:rPr>
          <w:sz w:val="22"/>
          <w:szCs w:val="22"/>
        </w:rPr>
        <w:t xml:space="preserve"> which will quickly illustrate successes and opportunities for improvement at an agency specific level. Additionally, the quarterly reports will help focus each provider on the National HIV/AIDS Strategy goals for the HIV Care Continuum.</w:t>
      </w:r>
    </w:p>
    <w:p w:rsidR="00512FE8" w:rsidRDefault="00512FE8" w:rsidP="00A51D20">
      <w:pPr>
        <w:pStyle w:val="Heading2"/>
      </w:pPr>
      <w:bookmarkStart w:id="35" w:name="_Toc461188578"/>
      <w:r>
        <w:t>C. Financial and Human Resources Inventory</w:t>
      </w:r>
      <w:bookmarkEnd w:id="35"/>
      <w:r>
        <w:t xml:space="preserve"> </w:t>
      </w:r>
    </w:p>
    <w:p w:rsidR="00512FE8" w:rsidRPr="00697880" w:rsidRDefault="00512FE8" w:rsidP="00697880">
      <w:pPr>
        <w:widowControl w:val="0"/>
        <w:autoSpaceDE w:val="0"/>
        <w:autoSpaceDN w:val="0"/>
        <w:adjustRightInd w:val="0"/>
        <w:spacing w:before="240" w:after="0" w:line="240" w:lineRule="auto"/>
        <w:ind w:firstLine="720"/>
        <w:rPr>
          <w:rFonts w:cs="Calibri Light"/>
          <w:i/>
          <w:sz w:val="22"/>
          <w:szCs w:val="22"/>
        </w:rPr>
      </w:pPr>
      <w:r w:rsidRPr="00697880">
        <w:rPr>
          <w:rFonts w:cs="Calibri Light"/>
          <w:i/>
          <w:sz w:val="22"/>
          <w:szCs w:val="22"/>
        </w:rPr>
        <w:t xml:space="preserve">a. Provide in a table format a jurisdictional HIV resources Inventory, that includes: (1) public and private funding sources for HIV prevention, care, and treatment services in the jurisdiction, (2) the dollar amount and the percentage of the total available funds in fiscal year (FY) 2016 for each funding source; (3) how the resources are being used (i.e., services delivered); and (4) which components of HIV prevention programming and/or steps of the HIV Care Continuum is (are) impacted. At a minimum, the table should contain the following information: </w:t>
      </w:r>
    </w:p>
    <w:p w:rsidR="00512FE8" w:rsidRPr="00697880" w:rsidRDefault="00512FE8" w:rsidP="003317C9">
      <w:pPr>
        <w:pStyle w:val="ListParagraph"/>
        <w:widowControl w:val="0"/>
        <w:numPr>
          <w:ilvl w:val="0"/>
          <w:numId w:val="5"/>
        </w:numPr>
        <w:autoSpaceDE w:val="0"/>
        <w:autoSpaceDN w:val="0"/>
        <w:adjustRightInd w:val="0"/>
        <w:spacing w:before="0" w:after="0" w:line="240" w:lineRule="auto"/>
        <w:rPr>
          <w:rFonts w:cs="Calibri Light"/>
          <w:i/>
          <w:sz w:val="22"/>
          <w:szCs w:val="22"/>
        </w:rPr>
      </w:pPr>
      <w:r w:rsidRPr="00697880">
        <w:rPr>
          <w:rFonts w:cs="Calibri Light"/>
          <w:i/>
          <w:sz w:val="22"/>
          <w:szCs w:val="22"/>
        </w:rPr>
        <w:t xml:space="preserve">Funding Sources (e.g., Ryan White HIV/AIDS Program (RWHAP) Parts A-F, including Special Projects of National Significance (SPNS) and the AIDS Education and Training Centers (AETC) Program, CDC HIV Prevention and Surveillance Programs, Minority AIDS Initiative (MAI), SAMHSA, HUD/ HOPWA, Medicaid expenditures, Bureau of Primary of Health Care, Federal Office of Rural Health Policy, Indian Health Service; Office on Women’s Health, Office of Minority Health, Office of Population Affairs, Administration for Children and Families, and other public and private funding sources); </w:t>
      </w:r>
    </w:p>
    <w:p w:rsidR="00512FE8" w:rsidRPr="00697880" w:rsidRDefault="00512FE8" w:rsidP="00697880">
      <w:pPr>
        <w:widowControl w:val="0"/>
        <w:autoSpaceDE w:val="0"/>
        <w:autoSpaceDN w:val="0"/>
        <w:adjustRightInd w:val="0"/>
        <w:spacing w:before="0" w:after="0" w:line="240" w:lineRule="auto"/>
        <w:ind w:left="2160" w:hanging="720"/>
        <w:rPr>
          <w:rFonts w:cs="Calibri Light"/>
          <w:i/>
          <w:sz w:val="22"/>
          <w:szCs w:val="22"/>
        </w:rPr>
      </w:pPr>
      <w:r w:rsidRPr="00697880">
        <w:rPr>
          <w:rFonts w:cs="Calibri Light"/>
          <w:i/>
          <w:sz w:val="22"/>
          <w:szCs w:val="22"/>
        </w:rPr>
        <w:t xml:space="preserve">ii. </w:t>
      </w:r>
      <w:r w:rsidRPr="00697880">
        <w:rPr>
          <w:rFonts w:cs="Calibri Light"/>
          <w:i/>
          <w:sz w:val="22"/>
          <w:szCs w:val="22"/>
        </w:rPr>
        <w:tab/>
        <w:t>Funding Amount ($)</w:t>
      </w:r>
      <w:r w:rsidRPr="00697880">
        <w:rPr>
          <w:rFonts w:ascii="MS Gothic" w:eastAsia="MS Gothic" w:hAnsi="MS Gothic" w:cs="MS Gothic" w:hint="eastAsia"/>
          <w:i/>
          <w:sz w:val="22"/>
          <w:szCs w:val="22"/>
        </w:rPr>
        <w:t> </w:t>
      </w:r>
    </w:p>
    <w:p w:rsidR="00512FE8" w:rsidRPr="00697880" w:rsidRDefault="00512FE8" w:rsidP="00697880">
      <w:pPr>
        <w:widowControl w:val="0"/>
        <w:autoSpaceDE w:val="0"/>
        <w:autoSpaceDN w:val="0"/>
        <w:adjustRightInd w:val="0"/>
        <w:spacing w:before="0" w:after="0" w:line="240" w:lineRule="auto"/>
        <w:ind w:left="2160" w:hanging="720"/>
        <w:rPr>
          <w:rFonts w:cs="Calibri Light"/>
          <w:i/>
          <w:sz w:val="22"/>
          <w:szCs w:val="22"/>
        </w:rPr>
      </w:pPr>
      <w:r w:rsidRPr="00697880">
        <w:rPr>
          <w:rFonts w:cs="Calibri Light"/>
          <w:i/>
          <w:sz w:val="22"/>
          <w:szCs w:val="22"/>
        </w:rPr>
        <w:t xml:space="preserve">iii. </w:t>
      </w:r>
      <w:r w:rsidRPr="00697880">
        <w:rPr>
          <w:rFonts w:cs="Calibri Light"/>
          <w:i/>
          <w:sz w:val="22"/>
          <w:szCs w:val="22"/>
        </w:rPr>
        <w:tab/>
        <w:t>Funded Service Provider Agencies</w:t>
      </w:r>
    </w:p>
    <w:p w:rsidR="00512FE8" w:rsidRPr="00697880" w:rsidRDefault="00512FE8" w:rsidP="00697880">
      <w:pPr>
        <w:widowControl w:val="0"/>
        <w:autoSpaceDE w:val="0"/>
        <w:autoSpaceDN w:val="0"/>
        <w:adjustRightInd w:val="0"/>
        <w:spacing w:before="0" w:after="0" w:line="240" w:lineRule="auto"/>
        <w:ind w:left="720" w:firstLine="720"/>
        <w:rPr>
          <w:rFonts w:cs="Calibri Light"/>
          <w:i/>
          <w:sz w:val="22"/>
          <w:szCs w:val="22"/>
        </w:rPr>
      </w:pPr>
      <w:r w:rsidRPr="00697880">
        <w:rPr>
          <w:rFonts w:cs="Calibri Light"/>
          <w:i/>
          <w:sz w:val="22"/>
          <w:szCs w:val="22"/>
        </w:rPr>
        <w:t xml:space="preserve">iv. </w:t>
      </w:r>
      <w:r w:rsidRPr="00697880">
        <w:rPr>
          <w:rFonts w:cs="Calibri Light"/>
          <w:i/>
          <w:sz w:val="22"/>
          <w:szCs w:val="22"/>
        </w:rPr>
        <w:tab/>
        <w:t xml:space="preserve">Services Delivered </w:t>
      </w:r>
    </w:p>
    <w:p w:rsidR="00512FE8" w:rsidRPr="00697880" w:rsidRDefault="00512FE8" w:rsidP="003317C9">
      <w:pPr>
        <w:pStyle w:val="ListParagraph"/>
        <w:widowControl w:val="0"/>
        <w:numPr>
          <w:ilvl w:val="1"/>
          <w:numId w:val="1"/>
        </w:numPr>
        <w:autoSpaceDE w:val="0"/>
        <w:autoSpaceDN w:val="0"/>
        <w:adjustRightInd w:val="0"/>
        <w:spacing w:before="0" w:after="0" w:line="240" w:lineRule="auto"/>
        <w:rPr>
          <w:rFonts w:cs="Calibri Light"/>
          <w:i/>
          <w:sz w:val="22"/>
          <w:szCs w:val="22"/>
        </w:rPr>
      </w:pPr>
      <w:r w:rsidRPr="00697880">
        <w:rPr>
          <w:rFonts w:cs="Calibri Light"/>
          <w:i/>
          <w:sz w:val="22"/>
          <w:szCs w:val="22"/>
        </w:rPr>
        <w:t>HIV Care Continuum Step(s) Impacted (</w:t>
      </w:r>
      <w:r w:rsidRPr="00697880">
        <w:rPr>
          <w:rFonts w:cs="Calibri Light"/>
          <w:i/>
          <w:iCs/>
          <w:sz w:val="22"/>
          <w:szCs w:val="22"/>
        </w:rPr>
        <w:t>please see Section I. B. HIV Care Continuum</w:t>
      </w:r>
      <w:r w:rsidRPr="00697880">
        <w:rPr>
          <w:rFonts w:cs="Calibri Light"/>
          <w:i/>
          <w:sz w:val="22"/>
          <w:szCs w:val="22"/>
        </w:rPr>
        <w:t xml:space="preserve">) </w:t>
      </w:r>
    </w:p>
    <w:p w:rsidR="00A1599A" w:rsidRDefault="00A1599A" w:rsidP="00570EEB">
      <w:pPr>
        <w:jc w:val="both"/>
        <w:rPr>
          <w:rFonts w:cs="Calibri Light"/>
          <w:sz w:val="22"/>
          <w:szCs w:val="22"/>
        </w:rPr>
      </w:pPr>
      <w:r w:rsidRPr="00A1599A">
        <w:rPr>
          <w:rFonts w:cs="Calibri Light"/>
          <w:sz w:val="22"/>
          <w:szCs w:val="22"/>
        </w:rPr>
        <w:lastRenderedPageBreak/>
        <w:t>The Nevada HIV Funding Resources Table</w:t>
      </w:r>
      <w:r w:rsidR="008A232C">
        <w:rPr>
          <w:rFonts w:cs="Calibri Light"/>
          <w:sz w:val="22"/>
          <w:szCs w:val="22"/>
        </w:rPr>
        <w:t xml:space="preserve"> found in Appendix C</w:t>
      </w:r>
      <w:r w:rsidRPr="00A1599A">
        <w:rPr>
          <w:rFonts w:cs="Calibri Light"/>
          <w:sz w:val="22"/>
          <w:szCs w:val="22"/>
        </w:rPr>
        <w:t xml:space="preserve"> provides details on the funding sources for HIV prevention, care and treatment sources in the state including the dollar amount and percentage of total available funds in fiscal year 2016 for the funding sources, how resources are being used and which components of HIV prevention programming and/or steps of the HIV Care Continuum are impacted. </w:t>
      </w:r>
    </w:p>
    <w:p w:rsidR="00A1599A" w:rsidRDefault="00FB5BAE" w:rsidP="00570EEB">
      <w:pPr>
        <w:jc w:val="both"/>
        <w:rPr>
          <w:rFonts w:cs="Calibri Light"/>
          <w:sz w:val="22"/>
          <w:szCs w:val="22"/>
        </w:rPr>
      </w:pPr>
      <w:r>
        <w:rPr>
          <w:rFonts w:cs="Calibri Light"/>
          <w:sz w:val="22"/>
          <w:szCs w:val="22"/>
        </w:rPr>
        <w:t>RWPA</w:t>
      </w:r>
      <w:r w:rsidR="00A1599A">
        <w:rPr>
          <w:rFonts w:cs="Calibri Light"/>
          <w:sz w:val="22"/>
          <w:szCs w:val="22"/>
        </w:rPr>
        <w:t xml:space="preserve"> funds provider agencies to deliver core medical and/or support services for PLWH in Clark and Nye Counties in Southern Nevada</w:t>
      </w:r>
      <w:r w:rsidR="000D1265">
        <w:rPr>
          <w:rFonts w:cs="Calibri Light"/>
          <w:sz w:val="22"/>
          <w:szCs w:val="22"/>
        </w:rPr>
        <w:t xml:space="preserve"> and Mojave County in Arizona</w:t>
      </w:r>
      <w:r w:rsidR="00A1599A">
        <w:rPr>
          <w:rFonts w:cs="Calibri Light"/>
          <w:sz w:val="22"/>
          <w:szCs w:val="22"/>
        </w:rPr>
        <w:t>. Part A providers include Aid for AIDS of Nevada (AFAN); AIDS Healthcare Foundation (AHF); Community Counseling Center (CCC); Community</w:t>
      </w:r>
      <w:r w:rsidR="000D1265">
        <w:rPr>
          <w:rFonts w:cs="Calibri Light"/>
          <w:sz w:val="22"/>
          <w:szCs w:val="22"/>
        </w:rPr>
        <w:t xml:space="preserve"> Outreach Medical Center (COMC)</w:t>
      </w:r>
      <w:r w:rsidR="00A1599A">
        <w:rPr>
          <w:rFonts w:cs="Calibri Light"/>
          <w:sz w:val="22"/>
          <w:szCs w:val="22"/>
        </w:rPr>
        <w:t xml:space="preserve">; UMC Wellness; Horizon Ridge Clinic; North Country Health Center; Nye County Health and Human Services, Southern Nevada Health District (SNHD); UNLV School of Dental Medicine; Golden Rainbow; and Clark County Social Service. </w:t>
      </w:r>
    </w:p>
    <w:p w:rsidR="00A1599A" w:rsidRDefault="00FB5BAE" w:rsidP="00A1599A">
      <w:pPr>
        <w:widowControl w:val="0"/>
        <w:tabs>
          <w:tab w:val="left" w:pos="220"/>
          <w:tab w:val="left" w:pos="720"/>
        </w:tabs>
        <w:autoSpaceDE w:val="0"/>
        <w:autoSpaceDN w:val="0"/>
        <w:adjustRightInd w:val="0"/>
        <w:jc w:val="both"/>
        <w:rPr>
          <w:rFonts w:cs="Calibri Light"/>
          <w:sz w:val="22"/>
          <w:szCs w:val="22"/>
        </w:rPr>
      </w:pPr>
      <w:r>
        <w:rPr>
          <w:rFonts w:cs="Calibri Light"/>
          <w:sz w:val="22"/>
          <w:szCs w:val="22"/>
        </w:rPr>
        <w:t>RWPB</w:t>
      </w:r>
      <w:r w:rsidR="00A1599A">
        <w:rPr>
          <w:rFonts w:cs="Calibri Light"/>
          <w:sz w:val="22"/>
          <w:szCs w:val="22"/>
        </w:rPr>
        <w:t xml:space="preserve"> HIV/AIDS </w:t>
      </w:r>
      <w:r>
        <w:rPr>
          <w:rFonts w:cs="Calibri Light"/>
          <w:sz w:val="22"/>
          <w:szCs w:val="22"/>
        </w:rPr>
        <w:t>s</w:t>
      </w:r>
      <w:r w:rsidR="00A1599A">
        <w:rPr>
          <w:rFonts w:cs="Calibri Light"/>
          <w:sz w:val="22"/>
          <w:szCs w:val="22"/>
        </w:rPr>
        <w:t>ervices are predominantly located in the Las Vegas and Reno areas</w:t>
      </w:r>
      <w:r w:rsidR="00212ECC">
        <w:rPr>
          <w:rFonts w:cs="Calibri Light"/>
          <w:sz w:val="22"/>
          <w:szCs w:val="22"/>
        </w:rPr>
        <w:t>. The Nevada continuum of care</w:t>
      </w:r>
      <w:r w:rsidR="00A1599A">
        <w:rPr>
          <w:rFonts w:cs="Calibri Light"/>
          <w:sz w:val="22"/>
          <w:szCs w:val="22"/>
        </w:rPr>
        <w:t xml:space="preserve"> includes Access to Healthcare Network (AHN) medical discount plan, Northern Nevada HIV Outpatient Program, Education, and Services (HOPES)-Reno, Carson City Health and Human Services (CCHHS), Community Outreach Medical Center (COMC)-Las Vegas, University Medical Ce</w:t>
      </w:r>
      <w:r>
        <w:rPr>
          <w:rFonts w:cs="Calibri Light"/>
          <w:sz w:val="22"/>
          <w:szCs w:val="22"/>
        </w:rPr>
        <w:t xml:space="preserve">nter of Southern Nevada (UMCSN), </w:t>
      </w:r>
      <w:r w:rsidR="00A1599A">
        <w:rPr>
          <w:rFonts w:cs="Calibri Light"/>
          <w:sz w:val="22"/>
          <w:szCs w:val="22"/>
        </w:rPr>
        <w:t>SNHD</w:t>
      </w:r>
      <w:r w:rsidR="00212ECC">
        <w:rPr>
          <w:rFonts w:cs="Calibri Light"/>
          <w:sz w:val="22"/>
          <w:szCs w:val="22"/>
        </w:rPr>
        <w:t xml:space="preserve">, WCHD, The Center, AFAN, CARE Coalition, Community Counseling Center, Access for </w:t>
      </w:r>
      <w:r w:rsidR="008A232C">
        <w:rPr>
          <w:rFonts w:cs="Calibri Light"/>
          <w:sz w:val="22"/>
          <w:szCs w:val="22"/>
        </w:rPr>
        <w:t>Community</w:t>
      </w:r>
      <w:r w:rsidR="00212ECC">
        <w:rPr>
          <w:rFonts w:cs="Calibri Light"/>
          <w:sz w:val="22"/>
          <w:szCs w:val="22"/>
        </w:rPr>
        <w:t xml:space="preserve"> &amp; Cultural Programs &amp; Training (ACCEPT), Dignity Health, Las Vegas Urban League, and Southern Nevada AIDS Research &amp; Education Society (NARES)</w:t>
      </w:r>
      <w:r w:rsidR="00A1599A">
        <w:rPr>
          <w:rFonts w:cs="Calibri Light"/>
          <w:sz w:val="22"/>
          <w:szCs w:val="22"/>
        </w:rPr>
        <w:t xml:space="preserve">. Services are delivered either directly or via network membership/referral. Medical and non-case management supports clients accessing and remaining in care. </w:t>
      </w:r>
    </w:p>
    <w:p w:rsidR="00A1599A" w:rsidRDefault="00A1599A" w:rsidP="00A1599A">
      <w:pPr>
        <w:widowControl w:val="0"/>
        <w:tabs>
          <w:tab w:val="left" w:pos="220"/>
          <w:tab w:val="left" w:pos="720"/>
        </w:tabs>
        <w:autoSpaceDE w:val="0"/>
        <w:autoSpaceDN w:val="0"/>
        <w:adjustRightInd w:val="0"/>
        <w:jc w:val="both"/>
        <w:rPr>
          <w:rFonts w:cs="Calibri Light"/>
          <w:sz w:val="22"/>
          <w:szCs w:val="22"/>
        </w:rPr>
      </w:pPr>
      <w:r w:rsidRPr="00226877">
        <w:rPr>
          <w:rFonts w:cs="Calibri Light"/>
          <w:sz w:val="22"/>
          <w:szCs w:val="22"/>
        </w:rPr>
        <w:t>Nevada has</w:t>
      </w:r>
      <w:r>
        <w:rPr>
          <w:rFonts w:cs="Calibri Light"/>
          <w:sz w:val="22"/>
          <w:szCs w:val="22"/>
        </w:rPr>
        <w:t xml:space="preserve"> three health districts </w:t>
      </w:r>
      <w:r w:rsidR="004A3B28">
        <w:rPr>
          <w:rFonts w:cs="Calibri Light"/>
          <w:sz w:val="22"/>
          <w:szCs w:val="22"/>
        </w:rPr>
        <w:t>that</w:t>
      </w:r>
      <w:r>
        <w:rPr>
          <w:rFonts w:cs="Calibri Light"/>
          <w:sz w:val="22"/>
          <w:szCs w:val="22"/>
        </w:rPr>
        <w:t xml:space="preserve"> serve metropolitan or urban areas of the state—Southern Nevada Health District (SNHD), Washoe County Health District (WCHD), and Carson City Health &amp; Human Services (CCHHS). The rest of the state has access to medical services through the state community health nursing programs, although there are some counties that have no services. SNHD serves Clark County residents. SNHD receives State of Nevada federal through funding from the CDC for HIV prevention, sexually transmitted disease control and HIV surveillance activities. HIV prevention funding through the SNHD is used for rapid testing and the activities of the Comprehensive Risk Counseling Services (CRCS) as defined by CDC protocols in identifying individuals unaware of their HIV statues. SNHD also receives Part A and Part B funding for Early Intervention Services and Medical Case Management. HIV/AIDS services provided by SNHD include HIV and STD testing, partner notification, HIV Client Centered Counseling; Adult Evaluation Clinic for persons living with HIV; case management; assistance with partner counseling; outreach programs; community referrals; distribution of safer sex items for the prevention of HIV; and, training for Client Centered Counseling. </w:t>
      </w:r>
    </w:p>
    <w:p w:rsidR="00A1599A" w:rsidRDefault="00A1599A" w:rsidP="00B24FE9">
      <w:pPr>
        <w:autoSpaceDE w:val="0"/>
        <w:autoSpaceDN w:val="0"/>
        <w:adjustRightInd w:val="0"/>
        <w:spacing w:before="0" w:after="0"/>
        <w:jc w:val="both"/>
        <w:rPr>
          <w:rFonts w:cs="Calibri Light"/>
          <w:sz w:val="22"/>
          <w:szCs w:val="22"/>
        </w:rPr>
      </w:pPr>
      <w:r>
        <w:rPr>
          <w:rFonts w:cs="Calibri Light"/>
          <w:sz w:val="22"/>
          <w:szCs w:val="22"/>
        </w:rPr>
        <w:t xml:space="preserve">WCHD serves Washoe County residents and receives federal CDC pass through funding through the </w:t>
      </w:r>
      <w:r w:rsidRPr="00B24FE9">
        <w:rPr>
          <w:rFonts w:cs="Calibri Light"/>
          <w:sz w:val="22"/>
          <w:szCs w:val="22"/>
        </w:rPr>
        <w:t xml:space="preserve">state for HIV </w:t>
      </w:r>
      <w:r w:rsidR="00FB5BAE">
        <w:rPr>
          <w:rFonts w:cs="Calibri Light"/>
          <w:sz w:val="22"/>
          <w:szCs w:val="22"/>
        </w:rPr>
        <w:t>p</w:t>
      </w:r>
      <w:r w:rsidRPr="00B24FE9">
        <w:rPr>
          <w:rFonts w:cs="Calibri Light"/>
          <w:sz w:val="22"/>
          <w:szCs w:val="22"/>
        </w:rPr>
        <w:t xml:space="preserve">revention. Through the Sexual Health Program, WCHD provides screening, testing and counseling for STDs, including HIV; HIV and STD prevention education; community outreach; partner notification; and referrals for PLWH. </w:t>
      </w:r>
      <w:r w:rsidR="00B24FE9" w:rsidRPr="00B24FE9">
        <w:rPr>
          <w:rFonts w:cs="Calibri Light"/>
          <w:sz w:val="22"/>
          <w:szCs w:val="22"/>
        </w:rPr>
        <w:t xml:space="preserve">WCHD also receives funding for STD disease control and HIV surveillance. </w:t>
      </w:r>
      <w:r w:rsidR="00B24FE9" w:rsidRPr="00B24FE9">
        <w:rPr>
          <w:rFonts w:cs="Tahoma"/>
          <w:color w:val="000000"/>
          <w:sz w:val="22"/>
          <w:szCs w:val="22"/>
        </w:rPr>
        <w:t>WCHD provides safer sex supply distribution, as well as trainings for client-centered counseling (RESPECT model) with the prevention education.</w:t>
      </w:r>
      <w:r w:rsidR="00B24FE9">
        <w:rPr>
          <w:rFonts w:ascii="Tahoma" w:hAnsi="Tahoma" w:cs="Tahoma"/>
          <w:color w:val="000000"/>
        </w:rPr>
        <w:t xml:space="preserve"> </w:t>
      </w:r>
      <w:r w:rsidR="00FB5BAE">
        <w:rPr>
          <w:rFonts w:cs="Calibri Light"/>
          <w:sz w:val="22"/>
          <w:szCs w:val="22"/>
        </w:rPr>
        <w:t xml:space="preserve">Both SNHD and WCHD have implemented Anti-Retroviral Treatment and Access to Services (ARTAS) programs in their jurisdictions, which allow for a seamless transition from HIV </w:t>
      </w:r>
      <w:r w:rsidR="00FB5BAE">
        <w:rPr>
          <w:rFonts w:cs="Calibri Light"/>
          <w:sz w:val="22"/>
          <w:szCs w:val="22"/>
        </w:rPr>
        <w:lastRenderedPageBreak/>
        <w:t xml:space="preserve">identification to care services. Linkage coordinators work with clients over six sessions to reduce client barriers to accessing services, and the coordinators help clients access services. </w:t>
      </w:r>
      <w:r>
        <w:rPr>
          <w:rFonts w:cs="Calibri Light"/>
          <w:sz w:val="22"/>
          <w:szCs w:val="22"/>
        </w:rPr>
        <w:t xml:space="preserve">CCHHS serves Carson City, Douglas, Lyon and Storey Counties. With the CDC funding for HIV </w:t>
      </w:r>
      <w:r w:rsidR="00FB5BAE">
        <w:rPr>
          <w:rFonts w:cs="Calibri Light"/>
          <w:sz w:val="22"/>
          <w:szCs w:val="22"/>
        </w:rPr>
        <w:t>p</w:t>
      </w:r>
      <w:r>
        <w:rPr>
          <w:rFonts w:cs="Calibri Light"/>
          <w:sz w:val="22"/>
          <w:szCs w:val="22"/>
        </w:rPr>
        <w:t xml:space="preserve">revention, CCHHS provides counseling, testing and referral services, partner notification, and HIV/STD education. </w:t>
      </w:r>
    </w:p>
    <w:p w:rsidR="00837A89" w:rsidRDefault="00837A89" w:rsidP="00837A89">
      <w:pPr>
        <w:pStyle w:val="Heading3"/>
      </w:pPr>
      <w:bookmarkStart w:id="36" w:name="_Toc461188579"/>
      <w:r>
        <w:t>HIV Workforce Capacity</w:t>
      </w:r>
      <w:bookmarkEnd w:id="36"/>
    </w:p>
    <w:p w:rsidR="00697880" w:rsidRPr="00E80C17" w:rsidRDefault="00697880" w:rsidP="003317C9">
      <w:pPr>
        <w:pStyle w:val="ListParagraph"/>
        <w:widowControl w:val="0"/>
        <w:numPr>
          <w:ilvl w:val="0"/>
          <w:numId w:val="6"/>
        </w:numPr>
        <w:tabs>
          <w:tab w:val="left" w:pos="220"/>
          <w:tab w:val="left" w:pos="720"/>
        </w:tabs>
        <w:autoSpaceDE w:val="0"/>
        <w:autoSpaceDN w:val="0"/>
        <w:adjustRightInd w:val="0"/>
        <w:spacing w:line="240" w:lineRule="auto"/>
        <w:rPr>
          <w:rFonts w:cs="Calibri Light"/>
          <w:i/>
          <w:sz w:val="22"/>
          <w:szCs w:val="22"/>
        </w:rPr>
      </w:pPr>
      <w:r w:rsidRPr="00E80C17">
        <w:rPr>
          <w:rFonts w:cs="Calibri Light"/>
          <w:i/>
          <w:sz w:val="22"/>
          <w:szCs w:val="22"/>
        </w:rPr>
        <w:t xml:space="preserve">Provide a narrative description of the HIV Workforce Capacity in the jurisdiction and how it impacts the HIV prevention and care service delivery system. The jurisdiction must define the workforce (e.g. licensed providers, community health workers, paraprofessionals) as applicable to the jurisdiction. </w:t>
      </w:r>
      <w:r w:rsidRPr="00E80C17">
        <w:rPr>
          <w:rFonts w:ascii="MS Gothic" w:eastAsia="MS Gothic" w:hAnsi="MS Gothic" w:cs="MS Gothic" w:hint="eastAsia"/>
          <w:i/>
          <w:sz w:val="22"/>
          <w:szCs w:val="22"/>
        </w:rPr>
        <w:t> </w:t>
      </w:r>
    </w:p>
    <w:p w:rsidR="00837A89" w:rsidRDefault="00837A89" w:rsidP="00837A89">
      <w:pPr>
        <w:widowControl w:val="0"/>
        <w:tabs>
          <w:tab w:val="left" w:pos="220"/>
          <w:tab w:val="left" w:pos="720"/>
        </w:tabs>
        <w:autoSpaceDE w:val="0"/>
        <w:autoSpaceDN w:val="0"/>
        <w:adjustRightInd w:val="0"/>
        <w:jc w:val="both"/>
        <w:rPr>
          <w:rFonts w:cs="Calibri Light"/>
          <w:sz w:val="22"/>
          <w:szCs w:val="22"/>
        </w:rPr>
      </w:pPr>
      <w:r>
        <w:rPr>
          <w:rFonts w:cs="Calibri Light"/>
          <w:sz w:val="22"/>
          <w:szCs w:val="22"/>
        </w:rPr>
        <w:t xml:space="preserve">The HIV Workforce in Nevada includes licensed </w:t>
      </w:r>
      <w:r w:rsidR="00CA4EDC">
        <w:rPr>
          <w:rFonts w:cs="Calibri Light"/>
          <w:sz w:val="22"/>
          <w:szCs w:val="22"/>
        </w:rPr>
        <w:t xml:space="preserve">medical </w:t>
      </w:r>
      <w:r>
        <w:rPr>
          <w:rFonts w:cs="Calibri Light"/>
          <w:sz w:val="22"/>
          <w:szCs w:val="22"/>
        </w:rPr>
        <w:t xml:space="preserve">providers, mental health care providers, psychiatrists, registered </w:t>
      </w:r>
      <w:r w:rsidR="00CA4EDC">
        <w:rPr>
          <w:rFonts w:cs="Calibri Light"/>
          <w:sz w:val="22"/>
          <w:szCs w:val="22"/>
        </w:rPr>
        <w:t xml:space="preserve">dietitians </w:t>
      </w:r>
      <w:r>
        <w:rPr>
          <w:rFonts w:cs="Calibri Light"/>
          <w:sz w:val="22"/>
          <w:szCs w:val="22"/>
        </w:rPr>
        <w:t>that are HIV focused, community health workers, dentists and dental hygienists who have received HIV training, peer navigators, certified nurse case managers, medical case managers, paraprofessionals, counselors, and social workers. Two HIV specialty clinics are available</w:t>
      </w:r>
      <w:r w:rsidR="00FB5BAE">
        <w:rPr>
          <w:rFonts w:cs="Calibri Light"/>
          <w:sz w:val="22"/>
          <w:szCs w:val="22"/>
        </w:rPr>
        <w:t xml:space="preserve">—Northern Nevada </w:t>
      </w:r>
      <w:r>
        <w:rPr>
          <w:rFonts w:cs="Calibri Light"/>
          <w:sz w:val="22"/>
          <w:szCs w:val="22"/>
        </w:rPr>
        <w:t xml:space="preserve">HOPES and </w:t>
      </w:r>
      <w:r w:rsidR="00817D10">
        <w:rPr>
          <w:rFonts w:cs="Calibri Light"/>
          <w:sz w:val="22"/>
          <w:szCs w:val="22"/>
        </w:rPr>
        <w:t>UMC</w:t>
      </w:r>
      <w:r>
        <w:rPr>
          <w:rFonts w:cs="Calibri Light"/>
          <w:sz w:val="22"/>
          <w:szCs w:val="22"/>
        </w:rPr>
        <w:t xml:space="preserve"> Wellness Center in the </w:t>
      </w:r>
      <w:r w:rsidR="00212ECC">
        <w:rPr>
          <w:rFonts w:cs="Calibri Light"/>
          <w:sz w:val="22"/>
          <w:szCs w:val="22"/>
        </w:rPr>
        <w:t>s</w:t>
      </w:r>
      <w:r>
        <w:rPr>
          <w:rFonts w:cs="Calibri Light"/>
          <w:sz w:val="22"/>
          <w:szCs w:val="22"/>
        </w:rPr>
        <w:t xml:space="preserve">outh. Additionally, some private physicians provide HIV care. Nevada has a variety of education and training opportunities to help expand and improve the HIV workforce capacity. The University of Nevada School of Medicine is in the process of reorganizing so that there will be two separate schools of medicine in the state--one in the </w:t>
      </w:r>
      <w:r w:rsidR="00FB5BAE">
        <w:rPr>
          <w:rFonts w:cs="Calibri Light"/>
          <w:sz w:val="22"/>
          <w:szCs w:val="22"/>
        </w:rPr>
        <w:t>s</w:t>
      </w:r>
      <w:r>
        <w:rPr>
          <w:rFonts w:cs="Calibri Light"/>
          <w:sz w:val="22"/>
          <w:szCs w:val="22"/>
        </w:rPr>
        <w:t xml:space="preserve">outh and one in the </w:t>
      </w:r>
      <w:r w:rsidR="00FB5BAE">
        <w:rPr>
          <w:rFonts w:cs="Calibri Light"/>
          <w:sz w:val="22"/>
          <w:szCs w:val="22"/>
        </w:rPr>
        <w:t>n</w:t>
      </w:r>
      <w:r>
        <w:rPr>
          <w:rFonts w:cs="Calibri Light"/>
          <w:sz w:val="22"/>
          <w:szCs w:val="22"/>
        </w:rPr>
        <w:t>orth. Nevada AIDS Education and Training Center (NAETC) provides AIDS education for providers across the state. The University of Nevada Las Vegas (UNNLV) dental school includes an HIV program</w:t>
      </w:r>
      <w:r w:rsidR="00CA4EDC">
        <w:rPr>
          <w:rFonts w:cs="Calibri Light"/>
          <w:sz w:val="22"/>
          <w:szCs w:val="22"/>
        </w:rPr>
        <w:t>,</w:t>
      </w:r>
      <w:r>
        <w:rPr>
          <w:rFonts w:cs="Calibri Light"/>
          <w:sz w:val="22"/>
          <w:szCs w:val="22"/>
        </w:rPr>
        <w:t xml:space="preserve"> and the College of Southern Nevada (CSN) includes HIV training for dental hygienists. UNLV and UNR each have a school that offers degrees in public health. Nursing, physician assistant, medical assistant, physical therapy training programs are also available in the state. Three AHEC centers are located in Nevada in Reno, Elko and Las Vegas. AHEC programs enhance access to quality health care, particularly primary and preventive care, by increasing the number of health care professionals and through extensive continuing education and training facilitated by community and academic partnerships.</w:t>
      </w:r>
    </w:p>
    <w:p w:rsidR="00837A89" w:rsidRDefault="00837A89" w:rsidP="00837A89">
      <w:pPr>
        <w:widowControl w:val="0"/>
        <w:tabs>
          <w:tab w:val="left" w:pos="220"/>
          <w:tab w:val="left" w:pos="720"/>
        </w:tabs>
        <w:autoSpaceDE w:val="0"/>
        <w:autoSpaceDN w:val="0"/>
        <w:adjustRightInd w:val="0"/>
        <w:jc w:val="both"/>
        <w:rPr>
          <w:rFonts w:cs="Calibri Light"/>
          <w:sz w:val="22"/>
          <w:szCs w:val="22"/>
        </w:rPr>
      </w:pPr>
      <w:r>
        <w:rPr>
          <w:rFonts w:cs="Calibri Light"/>
          <w:sz w:val="22"/>
          <w:szCs w:val="22"/>
        </w:rPr>
        <w:t>Nevada has a variety of challenges with respect to HIV workforce capacity. Across the state, there is a shortage of physicians in general. In the United State, Nevada ranks 47</w:t>
      </w:r>
      <w:r w:rsidRPr="005A078A">
        <w:rPr>
          <w:rFonts w:cs="Calibri Light"/>
          <w:sz w:val="22"/>
          <w:szCs w:val="22"/>
          <w:vertAlign w:val="superscript"/>
        </w:rPr>
        <w:t>th</w:t>
      </w:r>
      <w:r>
        <w:rPr>
          <w:rFonts w:cs="Calibri Light"/>
          <w:sz w:val="22"/>
          <w:szCs w:val="22"/>
        </w:rPr>
        <w:t xml:space="preserve"> in physician to population ratio, with 225.7 MDs per 100,000 in Nevada compared to 331 per 100,000 in the U.S. Shortages exist in nearly all medical specialties, with the number of MDs per capita in Nevada at 68.2% of the average rate for the U.S. </w:t>
      </w:r>
      <w:r w:rsidR="00212ECC">
        <w:rPr>
          <w:rStyle w:val="EndnoteReference"/>
          <w:rFonts w:cs="Calibri Light"/>
          <w:sz w:val="22"/>
          <w:szCs w:val="22"/>
        </w:rPr>
        <w:endnoteReference w:id="16"/>
      </w:r>
      <w:r>
        <w:rPr>
          <w:rFonts w:cs="Calibri Light"/>
          <w:sz w:val="22"/>
          <w:szCs w:val="22"/>
        </w:rPr>
        <w:t xml:space="preserve"> Nevada ranks 47</w:t>
      </w:r>
      <w:r w:rsidRPr="005A078A">
        <w:rPr>
          <w:rFonts w:cs="Calibri Light"/>
          <w:sz w:val="22"/>
          <w:szCs w:val="22"/>
          <w:vertAlign w:val="superscript"/>
        </w:rPr>
        <w:t>th</w:t>
      </w:r>
      <w:r>
        <w:rPr>
          <w:rFonts w:cs="Calibri Light"/>
          <w:sz w:val="22"/>
          <w:szCs w:val="22"/>
        </w:rPr>
        <w:t xml:space="preserve"> in the U.S. for number of licensed psychiatrists per 100,000 population and 48</w:t>
      </w:r>
      <w:r w:rsidRPr="005A078A">
        <w:rPr>
          <w:rFonts w:cs="Calibri Light"/>
          <w:sz w:val="22"/>
          <w:szCs w:val="22"/>
          <w:vertAlign w:val="superscript"/>
        </w:rPr>
        <w:t>th</w:t>
      </w:r>
      <w:r w:rsidR="00EC4E2B">
        <w:rPr>
          <w:rFonts w:cs="Calibri Light"/>
          <w:sz w:val="22"/>
          <w:szCs w:val="22"/>
        </w:rPr>
        <w:t xml:space="preserve"> in psychologists.</w:t>
      </w:r>
      <w:r w:rsidR="00EC4E2B">
        <w:rPr>
          <w:rStyle w:val="EndnoteReference"/>
          <w:rFonts w:cs="Calibri Light"/>
          <w:sz w:val="22"/>
          <w:szCs w:val="22"/>
        </w:rPr>
        <w:endnoteReference w:id="17"/>
      </w:r>
      <w:r w:rsidR="00EC4E2B">
        <w:rPr>
          <w:rFonts w:cs="Calibri Light"/>
          <w:sz w:val="22"/>
          <w:szCs w:val="22"/>
        </w:rPr>
        <w:t xml:space="preserve"> </w:t>
      </w:r>
      <w:r>
        <w:rPr>
          <w:rFonts w:cs="Calibri Light"/>
          <w:sz w:val="22"/>
          <w:szCs w:val="22"/>
        </w:rPr>
        <w:t xml:space="preserve">Shortages also exist in Nevada across most other types of healthcare workers. </w:t>
      </w:r>
    </w:p>
    <w:p w:rsidR="00837A89" w:rsidRDefault="00837A89" w:rsidP="00005507">
      <w:pPr>
        <w:widowControl w:val="0"/>
        <w:tabs>
          <w:tab w:val="left" w:pos="220"/>
          <w:tab w:val="left" w:pos="720"/>
        </w:tabs>
        <w:autoSpaceDE w:val="0"/>
        <w:autoSpaceDN w:val="0"/>
        <w:adjustRightInd w:val="0"/>
        <w:jc w:val="both"/>
      </w:pPr>
      <w:r>
        <w:rPr>
          <w:rFonts w:cs="Calibri Light"/>
          <w:sz w:val="22"/>
          <w:szCs w:val="22"/>
        </w:rPr>
        <w:t xml:space="preserve">Linkage to care and retention in care for PLWH can be negatively impacted by the lack of physicians and other healthcare providers in Nevada. The lack of physicians can make it difficult to get clients linked to care promptly after diagnosis. </w:t>
      </w:r>
      <w:r w:rsidRPr="005F25F9">
        <w:rPr>
          <w:rFonts w:cs="Calibri Light"/>
          <w:sz w:val="22"/>
          <w:szCs w:val="22"/>
        </w:rPr>
        <w:t>The lack of physicians, HIV providers, specialty physicians, psychiatrists, nurse practitioners, physician assistants, dentists, registered dieticians, outreach providers, social workers, case managers, eligibility specia</w:t>
      </w:r>
      <w:r>
        <w:rPr>
          <w:rFonts w:cs="Calibri Light"/>
          <w:sz w:val="22"/>
          <w:szCs w:val="22"/>
        </w:rPr>
        <w:t xml:space="preserve">lists, and peer advocates were frequently </w:t>
      </w:r>
      <w:r w:rsidRPr="005F25F9">
        <w:rPr>
          <w:rFonts w:cs="Calibri Light"/>
          <w:sz w:val="22"/>
          <w:szCs w:val="22"/>
        </w:rPr>
        <w:t xml:space="preserve">mentioned </w:t>
      </w:r>
      <w:r>
        <w:rPr>
          <w:rFonts w:cs="Calibri Light"/>
          <w:sz w:val="22"/>
          <w:szCs w:val="22"/>
        </w:rPr>
        <w:t xml:space="preserve">as key needs from a variety of stakeholders </w:t>
      </w:r>
      <w:r w:rsidRPr="005F25F9">
        <w:rPr>
          <w:rFonts w:cs="Calibri Light"/>
          <w:sz w:val="22"/>
          <w:szCs w:val="22"/>
        </w:rPr>
        <w:t>during the various needs assessment data collection efforts. Other key needs relate</w:t>
      </w:r>
      <w:r w:rsidR="00FB5BAE">
        <w:rPr>
          <w:rFonts w:cs="Calibri Light"/>
          <w:sz w:val="22"/>
          <w:szCs w:val="22"/>
        </w:rPr>
        <w:t>d to workforce capacity include</w:t>
      </w:r>
      <w:r w:rsidRPr="005F25F9">
        <w:rPr>
          <w:rFonts w:cs="Calibri Light"/>
          <w:sz w:val="22"/>
          <w:szCs w:val="22"/>
        </w:rPr>
        <w:t xml:space="preserve"> the need for additional training for healthcare </w:t>
      </w:r>
      <w:r w:rsidRPr="005F25F9">
        <w:rPr>
          <w:rFonts w:cs="Calibri Light"/>
          <w:sz w:val="22"/>
          <w:szCs w:val="22"/>
        </w:rPr>
        <w:lastRenderedPageBreak/>
        <w:t xml:space="preserve">professionals related to HIV/AIDS, cultural competence, and empathy; more collaboration and communication among agencies; and more diversity among providers and healthcare workers. PLWH in rural areas </w:t>
      </w:r>
      <w:r w:rsidR="00CA4EDC">
        <w:rPr>
          <w:rFonts w:cs="Calibri Light"/>
          <w:sz w:val="22"/>
          <w:szCs w:val="22"/>
        </w:rPr>
        <w:t xml:space="preserve">are needed as rural HIV positive clients </w:t>
      </w:r>
      <w:r w:rsidRPr="005F25F9">
        <w:rPr>
          <w:rFonts w:cs="Calibri Light"/>
          <w:sz w:val="22"/>
          <w:szCs w:val="22"/>
        </w:rPr>
        <w:t>have greater diffi</w:t>
      </w:r>
      <w:r w:rsidR="00212ECC">
        <w:rPr>
          <w:rFonts w:cs="Calibri Light"/>
          <w:sz w:val="22"/>
          <w:szCs w:val="22"/>
        </w:rPr>
        <w:t>culty accessing needed services</w:t>
      </w:r>
      <w:r w:rsidRPr="005F25F9">
        <w:rPr>
          <w:rFonts w:cs="Calibri Light"/>
          <w:sz w:val="22"/>
          <w:szCs w:val="22"/>
        </w:rPr>
        <w:t>. While there are some providers that are doing well serving the African American and Latino populations, more providers to better serve Asian and Pacific Islanders are needed. Additionally, providers that have knowledge about how to serve refugees are needed. PEP and Pr</w:t>
      </w:r>
      <w:r w:rsidR="00FB5BAE">
        <w:rPr>
          <w:rFonts w:cs="Calibri Light"/>
          <w:sz w:val="22"/>
          <w:szCs w:val="22"/>
        </w:rPr>
        <w:t>EP providers do exist in Nevada;</w:t>
      </w:r>
      <w:r w:rsidRPr="005F25F9">
        <w:rPr>
          <w:rFonts w:cs="Calibri Light"/>
          <w:sz w:val="22"/>
          <w:szCs w:val="22"/>
        </w:rPr>
        <w:t xml:space="preserve"> however, there can be delays to accessing those services</w:t>
      </w:r>
      <w:r w:rsidR="00FB5BAE">
        <w:rPr>
          <w:rFonts w:cs="Calibri Light"/>
          <w:sz w:val="22"/>
          <w:szCs w:val="22"/>
        </w:rPr>
        <w:t>. T</w:t>
      </w:r>
      <w:r w:rsidRPr="005F25F9">
        <w:rPr>
          <w:rFonts w:cs="Calibri Light"/>
          <w:sz w:val="22"/>
          <w:szCs w:val="22"/>
        </w:rPr>
        <w:t xml:space="preserve">here is a general lack of knowledge about PEP and PrEP among providers and the public. </w:t>
      </w:r>
    </w:p>
    <w:p w:rsidR="00837A89" w:rsidRPr="00A51D20" w:rsidRDefault="00837A89" w:rsidP="00837A89">
      <w:pPr>
        <w:pStyle w:val="Heading3"/>
      </w:pPr>
      <w:bookmarkStart w:id="37" w:name="_Toc461188580"/>
      <w:r>
        <w:t xml:space="preserve">Interaction of </w:t>
      </w:r>
      <w:r w:rsidR="00E434EF">
        <w:t>F</w:t>
      </w:r>
      <w:r>
        <w:t xml:space="preserve">unding </w:t>
      </w:r>
      <w:r w:rsidR="00E434EF">
        <w:t>S</w:t>
      </w:r>
      <w:r>
        <w:t>ources</w:t>
      </w:r>
      <w:bookmarkEnd w:id="37"/>
    </w:p>
    <w:p w:rsidR="00837A89" w:rsidRPr="007B5781" w:rsidRDefault="00837A89" w:rsidP="003317C9">
      <w:pPr>
        <w:pStyle w:val="ListParagraph"/>
        <w:widowControl w:val="0"/>
        <w:numPr>
          <w:ilvl w:val="0"/>
          <w:numId w:val="6"/>
        </w:numPr>
        <w:tabs>
          <w:tab w:val="left" w:pos="220"/>
          <w:tab w:val="left" w:pos="720"/>
        </w:tabs>
        <w:autoSpaceDE w:val="0"/>
        <w:autoSpaceDN w:val="0"/>
        <w:adjustRightInd w:val="0"/>
        <w:rPr>
          <w:rFonts w:cs="Calibri Light"/>
          <w:i/>
          <w:sz w:val="22"/>
          <w:szCs w:val="22"/>
        </w:rPr>
      </w:pPr>
      <w:r w:rsidRPr="007B5781">
        <w:rPr>
          <w:rFonts w:cs="Calibri Light"/>
          <w:i/>
          <w:sz w:val="22"/>
          <w:szCs w:val="22"/>
        </w:rPr>
        <w:t xml:space="preserve">Provide a narrative description of how different funding sources interact to ensure continuity of HIV prevention, care, and treatment services in the jurisdiction. </w:t>
      </w:r>
      <w:r w:rsidRPr="007B5781">
        <w:rPr>
          <w:rFonts w:ascii="MS Gothic" w:eastAsia="MS Gothic" w:hAnsi="MS Gothic" w:cs="MS Gothic" w:hint="eastAsia"/>
          <w:i/>
          <w:sz w:val="22"/>
          <w:szCs w:val="22"/>
        </w:rPr>
        <w:t> </w:t>
      </w:r>
    </w:p>
    <w:p w:rsidR="00837A89" w:rsidRDefault="00837A89"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The Ryan White programs in Nevada collaborate extensively to assure that services are developed and provided per identified need.  </w:t>
      </w:r>
      <w:r w:rsidR="00FB5BAE">
        <w:rPr>
          <w:rFonts w:cs="MS Gothic"/>
          <w:sz w:val="22"/>
          <w:szCs w:val="22"/>
        </w:rPr>
        <w:t>RWPA</w:t>
      </w:r>
      <w:r>
        <w:rPr>
          <w:rFonts w:cs="MS Gothic"/>
          <w:sz w:val="22"/>
          <w:szCs w:val="22"/>
        </w:rPr>
        <w:t xml:space="preserve"> serves Clark and Nye Counties in Nevada and Mohave County in Arizona. </w:t>
      </w:r>
      <w:r w:rsidR="00FB5BAE">
        <w:rPr>
          <w:rFonts w:cs="MS Gothic"/>
          <w:sz w:val="22"/>
          <w:szCs w:val="22"/>
        </w:rPr>
        <w:t>RWPA</w:t>
      </w:r>
      <w:r>
        <w:rPr>
          <w:rFonts w:cs="MS Gothic"/>
          <w:sz w:val="22"/>
          <w:szCs w:val="22"/>
        </w:rPr>
        <w:t xml:space="preserve"> addresses coordination of services by ensuring that RWPA dollars are utilized as a last resort. Eligibility specialists are required to exhaust all other avenues for assistance before approving Part A services. Clients new to the system of care in the TGA and those already receiving Ryan White services are provided with an eligibility assessment and a comprehensive assessment of their medical and social support needs. Based on the client’s individual treatment plan, a referral plan is developed that incorporates Ryan White funded and non-Ryan White funded service providers. The TGA’s case management agencies serve as the hub for the coordination of all these services. Clients are linked into service agencies that address their specific needs. Case managers in the Ryan White funded case management agencies have established and maintain strong working relationships with the case workers and case managers in these outside service agencies. Additionally, the Part A Grant Administrator sits on the Southern Nevada Regional Planning Coalition’s Committee on Homelessness – Continuum of Care Evaluation Working Group to maintain connections with housing services in the community. </w:t>
      </w:r>
    </w:p>
    <w:p w:rsidR="00837A89" w:rsidRDefault="00837A89"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Together, the case manager and the client work together to address the client’s needs through cooperative, coordinated service provision. The care system ensures a coordination of medical care for clients, not only for HIV services, but for non-HIV specialty services as well. Ryan White funded medical providers see the majority of clients with HI</w:t>
      </w:r>
      <w:r w:rsidR="00CA4EDC">
        <w:rPr>
          <w:rFonts w:cs="MS Gothic"/>
          <w:sz w:val="22"/>
          <w:szCs w:val="22"/>
        </w:rPr>
        <w:t>V</w:t>
      </w:r>
      <w:r>
        <w:rPr>
          <w:rFonts w:cs="MS Gothic"/>
          <w:sz w:val="22"/>
          <w:szCs w:val="22"/>
        </w:rPr>
        <w:t>/AIDS in the TGA. To address the unique medical needs of the client, a network of specialty medical providers exist</w:t>
      </w:r>
      <w:r w:rsidR="00005507">
        <w:rPr>
          <w:rFonts w:cs="MS Gothic"/>
          <w:sz w:val="22"/>
          <w:szCs w:val="22"/>
        </w:rPr>
        <w:t>s</w:t>
      </w:r>
      <w:r>
        <w:rPr>
          <w:rFonts w:cs="MS Gothic"/>
          <w:sz w:val="22"/>
          <w:szCs w:val="22"/>
        </w:rPr>
        <w:t xml:space="preserve"> to ensure services such as psychiatry, ophthalmology and physical rehabilitation are available. These services are coordinated through a medically based system of case management, with the nursing case managers in Ryan White funded clinics serving as the primary linkage point.</w:t>
      </w:r>
    </w:p>
    <w:p w:rsidR="00837A89" w:rsidRDefault="00837A89"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The TGA case management providers maintain effective working relationships with other governmental and non-profit service providers. This linkage ensures that Ryan White services compliment the services of other providers. Included in the network of partner agencies is Nevada State Medicare and Medicaid offices, Nevada State Welfare, the Veteran’s Administration, the Southern Nevada Health District, Clark County Social Services, Catholic Charities of Southern Nevada, Nevada Partners (work related skills </w:t>
      </w:r>
      <w:r>
        <w:rPr>
          <w:rFonts w:cs="MS Gothic"/>
          <w:sz w:val="22"/>
          <w:szCs w:val="22"/>
        </w:rPr>
        <w:lastRenderedPageBreak/>
        <w:t xml:space="preserve">training), Section 8 </w:t>
      </w:r>
      <w:r w:rsidR="00CA4EDC">
        <w:rPr>
          <w:rFonts w:cs="MS Gothic"/>
          <w:sz w:val="22"/>
          <w:szCs w:val="22"/>
        </w:rPr>
        <w:t xml:space="preserve">housing </w:t>
      </w:r>
      <w:r>
        <w:rPr>
          <w:rFonts w:cs="MS Gothic"/>
          <w:sz w:val="22"/>
          <w:szCs w:val="22"/>
        </w:rPr>
        <w:t>providers, Help of Southern Nevada, Southern Nevada Adult Mental Health, West Care Treatment Corporation, and Bridge Counseling.</w:t>
      </w:r>
    </w:p>
    <w:p w:rsidR="00837A89" w:rsidRDefault="00837A89"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All of these service providers, Ryan White and non-Ryan White, are coordinated by the case managers in conjunction with the client to </w:t>
      </w:r>
      <w:r w:rsidR="00005507">
        <w:rPr>
          <w:rFonts w:cs="MS Gothic"/>
          <w:sz w:val="22"/>
          <w:szCs w:val="22"/>
        </w:rPr>
        <w:t>address</w:t>
      </w:r>
      <w:r w:rsidR="00CA4EDC">
        <w:rPr>
          <w:rFonts w:cs="MS Gothic"/>
          <w:sz w:val="22"/>
          <w:szCs w:val="22"/>
        </w:rPr>
        <w:t xml:space="preserve"> </w:t>
      </w:r>
      <w:r>
        <w:rPr>
          <w:rFonts w:cs="MS Gothic"/>
          <w:sz w:val="22"/>
          <w:szCs w:val="22"/>
        </w:rPr>
        <w:t>all identified barriers to accessing care services, all barriers to remaining compliant with care services and all social support issues hindering the effective management of the client’s disease.</w:t>
      </w:r>
    </w:p>
    <w:p w:rsidR="00837A89" w:rsidRDefault="00FB5BAE"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RWPB</w:t>
      </w:r>
      <w:r w:rsidR="00837A89">
        <w:rPr>
          <w:rFonts w:cs="MS Gothic"/>
          <w:sz w:val="22"/>
          <w:szCs w:val="22"/>
        </w:rPr>
        <w:t xml:space="preserve"> maintains continuous oversight of State programs and assures that programs, care and services are created, supported, implemented and evaluated to address needs per the SCSN, state epidemiologic data</w:t>
      </w:r>
      <w:r w:rsidR="00CA4EDC">
        <w:rPr>
          <w:rFonts w:cs="MS Gothic"/>
          <w:sz w:val="22"/>
          <w:szCs w:val="22"/>
        </w:rPr>
        <w:t xml:space="preserve"> and</w:t>
      </w:r>
      <w:r w:rsidR="00837A89">
        <w:rPr>
          <w:rFonts w:cs="MS Gothic"/>
          <w:sz w:val="22"/>
          <w:szCs w:val="22"/>
        </w:rPr>
        <w:t xml:space="preserve"> an ongoing process of needs assessment and input.  Nevada continues to research alternative sources of payment for all clients. This is successfully managed through the eligibility vendors with enrollment responsibilities. </w:t>
      </w:r>
    </w:p>
    <w:p w:rsidR="00837A89" w:rsidRDefault="00837A89"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Parts C and D assure that clinical services are offered and address scope of work and reporting requirements.  All of these various component parts must assure that HRSA and State eligibility requirements are met and updated and must accomplish their scope of work while collaborating with each other. Part F, the Nevada AETC and other programs provide a supportive infrastructure for practitioners assuring that up-to-date resources, clinical consultation, guidance and practice development and transformation and educational and skill development programs are always available to support the infrastructure of care.  </w:t>
      </w:r>
    </w:p>
    <w:p w:rsidR="00837A89" w:rsidRDefault="00837A89" w:rsidP="00837A89">
      <w:pPr>
        <w:jc w:val="both"/>
        <w:rPr>
          <w:rFonts w:cs="MS Gothic"/>
          <w:sz w:val="22"/>
          <w:szCs w:val="22"/>
        </w:rPr>
      </w:pPr>
      <w:r>
        <w:rPr>
          <w:rFonts w:cs="MS Gothic"/>
          <w:sz w:val="22"/>
          <w:szCs w:val="22"/>
        </w:rPr>
        <w:t xml:space="preserve">Several mechanisms are in place to ensure that sub-recipients funded through multiple Ryan White parts are able to distinguish which clients are served by each individual funding stream to avoid duplication of services. The Las Vegas TGA currently receives Part A, Part B, Part C, Part D and MAI funding. Agencies track funding for services by funding stream. On a weekly basis, case conferences are held. This provides a forum for medical case management staff, medical providers, and other core members of service delivery to discuss specific clients and their needs. Recipients and sub-recipients of all Ryan White funding streams (Part A, B, C, D and F) also meet quarterly in a meeting called The Gathering, to discuss emerging issues and enhance the continuum of care across all parts. The Gathering also allows providers funded through one part to learn about services provided by other Ryan White parts and identify any situations where service delivery is duplicated or not working. </w:t>
      </w:r>
    </w:p>
    <w:p w:rsidR="00837A89" w:rsidRDefault="00837A89" w:rsidP="00837A89">
      <w:pPr>
        <w:jc w:val="both"/>
        <w:rPr>
          <w:rFonts w:cs="Calibri Light"/>
          <w:sz w:val="22"/>
          <w:szCs w:val="22"/>
        </w:rPr>
      </w:pPr>
      <w:r>
        <w:rPr>
          <w:rFonts w:cs="Calibri Light"/>
          <w:sz w:val="22"/>
          <w:szCs w:val="22"/>
        </w:rPr>
        <w:t xml:space="preserve">Ryan White All Parts Gathering also </w:t>
      </w:r>
      <w:r w:rsidR="004B42C1">
        <w:rPr>
          <w:rFonts w:cs="Calibri Light"/>
          <w:sz w:val="22"/>
          <w:szCs w:val="22"/>
        </w:rPr>
        <w:t xml:space="preserve">take place </w:t>
      </w:r>
      <w:r>
        <w:rPr>
          <w:rFonts w:cs="Calibri Light"/>
          <w:sz w:val="22"/>
          <w:szCs w:val="22"/>
        </w:rPr>
        <w:t>in northern Nevada which improves coordination of services. The Gatherings include at least one representative from each provider funded by Part</w:t>
      </w:r>
      <w:r w:rsidR="00B24FE9">
        <w:rPr>
          <w:rFonts w:cs="Calibri Light"/>
          <w:sz w:val="22"/>
          <w:szCs w:val="22"/>
        </w:rPr>
        <w:t>s</w:t>
      </w:r>
      <w:r>
        <w:rPr>
          <w:rFonts w:cs="Calibri Light"/>
          <w:sz w:val="22"/>
          <w:szCs w:val="22"/>
        </w:rPr>
        <w:t xml:space="preserve"> B, C, and D. The Gathering provide</w:t>
      </w:r>
      <w:r w:rsidR="004B42C1">
        <w:rPr>
          <w:rFonts w:cs="Calibri Light"/>
          <w:sz w:val="22"/>
          <w:szCs w:val="22"/>
        </w:rPr>
        <w:t>s</w:t>
      </w:r>
      <w:r>
        <w:rPr>
          <w:rFonts w:cs="Calibri Light"/>
          <w:sz w:val="22"/>
          <w:szCs w:val="22"/>
        </w:rPr>
        <w:t xml:space="preserve"> the venue to communicate program updates, training, ACA communication, discuss eligibility issues, service coordination, partner introductions, grant opportunities as well as bring in guest speakers. </w:t>
      </w:r>
    </w:p>
    <w:p w:rsidR="00837A89" w:rsidRDefault="00837A89"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In the North, Northern Nevada HOPES is a nonprofit community health center in Reno that is designed in a way that facilitates coordination of care and services for clients. HOPES offers integrated medical care and wellness services. HOPES receives Part B, Part C, Part D funding. In addition to HIV care, within the </w:t>
      </w:r>
      <w:r w:rsidR="00B24FE9">
        <w:rPr>
          <w:rFonts w:cs="MS Gothic"/>
          <w:sz w:val="22"/>
          <w:szCs w:val="22"/>
        </w:rPr>
        <w:t xml:space="preserve">federally qualified </w:t>
      </w:r>
      <w:r>
        <w:rPr>
          <w:rFonts w:cs="MS Gothic"/>
          <w:sz w:val="22"/>
          <w:szCs w:val="22"/>
        </w:rPr>
        <w:t xml:space="preserve">health center, HOPES provides chronic disease management, wellness and nutrition, behavioral health counseling, substance use counseling, case management, pharmacy. Additionally, </w:t>
      </w:r>
      <w:r>
        <w:rPr>
          <w:rFonts w:cs="MS Gothic"/>
          <w:sz w:val="22"/>
          <w:szCs w:val="22"/>
        </w:rPr>
        <w:lastRenderedPageBreak/>
        <w:t xml:space="preserve">HOPES has a </w:t>
      </w:r>
      <w:r w:rsidR="00B24FE9">
        <w:rPr>
          <w:rFonts w:cs="MS Gothic"/>
          <w:sz w:val="22"/>
          <w:szCs w:val="22"/>
        </w:rPr>
        <w:t xml:space="preserve">harm reduction center which houses a </w:t>
      </w:r>
      <w:r>
        <w:rPr>
          <w:rFonts w:cs="MS Gothic"/>
          <w:sz w:val="22"/>
          <w:szCs w:val="22"/>
        </w:rPr>
        <w:t xml:space="preserve">syringe services program </w:t>
      </w:r>
      <w:r w:rsidR="00B24FE9">
        <w:rPr>
          <w:rFonts w:cs="MS Gothic"/>
          <w:sz w:val="22"/>
          <w:szCs w:val="22"/>
        </w:rPr>
        <w:t>and</w:t>
      </w:r>
      <w:r>
        <w:rPr>
          <w:rFonts w:cs="MS Gothic"/>
          <w:sz w:val="22"/>
          <w:szCs w:val="22"/>
        </w:rPr>
        <w:t xml:space="preserve"> provides syringes, harm reduction supplies, counseling, and free HIV and hepatitis C testing. </w:t>
      </w:r>
    </w:p>
    <w:p w:rsidR="00627076" w:rsidRDefault="00627076" w:rsidP="00627076">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Interaction of funding sources is also evident in the state with the coordination among providers and funding streams related to testing, early intervention services, and medical case management. For example, as the regional public health authority in the Las Vegas TGA, the SNHD is the recipient of state of Nevada pass through funding from the CDC for HIV prevention, sexually transmitted disease control and HIV surveillance activities. SNHD is also the recipient of Part A and Part B funding for Early Intervention Services and Medical Case Management. HIV prevention funding through the SNHD is used for rapid testing and the activities of the </w:t>
      </w:r>
      <w:r>
        <w:rPr>
          <w:rFonts w:cs="Calibri Light"/>
          <w:sz w:val="22"/>
          <w:szCs w:val="22"/>
        </w:rPr>
        <w:t>Comprehensive Risk Counseling Services (CRCS)</w:t>
      </w:r>
      <w:r>
        <w:rPr>
          <w:rFonts w:cs="MS Gothic"/>
          <w:sz w:val="22"/>
          <w:szCs w:val="22"/>
        </w:rPr>
        <w:t xml:space="preserve"> as defined by </w:t>
      </w:r>
      <w:r w:rsidRPr="000F45A7">
        <w:rPr>
          <w:rFonts w:cs="MS Gothic"/>
          <w:sz w:val="22"/>
          <w:szCs w:val="22"/>
        </w:rPr>
        <w:t xml:space="preserve">CDC protocols </w:t>
      </w:r>
      <w:r w:rsidRPr="000F45A7">
        <w:rPr>
          <w:rFonts w:cs="Calibri Light"/>
          <w:sz w:val="22"/>
          <w:szCs w:val="22"/>
        </w:rPr>
        <w:t>in identifying individ</w:t>
      </w:r>
      <w:r>
        <w:rPr>
          <w:rFonts w:cs="Calibri Light"/>
          <w:sz w:val="22"/>
          <w:szCs w:val="22"/>
        </w:rPr>
        <w:t>uals unaware of their HIV statu</w:t>
      </w:r>
      <w:r w:rsidRPr="000F45A7">
        <w:rPr>
          <w:rFonts w:cs="Calibri Light"/>
          <w:sz w:val="22"/>
          <w:szCs w:val="22"/>
        </w:rPr>
        <w:t>s.</w:t>
      </w:r>
      <w:r>
        <w:rPr>
          <w:rFonts w:cs="Calibri Light"/>
          <w:sz w:val="22"/>
          <w:szCs w:val="22"/>
        </w:rPr>
        <w:t xml:space="preserve"> The SNHD has conducted activities related to evidence-based testing and education in numerous locations, venues and through targeted testing for decades. AIDS Healthcare Foundation (AHF) provides mobile HIV testing in the community. The combination of targeted testing by SNHD and broad-based testing provided by AHF ensures that the TGA is well covered in relaying the important message of testing and the critical linkage steps that occur once an individual receives a positive </w:t>
      </w:r>
      <w:r w:rsidR="004B42C1">
        <w:rPr>
          <w:rFonts w:cs="Calibri Light"/>
          <w:sz w:val="22"/>
          <w:szCs w:val="22"/>
        </w:rPr>
        <w:t xml:space="preserve">test </w:t>
      </w:r>
      <w:r>
        <w:rPr>
          <w:rFonts w:cs="Calibri Light"/>
          <w:sz w:val="22"/>
          <w:szCs w:val="22"/>
        </w:rPr>
        <w:t>result. SNHD has HIV Prevention-funded testing staff</w:t>
      </w:r>
      <w:r w:rsidR="004B42C1">
        <w:rPr>
          <w:rFonts w:cs="Calibri Light"/>
          <w:sz w:val="22"/>
          <w:szCs w:val="22"/>
        </w:rPr>
        <w:t>,</w:t>
      </w:r>
      <w:r>
        <w:rPr>
          <w:rFonts w:cs="Calibri Light"/>
          <w:sz w:val="22"/>
          <w:szCs w:val="22"/>
        </w:rPr>
        <w:t xml:space="preserve"> and AHF has a Linkage Coordinator in order to inform individuals of their HIV test results. Procedures are in place to counsel individuals with positive results and link them into care. Individuals who are newly diagnosed with HIV are enrolled into the Anti-Retroviral Treatment and Access to Services (ARTAS) program which is designed to link newly diagnosed individuals to medical care. </w:t>
      </w:r>
    </w:p>
    <w:p w:rsidR="00837A89" w:rsidRDefault="00837A89" w:rsidP="00837A89">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The prevention planning groups in the </w:t>
      </w:r>
      <w:r w:rsidR="00FB5BAE">
        <w:rPr>
          <w:rFonts w:cs="MS Gothic"/>
          <w:sz w:val="22"/>
          <w:szCs w:val="22"/>
        </w:rPr>
        <w:t>n</w:t>
      </w:r>
      <w:r>
        <w:rPr>
          <w:rFonts w:cs="MS Gothic"/>
          <w:sz w:val="22"/>
          <w:szCs w:val="22"/>
        </w:rPr>
        <w:t xml:space="preserve">orth and the </w:t>
      </w:r>
      <w:r w:rsidR="00FB5BAE">
        <w:rPr>
          <w:rFonts w:cs="MS Gothic"/>
          <w:sz w:val="22"/>
          <w:szCs w:val="22"/>
        </w:rPr>
        <w:t>s</w:t>
      </w:r>
      <w:r>
        <w:rPr>
          <w:rFonts w:cs="MS Gothic"/>
          <w:sz w:val="22"/>
          <w:szCs w:val="22"/>
        </w:rPr>
        <w:t xml:space="preserve">outh and Part A Planning Council in the </w:t>
      </w:r>
      <w:r w:rsidR="00FB5BAE">
        <w:rPr>
          <w:rFonts w:cs="MS Gothic"/>
          <w:sz w:val="22"/>
          <w:szCs w:val="22"/>
        </w:rPr>
        <w:t>s</w:t>
      </w:r>
      <w:r>
        <w:rPr>
          <w:rFonts w:cs="MS Gothic"/>
          <w:sz w:val="22"/>
          <w:szCs w:val="22"/>
        </w:rPr>
        <w:t>outh meet on a regular basis and facilitate the coordination of HIV prevention and care services across the state</w:t>
      </w:r>
      <w:r w:rsidR="00005507">
        <w:rPr>
          <w:rFonts w:cs="MS Gothic"/>
          <w:sz w:val="22"/>
          <w:szCs w:val="22"/>
        </w:rPr>
        <w:t xml:space="preserve"> </w:t>
      </w:r>
      <w:r>
        <w:rPr>
          <w:rFonts w:cs="MS Gothic"/>
          <w:sz w:val="22"/>
          <w:szCs w:val="22"/>
        </w:rPr>
        <w:t>through regular communication between agency representatives, community organizations, providers, and PLWH. Service providers collaborate extensively with the state and the district health departments to assure that the c</w:t>
      </w:r>
      <w:r w:rsidR="00FB5BAE">
        <w:rPr>
          <w:rFonts w:cs="MS Gothic"/>
          <w:sz w:val="22"/>
          <w:szCs w:val="22"/>
        </w:rPr>
        <w:t xml:space="preserve">ontinuum </w:t>
      </w:r>
      <w:r>
        <w:rPr>
          <w:rFonts w:cs="MS Gothic"/>
          <w:sz w:val="22"/>
          <w:szCs w:val="22"/>
        </w:rPr>
        <w:t xml:space="preserve">of care is addressed through testing to linkage and retention in care. In addition to the federally funded Ryan White efforts, the </w:t>
      </w:r>
      <w:r w:rsidR="00FB5BAE">
        <w:rPr>
          <w:rFonts w:cs="MS Gothic"/>
          <w:sz w:val="22"/>
          <w:szCs w:val="22"/>
        </w:rPr>
        <w:t>s</w:t>
      </w:r>
      <w:r>
        <w:rPr>
          <w:rFonts w:cs="MS Gothic"/>
          <w:sz w:val="22"/>
          <w:szCs w:val="22"/>
        </w:rPr>
        <w:t xml:space="preserve">tate </w:t>
      </w:r>
      <w:r w:rsidR="0064235A">
        <w:rPr>
          <w:rFonts w:cs="MS Gothic"/>
          <w:sz w:val="22"/>
          <w:szCs w:val="22"/>
        </w:rPr>
        <w:t>and county</w:t>
      </w:r>
      <w:r>
        <w:rPr>
          <w:rFonts w:cs="MS Gothic"/>
          <w:sz w:val="22"/>
          <w:szCs w:val="22"/>
        </w:rPr>
        <w:t xml:space="preserve"> health division programs interact</w:t>
      </w:r>
      <w:r w:rsidR="004B42C1">
        <w:rPr>
          <w:rFonts w:cs="MS Gothic"/>
          <w:sz w:val="22"/>
          <w:szCs w:val="22"/>
        </w:rPr>
        <w:t xml:space="preserve"> with various organizations and assistance programs in the nonprofit sector</w:t>
      </w:r>
      <w:r w:rsidR="00005507">
        <w:rPr>
          <w:rFonts w:cs="MS Gothic"/>
          <w:sz w:val="22"/>
          <w:szCs w:val="22"/>
        </w:rPr>
        <w:t xml:space="preserve"> </w:t>
      </w:r>
      <w:r>
        <w:rPr>
          <w:rFonts w:cs="MS Gothic"/>
          <w:sz w:val="22"/>
          <w:szCs w:val="22"/>
        </w:rPr>
        <w:t>to provide care, p</w:t>
      </w:r>
      <w:r w:rsidR="00005507">
        <w:rPr>
          <w:rFonts w:cs="MS Gothic"/>
          <w:sz w:val="22"/>
          <w:szCs w:val="22"/>
        </w:rPr>
        <w:t>lanning, and services in Nevada</w:t>
      </w:r>
      <w:r>
        <w:rPr>
          <w:rFonts w:cs="MS Gothic"/>
          <w:sz w:val="22"/>
          <w:szCs w:val="22"/>
        </w:rPr>
        <w:t>.</w:t>
      </w:r>
    </w:p>
    <w:p w:rsidR="00837A89" w:rsidRDefault="00837A89" w:rsidP="00837A89">
      <w:pPr>
        <w:pStyle w:val="Heading3"/>
      </w:pPr>
      <w:bookmarkStart w:id="38" w:name="_Toc461188581"/>
      <w:r>
        <w:t>Needed Resources/Services</w:t>
      </w:r>
      <w:bookmarkEnd w:id="38"/>
      <w:r>
        <w:t xml:space="preserve"> </w:t>
      </w:r>
    </w:p>
    <w:p w:rsidR="00837A89" w:rsidRPr="007B5781" w:rsidRDefault="00837A89" w:rsidP="003317C9">
      <w:pPr>
        <w:pStyle w:val="ListParagraph"/>
        <w:widowControl w:val="0"/>
        <w:numPr>
          <w:ilvl w:val="0"/>
          <w:numId w:val="6"/>
        </w:numPr>
        <w:tabs>
          <w:tab w:val="left" w:pos="220"/>
          <w:tab w:val="left" w:pos="720"/>
        </w:tabs>
        <w:autoSpaceDE w:val="0"/>
        <w:autoSpaceDN w:val="0"/>
        <w:adjustRightInd w:val="0"/>
        <w:rPr>
          <w:rFonts w:cs="Calibri Light"/>
          <w:i/>
          <w:sz w:val="22"/>
          <w:szCs w:val="22"/>
        </w:rPr>
      </w:pPr>
      <w:r w:rsidRPr="007B5781">
        <w:rPr>
          <w:rFonts w:cs="Calibri Light"/>
          <w:i/>
          <w:sz w:val="22"/>
          <w:szCs w:val="22"/>
        </w:rPr>
        <w:t xml:space="preserve">Provide a narrative description identifying any needed resources and/or services in the jurisdiction which are not being provided, and steps taken to secure them. </w:t>
      </w:r>
      <w:r w:rsidRPr="007B5781">
        <w:rPr>
          <w:rFonts w:ascii="MS Gothic" w:eastAsia="MS Gothic" w:hAnsi="MS Gothic" w:cs="MS Gothic" w:hint="eastAsia"/>
          <w:i/>
          <w:sz w:val="22"/>
          <w:szCs w:val="22"/>
        </w:rPr>
        <w:t> </w:t>
      </w:r>
    </w:p>
    <w:p w:rsidR="0020248F" w:rsidRDefault="00627076" w:rsidP="0020248F">
      <w:pPr>
        <w:jc w:val="both"/>
        <w:rPr>
          <w:sz w:val="22"/>
          <w:szCs w:val="22"/>
        </w:rPr>
      </w:pPr>
      <w:r w:rsidRPr="00627076">
        <w:rPr>
          <w:sz w:val="22"/>
          <w:szCs w:val="22"/>
        </w:rPr>
        <w:t xml:space="preserve">The lack of physicians and other healthcare workers is a large statewide problem that cannot be solved by the HIV programs in the state.  However, the state of Nevada is aware of the problem and has been working to improve the situation.  The state legislature approved funding for a second medical school which will be based in Las Vegas. </w:t>
      </w:r>
      <w:r w:rsidR="00FB5BAE">
        <w:rPr>
          <w:sz w:val="22"/>
          <w:szCs w:val="22"/>
        </w:rPr>
        <w:t>RWPA</w:t>
      </w:r>
      <w:r w:rsidRPr="00627076">
        <w:rPr>
          <w:sz w:val="22"/>
          <w:szCs w:val="22"/>
        </w:rPr>
        <w:t xml:space="preserve"> and </w:t>
      </w:r>
      <w:r w:rsidR="00FB5BAE">
        <w:rPr>
          <w:sz w:val="22"/>
          <w:szCs w:val="22"/>
        </w:rPr>
        <w:t>RWPB</w:t>
      </w:r>
      <w:r w:rsidRPr="00627076">
        <w:rPr>
          <w:sz w:val="22"/>
          <w:szCs w:val="22"/>
        </w:rPr>
        <w:t xml:space="preserve"> actively work to secure more providers each year. There also is a need for more medical provider</w:t>
      </w:r>
      <w:r w:rsidR="00E73293">
        <w:rPr>
          <w:sz w:val="22"/>
          <w:szCs w:val="22"/>
        </w:rPr>
        <w:t>s that accept Medicaid, especially those enrolled in a Managed Care Health plan</w:t>
      </w:r>
      <w:r w:rsidRPr="00627076">
        <w:rPr>
          <w:sz w:val="22"/>
          <w:szCs w:val="22"/>
        </w:rPr>
        <w:t xml:space="preserve">. </w:t>
      </w:r>
    </w:p>
    <w:p w:rsidR="00465ED1" w:rsidRPr="00526310" w:rsidRDefault="00465ED1" w:rsidP="00526310">
      <w:pPr>
        <w:pStyle w:val="ListParagraph"/>
        <w:spacing w:after="0"/>
        <w:ind w:left="0"/>
        <w:jc w:val="both"/>
        <w:rPr>
          <w:rFonts w:cs="Times New Roman"/>
          <w:sz w:val="22"/>
          <w:szCs w:val="22"/>
        </w:rPr>
      </w:pPr>
      <w:r w:rsidRPr="00526310">
        <w:rPr>
          <w:rFonts w:cs="Times New Roman"/>
          <w:sz w:val="22"/>
          <w:szCs w:val="22"/>
        </w:rPr>
        <w:lastRenderedPageBreak/>
        <w:t xml:space="preserve">The Las Vegas TGA has consistently struggled with finding a </w:t>
      </w:r>
      <w:r w:rsidR="00E73293">
        <w:rPr>
          <w:rFonts w:cs="Times New Roman"/>
          <w:sz w:val="22"/>
          <w:szCs w:val="22"/>
        </w:rPr>
        <w:t>provider</w:t>
      </w:r>
      <w:r w:rsidRPr="00526310">
        <w:rPr>
          <w:rFonts w:cs="Times New Roman"/>
          <w:sz w:val="22"/>
          <w:szCs w:val="22"/>
        </w:rPr>
        <w:t xml:space="preserve"> that the Black/African-American population can identify with and feel comfortable frequenting.  This</w:t>
      </w:r>
      <w:r w:rsidR="004A3B28">
        <w:rPr>
          <w:rFonts w:cs="Times New Roman"/>
          <w:sz w:val="22"/>
          <w:szCs w:val="22"/>
        </w:rPr>
        <w:t xml:space="preserve"> has been a serious challenge since, </w:t>
      </w:r>
      <w:r w:rsidR="004A3B28" w:rsidRPr="00526310">
        <w:rPr>
          <w:rFonts w:cs="Times New Roman"/>
          <w:sz w:val="22"/>
          <w:szCs w:val="22"/>
        </w:rPr>
        <w:t>in</w:t>
      </w:r>
      <w:r w:rsidRPr="00526310">
        <w:rPr>
          <w:rFonts w:cs="Times New Roman"/>
          <w:sz w:val="22"/>
          <w:szCs w:val="22"/>
        </w:rPr>
        <w:t xml:space="preserve"> the Las Vegas TGA</w:t>
      </w:r>
      <w:r w:rsidR="004A3B28">
        <w:rPr>
          <w:rFonts w:cs="Times New Roman"/>
          <w:sz w:val="22"/>
          <w:szCs w:val="22"/>
        </w:rPr>
        <w:t>,</w:t>
      </w:r>
      <w:r w:rsidRPr="00526310">
        <w:rPr>
          <w:rFonts w:cs="Times New Roman"/>
          <w:sz w:val="22"/>
          <w:szCs w:val="22"/>
        </w:rPr>
        <w:t xml:space="preserve"> the Black/African-American population is disproportionately impacted by HIV.  In 2014, the Black/African-American population comprised 10% of the general population, </w:t>
      </w:r>
      <w:r w:rsidR="0091286C">
        <w:rPr>
          <w:rFonts w:cs="Times New Roman"/>
          <w:sz w:val="22"/>
          <w:szCs w:val="22"/>
        </w:rPr>
        <w:t xml:space="preserve">but </w:t>
      </w:r>
      <w:r w:rsidRPr="00526310">
        <w:rPr>
          <w:rFonts w:cs="Times New Roman"/>
          <w:sz w:val="22"/>
          <w:szCs w:val="22"/>
        </w:rPr>
        <w:t xml:space="preserve">26% of </w:t>
      </w:r>
      <w:r w:rsidR="0091286C">
        <w:rPr>
          <w:rFonts w:cs="Times New Roman"/>
          <w:sz w:val="22"/>
          <w:szCs w:val="22"/>
        </w:rPr>
        <w:t>n</w:t>
      </w:r>
      <w:r w:rsidRPr="00526310">
        <w:rPr>
          <w:rFonts w:cs="Times New Roman"/>
          <w:sz w:val="22"/>
          <w:szCs w:val="22"/>
        </w:rPr>
        <w:t xml:space="preserve">ew HIV infections, 28% of </w:t>
      </w:r>
      <w:r w:rsidR="0091286C">
        <w:rPr>
          <w:rFonts w:cs="Times New Roman"/>
          <w:sz w:val="22"/>
          <w:szCs w:val="22"/>
        </w:rPr>
        <w:t>n</w:t>
      </w:r>
      <w:r w:rsidRPr="00526310">
        <w:rPr>
          <w:rFonts w:cs="Times New Roman"/>
          <w:sz w:val="22"/>
          <w:szCs w:val="22"/>
        </w:rPr>
        <w:t xml:space="preserve">ew AIDS diagnoses, and </w:t>
      </w:r>
      <w:r w:rsidR="00E73293">
        <w:rPr>
          <w:rFonts w:cs="Times New Roman"/>
          <w:sz w:val="22"/>
          <w:szCs w:val="22"/>
        </w:rPr>
        <w:t>26% of PLWHA. Part A</w:t>
      </w:r>
      <w:r w:rsidRPr="00526310">
        <w:rPr>
          <w:rFonts w:cs="Times New Roman"/>
          <w:sz w:val="22"/>
          <w:szCs w:val="22"/>
        </w:rPr>
        <w:t xml:space="preserve"> has worked diligently to e</w:t>
      </w:r>
      <w:r w:rsidR="00E73293">
        <w:rPr>
          <w:rFonts w:cs="Times New Roman"/>
          <w:sz w:val="22"/>
          <w:szCs w:val="22"/>
        </w:rPr>
        <w:t>ncourage possible providers</w:t>
      </w:r>
      <w:r w:rsidRPr="00526310">
        <w:rPr>
          <w:rFonts w:cs="Times New Roman"/>
          <w:sz w:val="22"/>
          <w:szCs w:val="22"/>
        </w:rPr>
        <w:t xml:space="preserve"> to apply to provide services, with little success.  However, in the RFQ process in October 2015, a Black/African-American focused </w:t>
      </w:r>
      <w:r w:rsidR="00E73293">
        <w:rPr>
          <w:rFonts w:cs="Times New Roman"/>
          <w:sz w:val="22"/>
          <w:szCs w:val="22"/>
        </w:rPr>
        <w:t>provider</w:t>
      </w:r>
      <w:r w:rsidRPr="00526310">
        <w:rPr>
          <w:rFonts w:cs="Times New Roman"/>
          <w:sz w:val="22"/>
          <w:szCs w:val="22"/>
        </w:rPr>
        <w:t xml:space="preserve"> </w:t>
      </w:r>
      <w:r w:rsidR="004B42C1" w:rsidRPr="00526310">
        <w:rPr>
          <w:rFonts w:cs="Times New Roman"/>
          <w:sz w:val="22"/>
          <w:szCs w:val="22"/>
        </w:rPr>
        <w:t xml:space="preserve">met the qualification criteria </w:t>
      </w:r>
      <w:r w:rsidR="004B42C1">
        <w:rPr>
          <w:rFonts w:cs="Times New Roman"/>
          <w:sz w:val="22"/>
          <w:szCs w:val="22"/>
        </w:rPr>
        <w:t xml:space="preserve">and </w:t>
      </w:r>
      <w:r w:rsidRPr="00526310">
        <w:rPr>
          <w:rFonts w:cs="Times New Roman"/>
          <w:sz w:val="22"/>
          <w:szCs w:val="22"/>
        </w:rPr>
        <w:t xml:space="preserve">applied to start service delivery in </w:t>
      </w:r>
      <w:r w:rsidR="0091286C">
        <w:rPr>
          <w:rFonts w:cs="Times New Roman"/>
          <w:sz w:val="22"/>
          <w:szCs w:val="22"/>
        </w:rPr>
        <w:t>m</w:t>
      </w:r>
      <w:r w:rsidRPr="00526310">
        <w:rPr>
          <w:rFonts w:cs="Times New Roman"/>
          <w:sz w:val="22"/>
          <w:szCs w:val="22"/>
        </w:rPr>
        <w:t xml:space="preserve">ental </w:t>
      </w:r>
      <w:r w:rsidR="0091286C">
        <w:rPr>
          <w:rFonts w:cs="Times New Roman"/>
          <w:sz w:val="22"/>
          <w:szCs w:val="22"/>
        </w:rPr>
        <w:t>h</w:t>
      </w:r>
      <w:r w:rsidRPr="00526310">
        <w:rPr>
          <w:rFonts w:cs="Times New Roman"/>
          <w:sz w:val="22"/>
          <w:szCs w:val="22"/>
        </w:rPr>
        <w:t xml:space="preserve">ealth, </w:t>
      </w:r>
      <w:r w:rsidR="0091286C">
        <w:rPr>
          <w:rFonts w:cs="Times New Roman"/>
          <w:sz w:val="22"/>
          <w:szCs w:val="22"/>
        </w:rPr>
        <w:t>s</w:t>
      </w:r>
      <w:r w:rsidRPr="00526310">
        <w:rPr>
          <w:rFonts w:cs="Times New Roman"/>
          <w:sz w:val="22"/>
          <w:szCs w:val="22"/>
        </w:rPr>
        <w:t xml:space="preserve">ubstance </w:t>
      </w:r>
      <w:r w:rsidR="0091286C">
        <w:rPr>
          <w:rFonts w:cs="Times New Roman"/>
          <w:sz w:val="22"/>
          <w:szCs w:val="22"/>
        </w:rPr>
        <w:t>a</w:t>
      </w:r>
      <w:r w:rsidRPr="00526310">
        <w:rPr>
          <w:rFonts w:cs="Times New Roman"/>
          <w:sz w:val="22"/>
          <w:szCs w:val="22"/>
        </w:rPr>
        <w:t xml:space="preserve">buse, </w:t>
      </w:r>
      <w:r w:rsidR="0091286C">
        <w:rPr>
          <w:rFonts w:cs="Times New Roman"/>
          <w:sz w:val="22"/>
          <w:szCs w:val="22"/>
        </w:rPr>
        <w:t>medical c</w:t>
      </w:r>
      <w:r w:rsidRPr="00526310">
        <w:rPr>
          <w:rFonts w:cs="Times New Roman"/>
          <w:sz w:val="22"/>
          <w:szCs w:val="22"/>
        </w:rPr>
        <w:t xml:space="preserve">ase </w:t>
      </w:r>
      <w:r w:rsidR="0091286C">
        <w:rPr>
          <w:rFonts w:cs="Times New Roman"/>
          <w:sz w:val="22"/>
          <w:szCs w:val="22"/>
        </w:rPr>
        <w:t>m</w:t>
      </w:r>
      <w:r w:rsidRPr="00526310">
        <w:rPr>
          <w:rFonts w:cs="Times New Roman"/>
          <w:sz w:val="22"/>
          <w:szCs w:val="22"/>
        </w:rPr>
        <w:t xml:space="preserve">anagement and </w:t>
      </w:r>
      <w:r w:rsidR="0091286C">
        <w:rPr>
          <w:rFonts w:cs="Times New Roman"/>
          <w:sz w:val="22"/>
          <w:szCs w:val="22"/>
        </w:rPr>
        <w:t>p</w:t>
      </w:r>
      <w:r w:rsidRPr="00526310">
        <w:rPr>
          <w:rFonts w:cs="Times New Roman"/>
          <w:sz w:val="22"/>
          <w:szCs w:val="22"/>
        </w:rPr>
        <w:t xml:space="preserve">sychosocial </w:t>
      </w:r>
      <w:r w:rsidR="0091286C">
        <w:rPr>
          <w:rFonts w:cs="Times New Roman"/>
          <w:sz w:val="22"/>
          <w:szCs w:val="22"/>
        </w:rPr>
        <w:t>s</w:t>
      </w:r>
      <w:r w:rsidR="00005507">
        <w:rPr>
          <w:rFonts w:cs="Times New Roman"/>
          <w:sz w:val="22"/>
          <w:szCs w:val="22"/>
        </w:rPr>
        <w:t>upport services for GY2016-2017</w:t>
      </w:r>
      <w:r w:rsidRPr="00526310">
        <w:rPr>
          <w:rFonts w:cs="Times New Roman"/>
          <w:sz w:val="22"/>
          <w:szCs w:val="22"/>
        </w:rPr>
        <w:t xml:space="preserve">. </w:t>
      </w:r>
      <w:r w:rsidR="00E73293">
        <w:rPr>
          <w:rFonts w:cs="Times New Roman"/>
          <w:sz w:val="22"/>
          <w:szCs w:val="22"/>
        </w:rPr>
        <w:t>Part A</w:t>
      </w:r>
      <w:r w:rsidRPr="00526310">
        <w:rPr>
          <w:rFonts w:cs="Times New Roman"/>
          <w:sz w:val="22"/>
          <w:szCs w:val="22"/>
        </w:rPr>
        <w:t xml:space="preserve"> will work closely with the new </w:t>
      </w:r>
      <w:r w:rsidR="00E73293">
        <w:rPr>
          <w:rFonts w:cs="Times New Roman"/>
          <w:sz w:val="22"/>
          <w:szCs w:val="22"/>
        </w:rPr>
        <w:t>provider</w:t>
      </w:r>
      <w:r w:rsidRPr="00526310">
        <w:rPr>
          <w:rFonts w:cs="Times New Roman"/>
          <w:sz w:val="22"/>
          <w:szCs w:val="22"/>
        </w:rPr>
        <w:t xml:space="preserve"> to build a strong partnership in an effort to reduce health disparities in the Black/African-American community.</w:t>
      </w:r>
    </w:p>
    <w:p w:rsidR="00627076" w:rsidRDefault="00627076" w:rsidP="00627076">
      <w:pPr>
        <w:jc w:val="both"/>
        <w:rPr>
          <w:sz w:val="22"/>
          <w:szCs w:val="22"/>
        </w:rPr>
      </w:pPr>
      <w:r w:rsidRPr="00627076">
        <w:rPr>
          <w:sz w:val="22"/>
          <w:szCs w:val="22"/>
        </w:rPr>
        <w:t>More syringe services programs are needed, particularly in the south and rural areas of the state</w:t>
      </w:r>
      <w:r w:rsidR="008D4AC1">
        <w:rPr>
          <w:sz w:val="22"/>
          <w:szCs w:val="22"/>
        </w:rPr>
        <w:t xml:space="preserve">. </w:t>
      </w:r>
      <w:r w:rsidRPr="00627076">
        <w:rPr>
          <w:sz w:val="22"/>
          <w:szCs w:val="22"/>
        </w:rPr>
        <w:t xml:space="preserve">SNHD </w:t>
      </w:r>
      <w:r w:rsidR="008D4AC1">
        <w:rPr>
          <w:sz w:val="22"/>
          <w:szCs w:val="22"/>
        </w:rPr>
        <w:t xml:space="preserve">is in the process of </w:t>
      </w:r>
      <w:r w:rsidRPr="00627076">
        <w:rPr>
          <w:sz w:val="22"/>
          <w:szCs w:val="22"/>
        </w:rPr>
        <w:t xml:space="preserve">piloting syringe service machines in Clark County. Access to PEP and PrEP </w:t>
      </w:r>
      <w:r w:rsidR="0091286C">
        <w:rPr>
          <w:sz w:val="22"/>
          <w:szCs w:val="22"/>
        </w:rPr>
        <w:t xml:space="preserve">also </w:t>
      </w:r>
      <w:r w:rsidRPr="00627076">
        <w:rPr>
          <w:sz w:val="22"/>
          <w:szCs w:val="22"/>
        </w:rPr>
        <w:t xml:space="preserve">has been a challenge in Nevada. The integrated plan includes strategies to identify providers that provide PEP and PrEP and to explore other strategies related to expanding access to those services. Need for increased education about HIV and awareness of HIV resources was evident across the state, among community members, youth, PLWH, medical providers, and community organizations. The integrated plan includes various strategies that address this need. </w:t>
      </w:r>
    </w:p>
    <w:p w:rsidR="00512FE8" w:rsidRPr="00B0316C" w:rsidRDefault="00512FE8" w:rsidP="00A51D20">
      <w:pPr>
        <w:pStyle w:val="Heading2"/>
      </w:pPr>
      <w:bookmarkStart w:id="39" w:name="_Toc461188582"/>
      <w:r w:rsidRPr="00B0316C">
        <w:t>D. Assessing Needs, Gaps, and Barriers</w:t>
      </w:r>
      <w:bookmarkEnd w:id="39"/>
      <w:r w:rsidRPr="00B0316C">
        <w:t xml:space="preserve"> </w:t>
      </w:r>
    </w:p>
    <w:p w:rsidR="00A51D20" w:rsidRPr="00B0316C" w:rsidRDefault="00A51D20" w:rsidP="00A51D20">
      <w:pPr>
        <w:pStyle w:val="Heading3"/>
      </w:pPr>
      <w:bookmarkStart w:id="40" w:name="_Toc461188583"/>
      <w:r w:rsidRPr="00B0316C">
        <w:t>Needs Assessment Process</w:t>
      </w:r>
      <w:bookmarkEnd w:id="40"/>
    </w:p>
    <w:p w:rsidR="0096415C" w:rsidRPr="00B0316C" w:rsidRDefault="0096415C" w:rsidP="003317C9">
      <w:pPr>
        <w:pStyle w:val="ListParagraph"/>
        <w:widowControl w:val="0"/>
        <w:numPr>
          <w:ilvl w:val="0"/>
          <w:numId w:val="7"/>
        </w:numPr>
        <w:tabs>
          <w:tab w:val="left" w:pos="220"/>
          <w:tab w:val="left" w:pos="720"/>
        </w:tabs>
        <w:autoSpaceDE w:val="0"/>
        <w:autoSpaceDN w:val="0"/>
        <w:adjustRightInd w:val="0"/>
        <w:rPr>
          <w:rFonts w:cs="Calibri Light"/>
          <w:i/>
          <w:sz w:val="22"/>
          <w:szCs w:val="22"/>
        </w:rPr>
      </w:pPr>
      <w:r w:rsidRPr="00B0316C">
        <w:rPr>
          <w:rFonts w:cs="Calibri Light"/>
          <w:i/>
          <w:sz w:val="22"/>
          <w:szCs w:val="22"/>
        </w:rPr>
        <w:t xml:space="preserve">Describe the process used to identify HIV prevention and care service needs of people at </w:t>
      </w:r>
      <w:r w:rsidRPr="00B0316C">
        <w:rPr>
          <w:rFonts w:ascii="MS Gothic" w:eastAsia="MS Gothic" w:hAnsi="MS Gothic" w:cs="MS Gothic" w:hint="eastAsia"/>
          <w:i/>
          <w:sz w:val="22"/>
          <w:szCs w:val="22"/>
        </w:rPr>
        <w:t> </w:t>
      </w:r>
      <w:r w:rsidRPr="00B0316C">
        <w:rPr>
          <w:rFonts w:cs="Calibri Light"/>
          <w:i/>
          <w:sz w:val="22"/>
          <w:szCs w:val="22"/>
        </w:rPr>
        <w:t xml:space="preserve">higher risk for HIV and PLWH (diagnosed and undiagnosed);this process description should include how various strategies were used to target, recruit, and retain participants in the HIV planning process that represent the myriad of HIV-infected populations and persons at higher risk for HIV infection, other key stakeholders in HIV prevention, care, and related services, and organizations that can best inform and support the development and implementation of the Integrated HIV Prevention and Care Plan. </w:t>
      </w:r>
      <w:r w:rsidRPr="00B0316C">
        <w:rPr>
          <w:rFonts w:ascii="MS Gothic" w:eastAsia="MS Gothic" w:hAnsi="MS Gothic" w:cs="MS Gothic" w:hint="eastAsia"/>
          <w:i/>
          <w:sz w:val="22"/>
          <w:szCs w:val="22"/>
        </w:rPr>
        <w:t> </w:t>
      </w:r>
    </w:p>
    <w:p w:rsidR="00512FE8" w:rsidRPr="00B0316C" w:rsidRDefault="00512FE8" w:rsidP="00F23788">
      <w:pPr>
        <w:widowControl w:val="0"/>
        <w:tabs>
          <w:tab w:val="left" w:pos="220"/>
          <w:tab w:val="left" w:pos="720"/>
        </w:tabs>
        <w:autoSpaceDE w:val="0"/>
        <w:autoSpaceDN w:val="0"/>
        <w:adjustRightInd w:val="0"/>
        <w:jc w:val="both"/>
        <w:rPr>
          <w:rFonts w:cs="MS Gothic"/>
          <w:sz w:val="22"/>
          <w:szCs w:val="22"/>
        </w:rPr>
      </w:pPr>
      <w:r w:rsidRPr="00B0316C">
        <w:rPr>
          <w:rFonts w:cs="MS Gothic"/>
          <w:sz w:val="22"/>
          <w:szCs w:val="22"/>
        </w:rPr>
        <w:t xml:space="preserve">An extensive process of data collection, epidemiologic data review, community discussion and needs assessment was accomplished to derive data for the Nevada needs assessment.  The </w:t>
      </w:r>
      <w:r w:rsidR="0091286C">
        <w:rPr>
          <w:rFonts w:cs="MS Gothic"/>
          <w:sz w:val="22"/>
          <w:szCs w:val="22"/>
        </w:rPr>
        <w:t>Workgroup</w:t>
      </w:r>
      <w:r w:rsidRPr="00B0316C">
        <w:rPr>
          <w:rFonts w:cs="MS Gothic"/>
          <w:sz w:val="22"/>
          <w:szCs w:val="22"/>
        </w:rPr>
        <w:t xml:space="preserve"> ha</w:t>
      </w:r>
      <w:r w:rsidR="0091286C">
        <w:rPr>
          <w:rFonts w:cs="MS Gothic"/>
          <w:sz w:val="22"/>
          <w:szCs w:val="22"/>
        </w:rPr>
        <w:t xml:space="preserve">s </w:t>
      </w:r>
      <w:r w:rsidRPr="00B0316C">
        <w:rPr>
          <w:rFonts w:cs="MS Gothic"/>
          <w:sz w:val="22"/>
          <w:szCs w:val="22"/>
        </w:rPr>
        <w:t>met monthly and more frequently as needed to provide input and direction in assuring that the process of needs assessment and SCSN action plan setting was linked to uniq</w:t>
      </w:r>
      <w:r w:rsidR="0091286C">
        <w:rPr>
          <w:rFonts w:cs="MS Gothic"/>
          <w:sz w:val="22"/>
          <w:szCs w:val="22"/>
        </w:rPr>
        <w:t xml:space="preserve">ue needs and gaps in services. </w:t>
      </w:r>
      <w:r w:rsidRPr="00B0316C">
        <w:rPr>
          <w:rFonts w:cs="MS Gothic"/>
          <w:sz w:val="22"/>
          <w:szCs w:val="22"/>
        </w:rPr>
        <w:t>The planning councils an</w:t>
      </w:r>
      <w:r w:rsidR="0091286C">
        <w:rPr>
          <w:rFonts w:cs="MS Gothic"/>
          <w:sz w:val="22"/>
          <w:szCs w:val="22"/>
        </w:rPr>
        <w:t>d groups in the north and south</w:t>
      </w:r>
      <w:r w:rsidRPr="00B0316C">
        <w:rPr>
          <w:rFonts w:cs="MS Gothic"/>
          <w:sz w:val="22"/>
          <w:szCs w:val="22"/>
        </w:rPr>
        <w:t xml:space="preserve">–the Las Vegas TGA HIV/AIDS Planning Council, the Southern Nevada Regional HIV Community Planning Group, and the Northern Nevada HIV </w:t>
      </w:r>
      <w:r w:rsidR="00A07477">
        <w:rPr>
          <w:rFonts w:cs="MS Gothic"/>
          <w:sz w:val="22"/>
          <w:szCs w:val="22"/>
        </w:rPr>
        <w:t>P</w:t>
      </w:r>
      <w:r w:rsidR="00A07477" w:rsidRPr="00B0316C">
        <w:rPr>
          <w:rFonts w:cs="MS Gothic"/>
          <w:sz w:val="22"/>
          <w:szCs w:val="22"/>
        </w:rPr>
        <w:t xml:space="preserve">revention </w:t>
      </w:r>
      <w:r w:rsidRPr="00B0316C">
        <w:rPr>
          <w:rFonts w:cs="MS Gothic"/>
          <w:sz w:val="22"/>
          <w:szCs w:val="22"/>
        </w:rPr>
        <w:t xml:space="preserve">Planning Group—have been kept apprised of the needs assessment activities and </w:t>
      </w:r>
      <w:r w:rsidR="00A07477">
        <w:rPr>
          <w:rFonts w:cs="MS Gothic"/>
          <w:sz w:val="22"/>
          <w:szCs w:val="22"/>
        </w:rPr>
        <w:t xml:space="preserve">have been </w:t>
      </w:r>
      <w:r w:rsidRPr="00B0316C">
        <w:rPr>
          <w:rFonts w:cs="MS Gothic"/>
          <w:sz w:val="22"/>
          <w:szCs w:val="22"/>
        </w:rPr>
        <w:t xml:space="preserve">involved in shaping and providing input to the plan throughout the process. Members of the planning groups and councils actively participated in the stakeholder meetings and in the needs assessment data collection efforts. </w:t>
      </w:r>
    </w:p>
    <w:p w:rsidR="00512FE8" w:rsidRPr="00B0316C" w:rsidRDefault="00512FE8" w:rsidP="00F23788">
      <w:pPr>
        <w:widowControl w:val="0"/>
        <w:tabs>
          <w:tab w:val="left" w:pos="220"/>
          <w:tab w:val="left" w:pos="720"/>
        </w:tabs>
        <w:autoSpaceDE w:val="0"/>
        <w:autoSpaceDN w:val="0"/>
        <w:adjustRightInd w:val="0"/>
        <w:jc w:val="both"/>
        <w:rPr>
          <w:rFonts w:cs="MS Gothic"/>
          <w:sz w:val="22"/>
          <w:szCs w:val="22"/>
        </w:rPr>
      </w:pPr>
      <w:r w:rsidRPr="00B0316C">
        <w:rPr>
          <w:rFonts w:cs="MS Gothic"/>
          <w:sz w:val="22"/>
          <w:szCs w:val="22"/>
        </w:rPr>
        <w:t xml:space="preserve">In April 2015, the first HIV engagement meetings for this integrated planning process were held in </w:t>
      </w:r>
      <w:r w:rsidR="00105811" w:rsidRPr="00B0316C">
        <w:rPr>
          <w:rFonts w:cs="MS Gothic"/>
          <w:sz w:val="22"/>
          <w:szCs w:val="22"/>
        </w:rPr>
        <w:t xml:space="preserve">both </w:t>
      </w:r>
      <w:r w:rsidR="00105811" w:rsidRPr="00B0316C">
        <w:rPr>
          <w:rFonts w:cs="MS Gothic"/>
          <w:sz w:val="22"/>
          <w:szCs w:val="22"/>
        </w:rPr>
        <w:lastRenderedPageBreak/>
        <w:t xml:space="preserve">the </w:t>
      </w:r>
      <w:r w:rsidR="0003390D">
        <w:rPr>
          <w:rFonts w:cs="MS Gothic"/>
          <w:sz w:val="22"/>
          <w:szCs w:val="22"/>
        </w:rPr>
        <w:t>n</w:t>
      </w:r>
      <w:r w:rsidRPr="00B0316C">
        <w:rPr>
          <w:rFonts w:cs="MS Gothic"/>
          <w:sz w:val="22"/>
          <w:szCs w:val="22"/>
        </w:rPr>
        <w:t xml:space="preserve">orth and the </w:t>
      </w:r>
      <w:r w:rsidR="0003390D">
        <w:rPr>
          <w:rFonts w:cs="MS Gothic"/>
          <w:sz w:val="22"/>
          <w:szCs w:val="22"/>
        </w:rPr>
        <w:t>s</w:t>
      </w:r>
      <w:r w:rsidRPr="00B0316C">
        <w:rPr>
          <w:rFonts w:cs="MS Gothic"/>
          <w:sz w:val="22"/>
          <w:szCs w:val="22"/>
        </w:rPr>
        <w:t xml:space="preserve">outh to bring treatment and prevention stakeholders together to discuss HIV prevention and care unmet needs, challenges and gaps in Nevada. Stakeholders were also asked for their help in recruiting participants in the various planned needs assessment activities to be carried out over the next year. The 28 participants who attended these meetings represented 20 different organizations and providers from around the state. </w:t>
      </w:r>
    </w:p>
    <w:p w:rsidR="00512FE8" w:rsidRPr="00B0316C" w:rsidRDefault="00512FE8" w:rsidP="00F23788">
      <w:pPr>
        <w:widowControl w:val="0"/>
        <w:tabs>
          <w:tab w:val="left" w:pos="220"/>
          <w:tab w:val="left" w:pos="720"/>
        </w:tabs>
        <w:autoSpaceDE w:val="0"/>
        <w:autoSpaceDN w:val="0"/>
        <w:adjustRightInd w:val="0"/>
        <w:jc w:val="both"/>
        <w:rPr>
          <w:rFonts w:cs="MS Gothic"/>
          <w:sz w:val="22"/>
          <w:szCs w:val="22"/>
        </w:rPr>
      </w:pPr>
      <w:r w:rsidRPr="00B0316C">
        <w:rPr>
          <w:rFonts w:cs="MS Gothic"/>
          <w:sz w:val="22"/>
          <w:szCs w:val="22"/>
        </w:rPr>
        <w:t>Two needs assessments</w:t>
      </w:r>
      <w:r w:rsidR="0003390D">
        <w:rPr>
          <w:rFonts w:cs="MS Gothic"/>
          <w:sz w:val="22"/>
          <w:szCs w:val="22"/>
        </w:rPr>
        <w:t xml:space="preserve">, </w:t>
      </w:r>
      <w:r w:rsidRPr="00B0316C">
        <w:rPr>
          <w:rFonts w:cs="MS Gothic"/>
          <w:sz w:val="22"/>
          <w:szCs w:val="22"/>
        </w:rPr>
        <w:t>one comprehensive and one targeted</w:t>
      </w:r>
      <w:r w:rsidR="0003390D">
        <w:rPr>
          <w:rFonts w:cs="MS Gothic"/>
          <w:sz w:val="22"/>
          <w:szCs w:val="22"/>
        </w:rPr>
        <w:t>,</w:t>
      </w:r>
      <w:r w:rsidRPr="00B0316C">
        <w:rPr>
          <w:rFonts w:cs="MS Gothic"/>
          <w:sz w:val="22"/>
          <w:szCs w:val="22"/>
        </w:rPr>
        <w:t xml:space="preserve"> and a customer satisfaction study from the Las Vegas TGA were conducted </w:t>
      </w:r>
      <w:r w:rsidR="0003390D">
        <w:rPr>
          <w:rFonts w:cs="MS Gothic"/>
          <w:sz w:val="22"/>
          <w:szCs w:val="22"/>
        </w:rPr>
        <w:t>and</w:t>
      </w:r>
      <w:r w:rsidRPr="00B0316C">
        <w:rPr>
          <w:rFonts w:cs="MS Gothic"/>
          <w:sz w:val="22"/>
          <w:szCs w:val="22"/>
        </w:rPr>
        <w:t xml:space="preserve"> used to inform this Statewide Coordinated Statement of Needs. Additional needs assessment activities were conducted between April 2015 and May 2016 to expand the assessment statewide and to address prevention needs. Across these needs assessment activities, seven different </w:t>
      </w:r>
      <w:r w:rsidR="00005507">
        <w:rPr>
          <w:rFonts w:cs="MS Gothic"/>
          <w:sz w:val="22"/>
          <w:szCs w:val="22"/>
        </w:rPr>
        <w:t>HIV client surveys (combined N=</w:t>
      </w:r>
      <w:r w:rsidRPr="00B0316C">
        <w:rPr>
          <w:rFonts w:cs="MS Gothic"/>
          <w:sz w:val="22"/>
          <w:szCs w:val="22"/>
        </w:rPr>
        <w:t xml:space="preserve">838) and one prevention community survey (N=1687) were administered in both online and pencil/paper formats. Client survey respondents </w:t>
      </w:r>
      <w:r w:rsidR="00A07477">
        <w:rPr>
          <w:rFonts w:cs="MS Gothic"/>
          <w:sz w:val="22"/>
          <w:szCs w:val="22"/>
        </w:rPr>
        <w:t xml:space="preserve">were </w:t>
      </w:r>
      <w:r w:rsidRPr="00B0316C">
        <w:rPr>
          <w:rFonts w:cs="MS Gothic"/>
          <w:sz w:val="22"/>
          <w:szCs w:val="22"/>
        </w:rPr>
        <w:t>recruited in a variety of provider locations and community organizations through flyers, social media, and word of mouth. Respondents to the Las Vegas TGA client surveys received $10 stipends or gift cards for their participation. The Las Vegas TGA comprehensive needs assessment included both consumer out of care surveys and in care surveys. The Las Vegas TGA targeted needs assessment included surveys for newly diagnosed PLWH, Ryan White clients who had recently m</w:t>
      </w:r>
      <w:r w:rsidR="00005507">
        <w:rPr>
          <w:rFonts w:cs="MS Gothic"/>
          <w:sz w:val="22"/>
          <w:szCs w:val="22"/>
        </w:rPr>
        <w:t xml:space="preserve">oved to the Las Vegas TGA, and Ryan White </w:t>
      </w:r>
      <w:r w:rsidRPr="00B0316C">
        <w:rPr>
          <w:rFonts w:cs="MS Gothic"/>
          <w:sz w:val="22"/>
          <w:szCs w:val="22"/>
        </w:rPr>
        <w:t>Clients who had not</w:t>
      </w:r>
      <w:r w:rsidR="00005507">
        <w:rPr>
          <w:rFonts w:cs="MS Gothic"/>
          <w:sz w:val="22"/>
          <w:szCs w:val="22"/>
        </w:rPr>
        <w:t xml:space="preserve"> received HIV care in the past </w:t>
      </w:r>
      <w:r w:rsidRPr="00B0316C">
        <w:rPr>
          <w:rFonts w:cs="MS Gothic"/>
          <w:sz w:val="22"/>
          <w:szCs w:val="22"/>
        </w:rPr>
        <w:t xml:space="preserve">for six months or more but </w:t>
      </w:r>
      <w:r w:rsidR="00A07477">
        <w:rPr>
          <w:rFonts w:cs="MS Gothic"/>
          <w:sz w:val="22"/>
          <w:szCs w:val="22"/>
        </w:rPr>
        <w:t xml:space="preserve">who </w:t>
      </w:r>
      <w:r w:rsidRPr="00B0316C">
        <w:rPr>
          <w:rFonts w:cs="MS Gothic"/>
          <w:sz w:val="22"/>
          <w:szCs w:val="22"/>
        </w:rPr>
        <w:t xml:space="preserve">were currently in care. Survey respondents were diverse in their ethnic backgrounds, sexual orientation, age, and gender identity and generally representative of the demographics of PLWH in Nevada. Prevention community survey respondents were recruited through flyers, social media and in person at a variety of community locations, including places </w:t>
      </w:r>
      <w:r w:rsidR="00A07477">
        <w:rPr>
          <w:rFonts w:cs="MS Gothic"/>
          <w:sz w:val="22"/>
          <w:szCs w:val="22"/>
        </w:rPr>
        <w:t>that</w:t>
      </w:r>
      <w:r w:rsidR="00A07477" w:rsidRPr="00B0316C">
        <w:rPr>
          <w:rFonts w:cs="MS Gothic"/>
          <w:sz w:val="22"/>
          <w:szCs w:val="22"/>
        </w:rPr>
        <w:t xml:space="preserve"> </w:t>
      </w:r>
      <w:r w:rsidRPr="00B0316C">
        <w:rPr>
          <w:rFonts w:cs="MS Gothic"/>
          <w:sz w:val="22"/>
          <w:szCs w:val="22"/>
        </w:rPr>
        <w:t xml:space="preserve">people at higher risk of HIV </w:t>
      </w:r>
      <w:r w:rsidR="0003390D">
        <w:rPr>
          <w:rFonts w:cs="MS Gothic"/>
          <w:sz w:val="22"/>
          <w:szCs w:val="22"/>
        </w:rPr>
        <w:t xml:space="preserve">infection </w:t>
      </w:r>
      <w:r w:rsidRPr="00B0316C">
        <w:rPr>
          <w:rFonts w:cs="MS Gothic"/>
          <w:sz w:val="22"/>
          <w:szCs w:val="22"/>
        </w:rPr>
        <w:t xml:space="preserve">may frequent. </w:t>
      </w:r>
    </w:p>
    <w:p w:rsidR="00512FE8" w:rsidRPr="00B0316C" w:rsidRDefault="00512FE8" w:rsidP="00F23788">
      <w:pPr>
        <w:widowControl w:val="0"/>
        <w:tabs>
          <w:tab w:val="left" w:pos="220"/>
          <w:tab w:val="left" w:pos="720"/>
        </w:tabs>
        <w:autoSpaceDE w:val="0"/>
        <w:autoSpaceDN w:val="0"/>
        <w:adjustRightInd w:val="0"/>
        <w:jc w:val="both"/>
        <w:rPr>
          <w:rFonts w:cs="MS Gothic"/>
          <w:sz w:val="22"/>
          <w:szCs w:val="22"/>
        </w:rPr>
      </w:pPr>
      <w:r w:rsidRPr="00B0316C">
        <w:rPr>
          <w:rFonts w:cs="MS Gothic"/>
          <w:sz w:val="22"/>
          <w:szCs w:val="22"/>
        </w:rPr>
        <w:t xml:space="preserve">Across both </w:t>
      </w:r>
      <w:r w:rsidR="0003390D">
        <w:rPr>
          <w:rFonts w:cs="MS Gothic"/>
          <w:sz w:val="22"/>
          <w:szCs w:val="22"/>
        </w:rPr>
        <w:t xml:space="preserve">the </w:t>
      </w:r>
      <w:r w:rsidRPr="00B0316C">
        <w:rPr>
          <w:rFonts w:cs="MS Gothic"/>
          <w:sz w:val="22"/>
          <w:szCs w:val="22"/>
        </w:rPr>
        <w:t>Part A and statewide needs assessments, 26 focus groups were conducted with a total of 221 participants. Focus group participants were recruited with the help of a variety of community organizations, providers</w:t>
      </w:r>
      <w:r w:rsidR="0003390D">
        <w:rPr>
          <w:rFonts w:cs="MS Gothic"/>
          <w:sz w:val="22"/>
          <w:szCs w:val="22"/>
        </w:rPr>
        <w:t>,</w:t>
      </w:r>
      <w:r w:rsidRPr="00B0316C">
        <w:rPr>
          <w:rFonts w:cs="MS Gothic"/>
          <w:sz w:val="22"/>
          <w:szCs w:val="22"/>
        </w:rPr>
        <w:t xml:space="preserve"> and community members through flyers, social media, and word of mouth. Participants across the groups were diverse in their ethnic backgrounds, sexual orientation, age, and gender identity. Statewide focus group participants received $25 gift cards for their time.  </w:t>
      </w:r>
    </w:p>
    <w:p w:rsidR="00512FE8" w:rsidRPr="00B0316C" w:rsidRDefault="00512FE8" w:rsidP="00F23788">
      <w:pPr>
        <w:widowControl w:val="0"/>
        <w:tabs>
          <w:tab w:val="left" w:pos="220"/>
          <w:tab w:val="left" w:pos="720"/>
        </w:tabs>
        <w:autoSpaceDE w:val="0"/>
        <w:autoSpaceDN w:val="0"/>
        <w:adjustRightInd w:val="0"/>
        <w:jc w:val="both"/>
        <w:rPr>
          <w:rFonts w:cs="MS Gothic"/>
          <w:sz w:val="22"/>
          <w:szCs w:val="22"/>
        </w:rPr>
      </w:pPr>
      <w:r w:rsidRPr="00B0316C">
        <w:rPr>
          <w:rFonts w:cs="MS Gothic"/>
          <w:sz w:val="22"/>
          <w:szCs w:val="22"/>
        </w:rPr>
        <w:t>Two provider surveys (</w:t>
      </w:r>
      <w:r w:rsidR="0003390D">
        <w:rPr>
          <w:rFonts w:cs="MS Gothic"/>
          <w:sz w:val="22"/>
          <w:szCs w:val="22"/>
        </w:rPr>
        <w:t>one</w:t>
      </w:r>
      <w:r w:rsidRPr="00B0316C">
        <w:rPr>
          <w:rFonts w:cs="MS Gothic"/>
          <w:sz w:val="22"/>
          <w:szCs w:val="22"/>
        </w:rPr>
        <w:t xml:space="preserve"> Part A </w:t>
      </w:r>
      <w:r w:rsidR="0003390D">
        <w:rPr>
          <w:rFonts w:cs="MS Gothic"/>
          <w:sz w:val="22"/>
          <w:szCs w:val="22"/>
        </w:rPr>
        <w:t>and one</w:t>
      </w:r>
      <w:r w:rsidRPr="00B0316C">
        <w:rPr>
          <w:rFonts w:cs="MS Gothic"/>
          <w:sz w:val="22"/>
          <w:szCs w:val="22"/>
        </w:rPr>
        <w:t xml:space="preserve"> statewide) were administered online to a total of 43 individuals. The Part A provider survey was sent to all Part-A funded agencies. The statewide provider survey included respondents representing 13 different organizations/agencies, including both care and prevention-focused organizations. </w:t>
      </w:r>
    </w:p>
    <w:p w:rsidR="00512FE8" w:rsidRPr="00B0316C" w:rsidRDefault="00512FE8" w:rsidP="00F23788">
      <w:pPr>
        <w:widowControl w:val="0"/>
        <w:tabs>
          <w:tab w:val="left" w:pos="220"/>
          <w:tab w:val="left" w:pos="720"/>
        </w:tabs>
        <w:autoSpaceDE w:val="0"/>
        <w:autoSpaceDN w:val="0"/>
        <w:adjustRightInd w:val="0"/>
        <w:jc w:val="both"/>
        <w:rPr>
          <w:rFonts w:cs="MS Gothic"/>
          <w:sz w:val="22"/>
          <w:szCs w:val="22"/>
        </w:rPr>
      </w:pPr>
      <w:r w:rsidRPr="00B0316C">
        <w:rPr>
          <w:rFonts w:cs="MS Gothic"/>
          <w:sz w:val="22"/>
          <w:szCs w:val="22"/>
        </w:rPr>
        <w:t>In March 2016, a stakeholders meeting</w:t>
      </w:r>
      <w:r w:rsidR="0003390D">
        <w:rPr>
          <w:rFonts w:cs="MS Gothic"/>
          <w:sz w:val="22"/>
          <w:szCs w:val="22"/>
        </w:rPr>
        <w:t>,</w:t>
      </w:r>
      <w:r w:rsidRPr="00B0316C">
        <w:rPr>
          <w:rFonts w:cs="MS Gothic"/>
          <w:sz w:val="22"/>
          <w:szCs w:val="22"/>
        </w:rPr>
        <w:t xml:space="preserve"> in which preliminary data reports were presented and reviewed</w:t>
      </w:r>
      <w:r w:rsidR="0003390D">
        <w:rPr>
          <w:rFonts w:cs="MS Gothic"/>
          <w:sz w:val="22"/>
          <w:szCs w:val="22"/>
        </w:rPr>
        <w:t>,</w:t>
      </w:r>
      <w:r w:rsidRPr="00B0316C">
        <w:rPr>
          <w:rFonts w:cs="MS Gothic"/>
          <w:sz w:val="22"/>
          <w:szCs w:val="22"/>
        </w:rPr>
        <w:t xml:space="preserve"> was conducted to initiate the process of setting goals and objectives for the 2017 – 2021 SCSN and for brainstorming strategies and action plans for each objective. This meeting was attended by 41 participants, not including the facilitators, and represented a wide variety of participants including PLWH, and representatives from providers, prevention agencies, and other community-based organizations.  </w:t>
      </w:r>
    </w:p>
    <w:p w:rsidR="00512FE8" w:rsidRDefault="00512FE8" w:rsidP="00F23788">
      <w:pPr>
        <w:widowControl w:val="0"/>
        <w:tabs>
          <w:tab w:val="left" w:pos="220"/>
          <w:tab w:val="left" w:pos="720"/>
        </w:tabs>
        <w:autoSpaceDE w:val="0"/>
        <w:autoSpaceDN w:val="0"/>
        <w:adjustRightInd w:val="0"/>
        <w:jc w:val="both"/>
        <w:rPr>
          <w:rFonts w:cs="MS Gothic"/>
          <w:sz w:val="22"/>
          <w:szCs w:val="22"/>
        </w:rPr>
      </w:pPr>
      <w:r w:rsidRPr="00B0316C">
        <w:rPr>
          <w:rFonts w:cs="MS Gothic"/>
          <w:sz w:val="22"/>
          <w:szCs w:val="22"/>
        </w:rPr>
        <w:t>Once all the data were in</w:t>
      </w:r>
      <w:r w:rsidR="00377519">
        <w:rPr>
          <w:rFonts w:cs="MS Gothic"/>
          <w:sz w:val="22"/>
          <w:szCs w:val="22"/>
        </w:rPr>
        <w:t>,</w:t>
      </w:r>
      <w:r w:rsidRPr="00B0316C">
        <w:rPr>
          <w:rFonts w:cs="MS Gothic"/>
          <w:sz w:val="22"/>
          <w:szCs w:val="22"/>
        </w:rPr>
        <w:t xml:space="preserve"> the </w:t>
      </w:r>
      <w:r w:rsidR="0003390D">
        <w:rPr>
          <w:rFonts w:cs="MS Gothic"/>
          <w:sz w:val="22"/>
          <w:szCs w:val="22"/>
        </w:rPr>
        <w:t>Workgroup</w:t>
      </w:r>
      <w:r w:rsidRPr="00B0316C">
        <w:rPr>
          <w:rFonts w:cs="MS Gothic"/>
          <w:sz w:val="22"/>
          <w:szCs w:val="22"/>
        </w:rPr>
        <w:t xml:space="preserve"> reviewed all reports and finalized the goals and objectives. They also discussed action strategies that emerged from objectives and would provide the course for HIV prevention, care and services 2017 – 2021.</w:t>
      </w:r>
    </w:p>
    <w:p w:rsidR="00B64E96" w:rsidRPr="003E05A4" w:rsidRDefault="00B64E96" w:rsidP="00B64E96">
      <w:pPr>
        <w:pStyle w:val="Heading3"/>
      </w:pPr>
      <w:bookmarkStart w:id="41" w:name="_Toc461188584"/>
      <w:r>
        <w:lastRenderedPageBreak/>
        <w:t xml:space="preserve">HIV Prevention </w:t>
      </w:r>
      <w:r w:rsidRPr="003E05A4">
        <w:t xml:space="preserve">Needs </w:t>
      </w:r>
      <w:r>
        <w:t>and Gaps</w:t>
      </w:r>
      <w:bookmarkEnd w:id="41"/>
    </w:p>
    <w:p w:rsidR="0096415C" w:rsidRPr="000D1265" w:rsidRDefault="0096415C" w:rsidP="000D1265">
      <w:pPr>
        <w:pStyle w:val="ListParagraph"/>
        <w:widowControl w:val="0"/>
        <w:numPr>
          <w:ilvl w:val="0"/>
          <w:numId w:val="7"/>
        </w:numPr>
        <w:tabs>
          <w:tab w:val="left" w:pos="940"/>
          <w:tab w:val="left" w:pos="1440"/>
        </w:tabs>
        <w:autoSpaceDE w:val="0"/>
        <w:autoSpaceDN w:val="0"/>
        <w:adjustRightInd w:val="0"/>
        <w:spacing w:line="240" w:lineRule="auto"/>
        <w:rPr>
          <w:rFonts w:cs="Calibri Light"/>
          <w:i/>
          <w:sz w:val="22"/>
          <w:szCs w:val="22"/>
        </w:rPr>
      </w:pPr>
      <w:r w:rsidRPr="000D1265">
        <w:rPr>
          <w:rFonts w:cs="Calibri Light"/>
          <w:i/>
          <w:sz w:val="22"/>
          <w:szCs w:val="22"/>
        </w:rPr>
        <w:t xml:space="preserve">Describe the HIV prevention and care </w:t>
      </w:r>
      <w:r w:rsidRPr="000D1265">
        <w:rPr>
          <w:rFonts w:cs="Calibri Light"/>
          <w:i/>
          <w:iCs/>
          <w:sz w:val="22"/>
          <w:szCs w:val="22"/>
        </w:rPr>
        <w:t xml:space="preserve">service needs </w:t>
      </w:r>
      <w:r w:rsidRPr="000D1265">
        <w:rPr>
          <w:rFonts w:cs="Calibri Light"/>
          <w:i/>
          <w:sz w:val="22"/>
          <w:szCs w:val="22"/>
        </w:rPr>
        <w:t xml:space="preserve">of persons at risk for HIV and PLWH. </w:t>
      </w:r>
    </w:p>
    <w:p w:rsidR="0096415C" w:rsidRPr="003E05A4" w:rsidRDefault="0096415C" w:rsidP="000D1265">
      <w:pPr>
        <w:pStyle w:val="ListParagraph"/>
        <w:widowControl w:val="0"/>
        <w:numPr>
          <w:ilvl w:val="0"/>
          <w:numId w:val="7"/>
        </w:numPr>
        <w:autoSpaceDE w:val="0"/>
        <w:autoSpaceDN w:val="0"/>
        <w:adjustRightInd w:val="0"/>
        <w:spacing w:line="240" w:lineRule="auto"/>
        <w:rPr>
          <w:rFonts w:cs="Calibri Light"/>
          <w:i/>
          <w:sz w:val="22"/>
          <w:szCs w:val="22"/>
        </w:rPr>
      </w:pPr>
      <w:r w:rsidRPr="003E05A4">
        <w:rPr>
          <w:rFonts w:cs="Calibri Light"/>
          <w:i/>
          <w:sz w:val="22"/>
          <w:szCs w:val="22"/>
        </w:rPr>
        <w:t xml:space="preserve">Describe the </w:t>
      </w:r>
      <w:r w:rsidRPr="003E05A4">
        <w:rPr>
          <w:rFonts w:cs="Calibri Light"/>
          <w:i/>
          <w:iCs/>
          <w:sz w:val="22"/>
          <w:szCs w:val="22"/>
        </w:rPr>
        <w:t xml:space="preserve">service gaps </w:t>
      </w:r>
      <w:r w:rsidRPr="003E05A4">
        <w:rPr>
          <w:rFonts w:cs="Calibri Light"/>
          <w:i/>
          <w:sz w:val="22"/>
          <w:szCs w:val="22"/>
        </w:rPr>
        <w:t xml:space="preserve">(i.e., prevention, care and treatment, and necessary support services e.g. housing assistance and support) identified by and for persons at higher risk for HIV and PLWH. </w:t>
      </w:r>
    </w:p>
    <w:p w:rsidR="00B469D0" w:rsidRDefault="004A3B28" w:rsidP="003556EE">
      <w:pPr>
        <w:widowControl w:val="0"/>
        <w:tabs>
          <w:tab w:val="left" w:pos="220"/>
          <w:tab w:val="left" w:pos="720"/>
        </w:tabs>
        <w:autoSpaceDE w:val="0"/>
        <w:autoSpaceDN w:val="0"/>
        <w:adjustRightInd w:val="0"/>
        <w:jc w:val="both"/>
        <w:rPr>
          <w:rFonts w:cs="MS Gothic"/>
          <w:sz w:val="22"/>
          <w:szCs w:val="22"/>
        </w:rPr>
      </w:pPr>
      <w:r w:rsidRPr="00961953">
        <w:rPr>
          <w:noProof/>
          <w:highlight w:val="yellow"/>
        </w:rPr>
        <mc:AlternateContent>
          <mc:Choice Requires="wps">
            <w:drawing>
              <wp:anchor distT="91440" distB="91440" distL="137160" distR="137160" simplePos="0" relativeHeight="251725824" behindDoc="0" locked="0" layoutInCell="0" allowOverlap="1" wp14:anchorId="10FAD186" wp14:editId="0144C08C">
                <wp:simplePos x="0" y="0"/>
                <wp:positionH relativeFrom="margin">
                  <wp:posOffset>1676400</wp:posOffset>
                </wp:positionH>
                <wp:positionV relativeFrom="margin">
                  <wp:posOffset>1191895</wp:posOffset>
                </wp:positionV>
                <wp:extent cx="2604770" cy="5982335"/>
                <wp:effectExtent l="6667" t="0" r="0" b="0"/>
                <wp:wrapSquare wrapText="bothSides"/>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04770" cy="5982335"/>
                        </a:xfrm>
                        <a:prstGeom prst="roundRect">
                          <a:avLst>
                            <a:gd name="adj" fmla="val 13032"/>
                          </a:avLst>
                        </a:prstGeom>
                        <a:solidFill>
                          <a:srgbClr val="297FD5">
                            <a:lumMod val="20000"/>
                            <a:lumOff val="80000"/>
                          </a:srgbClr>
                        </a:solidFill>
                        <a:extLst/>
                      </wps:spPr>
                      <wps:txbx>
                        <w:txbxContent>
                          <w:p w:rsidR="002E77F2" w:rsidRPr="0023219D" w:rsidRDefault="002E77F2" w:rsidP="0023219D">
                            <w:pPr>
                              <w:spacing w:before="0" w:after="100" w:afterAutospacing="1"/>
                              <w:jc w:val="center"/>
                              <w:rPr>
                                <w:b/>
                                <w:iCs/>
                                <w:color w:val="143F6A"/>
                                <w:sz w:val="22"/>
                                <w:szCs w:val="22"/>
                              </w:rPr>
                            </w:pPr>
                            <w:r w:rsidRPr="0023219D">
                              <w:rPr>
                                <w:b/>
                                <w:iCs/>
                                <w:color w:val="143F6A"/>
                                <w:sz w:val="22"/>
                                <w:szCs w:val="22"/>
                              </w:rPr>
                              <w:t>Top HIV Prevention Service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454"/>
                            </w:tblGrid>
                            <w:tr w:rsidR="002E77F2" w:rsidTr="0023219D">
                              <w:tc>
                                <w:tcPr>
                                  <w:tcW w:w="4454" w:type="dxa"/>
                                </w:tcPr>
                                <w:p w:rsidR="002E77F2" w:rsidRPr="0023219D" w:rsidRDefault="002E77F2" w:rsidP="00E73293">
                                  <w:pPr>
                                    <w:pStyle w:val="ListParagraph"/>
                                    <w:numPr>
                                      <w:ilvl w:val="0"/>
                                      <w:numId w:val="15"/>
                                    </w:numPr>
                                    <w:spacing w:before="0" w:line="276" w:lineRule="auto"/>
                                    <w:ind w:left="337" w:hanging="203"/>
                                    <w:rPr>
                                      <w:iCs/>
                                      <w:color w:val="143F6A"/>
                                      <w:sz w:val="22"/>
                                      <w:szCs w:val="22"/>
                                    </w:rPr>
                                  </w:pPr>
                                  <w:r w:rsidRPr="0023219D">
                                    <w:rPr>
                                      <w:iCs/>
                                      <w:color w:val="143F6A"/>
                                      <w:sz w:val="22"/>
                                      <w:szCs w:val="22"/>
                                    </w:rPr>
                                    <w:t>Basic HIV prevention education</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HIV education for youth, African Americans and Latinos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HIV education and awareness through social media, internet, and other media campaigns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Reduction of stigma</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Free or low cost testing</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Access to rapid HIV testing</w:t>
                                  </w:r>
                                </w:p>
                              </w:tc>
                              <w:tc>
                                <w:tcPr>
                                  <w:tcW w:w="4454" w:type="dxa"/>
                                </w:tcPr>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Routine testing and sexual risk assessment by primary care providers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Culturally and linguistically appropriate education</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Education and awareness of PEP and PrEP</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Access to PEP and PrEP</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Free or low cost access to condoms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Education on harm reduction skills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Syringe services programs</w:t>
                                  </w:r>
                                </w:p>
                                <w:p w:rsidR="002E77F2" w:rsidRDefault="002E77F2" w:rsidP="0023219D">
                                  <w:pPr>
                                    <w:spacing w:line="276" w:lineRule="auto"/>
                                    <w:ind w:left="337" w:hanging="203"/>
                                    <w:rPr>
                                      <w:iCs/>
                                      <w:color w:val="143F6A"/>
                                      <w:sz w:val="22"/>
                                      <w:szCs w:val="22"/>
                                    </w:rPr>
                                  </w:pPr>
                                </w:p>
                              </w:tc>
                            </w:tr>
                          </w:tbl>
                          <w:p w:rsidR="002E77F2" w:rsidRPr="0023219D" w:rsidRDefault="002E77F2" w:rsidP="00926527">
                            <w:pPr>
                              <w:spacing w:before="0" w:after="0"/>
                              <w:rPr>
                                <w:iCs/>
                                <w:color w:val="143F6A"/>
                                <w:sz w:val="22"/>
                                <w:szCs w:val="22"/>
                              </w:rPr>
                            </w:pPr>
                          </w:p>
                          <w:p w:rsidR="002E77F2" w:rsidRDefault="002E77F2" w:rsidP="00926527">
                            <w:pPr>
                              <w:rPr>
                                <w:iCs/>
                                <w:color w:val="143F6A"/>
                              </w:rPr>
                            </w:pPr>
                          </w:p>
                          <w:p w:rsidR="002E77F2" w:rsidRDefault="002E77F2" w:rsidP="00926527">
                            <w:pPr>
                              <w:rPr>
                                <w:iCs/>
                                <w:color w:val="143F6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FAD186" id="Rounded Rectangle 62" o:spid="_x0000_s1034" style="position:absolute;left:0;text-align:left;margin-left:132pt;margin-top:93.85pt;width:205.1pt;height:471.05pt;rotation:90;z-index:2517258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elRAIAAGMEAAAOAAAAZHJzL2Uyb0RvYy54bWysVF1v2yAUfZ+0/4B4X+18NYlVp6oaZZrU&#10;bVW7/QACOPaGuexC4nS/vhfsZNn2Ns0PiHsvHO45B3xze2wNO2j0DdiSj65yzrSVoBq7K/nXL5t3&#10;C858EFYJA1aX/EV7frt6++amc4UeQw1GaWQEYn3RuZLXIbgiy7ysdSv8FThtqVgBtiJQiLtMoegI&#10;vTXZOM+vsw5QOQSpvafsui/yVcKvKi3D56ryOjBTcuotpBHTuI1jtroRxQ6Fqxs5tCH+oYtWNJYO&#10;PUOtRRBsj81fUG0jETxU4UpCm0FVNVInDsRmlP/B5rkWTicuJI53Z5n8/4OVnw6PyBpV8usxZ1a0&#10;5NET7K3Sij2ResLujGZUI6E65wta/+weMVL17gHkd88s3Ne0TN8hQldroai9UVyf/bYhBp62sm33&#10;ERQdI/YBkmbHCluGQN7Mpnn8Upa0Ycdk1MvZKH0MTFJyfJ1P53PyU1JttlyMJ5NZOlEUESx259CH&#10;9xpaFiclx8gpEkrY4vDgQ7JLDZyF+sZZ1Roy/yAMG03ySeKciWJYTLMTZmIPplGbxpgU4G57b5DR&#10;VmpuOd+sZ+kcs2+J65BOzNJ9ozTdyj69OKUJ3/cwpBzNL/GJNzV8kjSq2LsRjttjMm9x8mcL6oU0&#10;TmqSPvQyiXwN+JOzjm55yf2PvUDNmflgyaflaDqNzyIF09l8TAFeVraXFWElQZU8cNZP70P/lPYO&#10;m11NJ40SbQt35G3VnDvuuxpuBN3kxHB4dfGpXMZp1a9/w+oVAAD//wMAUEsDBBQABgAIAAAAIQA7&#10;WHzH4AAAAAoBAAAPAAAAZHJzL2Rvd25yZXYueG1sTI9BT4NAFITvJv6HzTPx1i6lCC3yaEyjTezN&#10;auL1lX0Ckd0Fdtviv3d70uNkJjPfFJtJd+LMo2utQVjMIxBsKqtaUyN8vL/MViCcJ6Oos4YRftjB&#10;pry9KShX9mLe+HzwtQglxuWE0Hjf51K6qmFNbm57NsH7sqMmH+RYSzXSJZTrTsZRlEpNrQkLDfW8&#10;bbj6Ppw0wi6huMmmPb9m7nNIh23qh+c94v3d9PQIwvPk/8JwxQ/oUAamoz0Z5USHMIvDFY+QPCwz&#10;ECGwTqIFiCPCKl2uQZaF/H+h/AUAAP//AwBQSwECLQAUAAYACAAAACEAtoM4kv4AAADhAQAAEwAA&#10;AAAAAAAAAAAAAAAAAAAAW0NvbnRlbnRfVHlwZXNdLnhtbFBLAQItABQABgAIAAAAIQA4/SH/1gAA&#10;AJQBAAALAAAAAAAAAAAAAAAAAC8BAABfcmVscy8ucmVsc1BLAQItABQABgAIAAAAIQAd42elRAIA&#10;AGMEAAAOAAAAAAAAAAAAAAAAAC4CAABkcnMvZTJvRG9jLnhtbFBLAQItABQABgAIAAAAIQA7WHzH&#10;4AAAAAoBAAAPAAAAAAAAAAAAAAAAAJ4EAABkcnMvZG93bnJldi54bWxQSwUGAAAAAAQABADzAAAA&#10;qwUAAAAA&#10;" o:allowincell="f" fillcolor="#d4e5f7" stroked="f">
                <v:textbox>
                  <w:txbxContent>
                    <w:p w:rsidR="002E77F2" w:rsidRPr="0023219D" w:rsidRDefault="002E77F2" w:rsidP="0023219D">
                      <w:pPr>
                        <w:spacing w:before="0" w:after="100" w:afterAutospacing="1"/>
                        <w:jc w:val="center"/>
                        <w:rPr>
                          <w:b/>
                          <w:iCs/>
                          <w:color w:val="143F6A"/>
                          <w:sz w:val="22"/>
                          <w:szCs w:val="22"/>
                        </w:rPr>
                      </w:pPr>
                      <w:r w:rsidRPr="0023219D">
                        <w:rPr>
                          <w:b/>
                          <w:iCs/>
                          <w:color w:val="143F6A"/>
                          <w:sz w:val="22"/>
                          <w:szCs w:val="22"/>
                        </w:rPr>
                        <w:t>Top HIV Prevention Service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454"/>
                      </w:tblGrid>
                      <w:tr w:rsidR="002E77F2" w:rsidTr="0023219D">
                        <w:tc>
                          <w:tcPr>
                            <w:tcW w:w="4454" w:type="dxa"/>
                          </w:tcPr>
                          <w:p w:rsidR="002E77F2" w:rsidRPr="0023219D" w:rsidRDefault="002E77F2" w:rsidP="00E73293">
                            <w:pPr>
                              <w:pStyle w:val="ListParagraph"/>
                              <w:numPr>
                                <w:ilvl w:val="0"/>
                                <w:numId w:val="15"/>
                              </w:numPr>
                              <w:spacing w:before="0" w:line="276" w:lineRule="auto"/>
                              <w:ind w:left="337" w:hanging="203"/>
                              <w:rPr>
                                <w:iCs/>
                                <w:color w:val="143F6A"/>
                                <w:sz w:val="22"/>
                                <w:szCs w:val="22"/>
                              </w:rPr>
                            </w:pPr>
                            <w:r w:rsidRPr="0023219D">
                              <w:rPr>
                                <w:iCs/>
                                <w:color w:val="143F6A"/>
                                <w:sz w:val="22"/>
                                <w:szCs w:val="22"/>
                              </w:rPr>
                              <w:t>Basic HIV prevention education</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HIV education for youth, African Americans and Latinos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HIV education and awareness through social media, internet, and other media campaigns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Reduction of stigma</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Free or low cost testing</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Access to rapid HIV testing</w:t>
                            </w:r>
                          </w:p>
                        </w:tc>
                        <w:tc>
                          <w:tcPr>
                            <w:tcW w:w="4454" w:type="dxa"/>
                          </w:tcPr>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Routine testing and sexual risk assessment by primary care providers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Culturally and linguistically appropriate education</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Education and awareness of PEP and PrEP</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Access to PEP and PrEP</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Free or low cost access to condoms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Education on harm reduction skills</w:t>
                            </w:r>
                          </w:p>
                          <w:p w:rsidR="002E77F2" w:rsidRPr="0023219D" w:rsidRDefault="002E77F2" w:rsidP="00E73293">
                            <w:pPr>
                              <w:pStyle w:val="ListParagraph"/>
                              <w:numPr>
                                <w:ilvl w:val="0"/>
                                <w:numId w:val="15"/>
                              </w:numPr>
                              <w:spacing w:line="276" w:lineRule="auto"/>
                              <w:ind w:left="337" w:hanging="203"/>
                              <w:rPr>
                                <w:iCs/>
                                <w:color w:val="143F6A"/>
                                <w:sz w:val="22"/>
                                <w:szCs w:val="22"/>
                              </w:rPr>
                            </w:pPr>
                            <w:r w:rsidRPr="0023219D">
                              <w:rPr>
                                <w:iCs/>
                                <w:color w:val="143F6A"/>
                                <w:sz w:val="22"/>
                                <w:szCs w:val="22"/>
                              </w:rPr>
                              <w:t>Syringe services programs</w:t>
                            </w:r>
                          </w:p>
                          <w:p w:rsidR="002E77F2" w:rsidRDefault="002E77F2" w:rsidP="0023219D">
                            <w:pPr>
                              <w:spacing w:line="276" w:lineRule="auto"/>
                              <w:ind w:left="337" w:hanging="203"/>
                              <w:rPr>
                                <w:iCs/>
                                <w:color w:val="143F6A"/>
                                <w:sz w:val="22"/>
                                <w:szCs w:val="22"/>
                              </w:rPr>
                            </w:pPr>
                          </w:p>
                        </w:tc>
                      </w:tr>
                    </w:tbl>
                    <w:p w:rsidR="002E77F2" w:rsidRPr="0023219D" w:rsidRDefault="002E77F2" w:rsidP="00926527">
                      <w:pPr>
                        <w:spacing w:before="0" w:after="0"/>
                        <w:rPr>
                          <w:iCs/>
                          <w:color w:val="143F6A"/>
                          <w:sz w:val="22"/>
                          <w:szCs w:val="22"/>
                        </w:rPr>
                      </w:pPr>
                    </w:p>
                    <w:p w:rsidR="002E77F2" w:rsidRDefault="002E77F2" w:rsidP="00926527">
                      <w:pPr>
                        <w:rPr>
                          <w:iCs/>
                          <w:color w:val="143F6A"/>
                        </w:rPr>
                      </w:pPr>
                    </w:p>
                    <w:p w:rsidR="002E77F2" w:rsidRDefault="002E77F2" w:rsidP="00926527">
                      <w:pPr>
                        <w:rPr>
                          <w:iCs/>
                          <w:color w:val="143F6A"/>
                        </w:rPr>
                      </w:pPr>
                    </w:p>
                  </w:txbxContent>
                </v:textbox>
                <w10:wrap type="square" anchorx="margin" anchory="margin"/>
              </v:roundrect>
            </w:pict>
          </mc:Fallback>
        </mc:AlternateContent>
      </w:r>
      <w:r w:rsidR="00B64E96">
        <w:rPr>
          <w:rFonts w:cs="MS Gothic"/>
          <w:sz w:val="22"/>
          <w:szCs w:val="22"/>
        </w:rPr>
        <w:t xml:space="preserve">Through the needs assessment process, the needs, gaps in service and service barriers for PLWH and people at high risk for HIV in Nevada were identified. </w:t>
      </w:r>
      <w:r w:rsidR="00B469D0" w:rsidRPr="003713C3">
        <w:rPr>
          <w:rFonts w:cs="MS Gothic"/>
          <w:sz w:val="22"/>
          <w:szCs w:val="22"/>
        </w:rPr>
        <w:t>Service needs for persons at higher risk for HIV include education about the transmission of HIV and easily accessible testing services. Peer counselors and education can contribute to prevention a</w:t>
      </w:r>
      <w:r w:rsidR="0023219D">
        <w:rPr>
          <w:rFonts w:cs="MS Gothic"/>
          <w:sz w:val="22"/>
          <w:szCs w:val="22"/>
        </w:rPr>
        <w:t xml:space="preserve">nd also early entry into care. </w:t>
      </w:r>
      <w:r w:rsidR="00B469D0" w:rsidRPr="003713C3">
        <w:rPr>
          <w:rFonts w:cs="MS Gothic"/>
          <w:sz w:val="22"/>
          <w:szCs w:val="22"/>
        </w:rPr>
        <w:t xml:space="preserve">During the community meetings and focus groups, participants discussed the importance of </w:t>
      </w:r>
      <w:r w:rsidR="00A07477">
        <w:rPr>
          <w:rFonts w:cs="MS Gothic"/>
          <w:sz w:val="22"/>
          <w:szCs w:val="22"/>
        </w:rPr>
        <w:t xml:space="preserve">placing </w:t>
      </w:r>
      <w:r w:rsidR="00B469D0" w:rsidRPr="003713C3">
        <w:rPr>
          <w:rFonts w:cs="MS Gothic"/>
          <w:sz w:val="22"/>
          <w:szCs w:val="22"/>
        </w:rPr>
        <w:t xml:space="preserve">HIV prevention </w:t>
      </w:r>
      <w:r w:rsidR="00B469D0" w:rsidRPr="003556EE">
        <w:rPr>
          <w:rFonts w:cs="MS Gothic"/>
          <w:sz w:val="22"/>
          <w:szCs w:val="22"/>
        </w:rPr>
        <w:t xml:space="preserve">messages throughout the community and also on web sites where people tend </w:t>
      </w:r>
      <w:r w:rsidR="0023219D">
        <w:rPr>
          <w:rFonts w:cs="MS Gothic"/>
          <w:sz w:val="22"/>
          <w:szCs w:val="22"/>
        </w:rPr>
        <w:t xml:space="preserve">to enter into risky behaviors. Focus group participants also mentioned the importance of discussions about HIV among friends, family members, in small groups, and between parents and youth. </w:t>
      </w:r>
    </w:p>
    <w:p w:rsidR="007C0E7C" w:rsidRDefault="007C0E7C" w:rsidP="003556EE">
      <w:pPr>
        <w:widowControl w:val="0"/>
        <w:tabs>
          <w:tab w:val="left" w:pos="220"/>
          <w:tab w:val="left" w:pos="720"/>
        </w:tabs>
        <w:autoSpaceDE w:val="0"/>
        <w:autoSpaceDN w:val="0"/>
        <w:adjustRightInd w:val="0"/>
        <w:jc w:val="both"/>
        <w:rPr>
          <w:rFonts w:cs="MS Gothic"/>
          <w:sz w:val="22"/>
          <w:szCs w:val="22"/>
        </w:rPr>
      </w:pPr>
      <w:r>
        <w:rPr>
          <w:rFonts w:cs="Calibri Light"/>
          <w:sz w:val="22"/>
          <w:szCs w:val="22"/>
        </w:rPr>
        <w:t>S</w:t>
      </w:r>
      <w:r w:rsidRPr="003713C3">
        <w:rPr>
          <w:rFonts w:cs="Calibri Light"/>
          <w:sz w:val="22"/>
          <w:szCs w:val="22"/>
        </w:rPr>
        <w:t>ervice gaps in Nevada for persons at risk for HIV include education, peer support</w:t>
      </w:r>
      <w:r w:rsidRPr="003713C3">
        <w:rPr>
          <w:rFonts w:cs="Calibri Light"/>
        </w:rPr>
        <w:t xml:space="preserve"> </w:t>
      </w:r>
      <w:r w:rsidRPr="003713C3">
        <w:rPr>
          <w:rFonts w:cs="Calibri Light"/>
          <w:sz w:val="22"/>
          <w:szCs w:val="22"/>
        </w:rPr>
        <w:t xml:space="preserve">programs, and universal testing for HIV which may contribute to reducing risk and to getting people into care as soon as possible. </w:t>
      </w:r>
      <w:r>
        <w:rPr>
          <w:rFonts w:cs="Calibri Light"/>
          <w:sz w:val="22"/>
          <w:szCs w:val="22"/>
        </w:rPr>
        <w:t xml:space="preserve">The majority of community survey respondents (68%) felt there was not enough messaging/education about HIV/AIDS in their community and that access to free and low-cost testing for high risk populations could be increased. Culturally and linguistically appropriate HIV prevention materials were noted as lacking in the state. </w:t>
      </w:r>
      <w:r w:rsidR="0003390D">
        <w:rPr>
          <w:rFonts w:cs="Calibri Light"/>
          <w:sz w:val="22"/>
          <w:szCs w:val="22"/>
        </w:rPr>
        <w:t xml:space="preserve">The lack of knowledge about HIV among youth was a noted concern. </w:t>
      </w:r>
      <w:r>
        <w:rPr>
          <w:rFonts w:cs="Calibri Light"/>
          <w:sz w:val="22"/>
          <w:szCs w:val="22"/>
        </w:rPr>
        <w:t>Both focus group and survey respondents emphasized the lack of comprehensive HIV prevention education in schools across the state. Another key gap is the limited availability of syringe services programs in the state, particularly in the southern and rural areas. Awareness of and access to PrEP and PEP were other noted gaps in prevention.</w:t>
      </w:r>
    </w:p>
    <w:p w:rsidR="0003390D" w:rsidRDefault="0003390D" w:rsidP="00566304">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03390D" w:rsidRDefault="0003390D" w:rsidP="00566304">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884FDA" w:rsidRDefault="002E77F2" w:rsidP="00566304">
      <w:pPr>
        <w:pStyle w:val="ListParagraph"/>
        <w:widowControl w:val="0"/>
        <w:tabs>
          <w:tab w:val="left" w:pos="940"/>
          <w:tab w:val="left" w:pos="1440"/>
        </w:tabs>
        <w:autoSpaceDE w:val="0"/>
        <w:autoSpaceDN w:val="0"/>
        <w:adjustRightInd w:val="0"/>
        <w:spacing w:before="240"/>
        <w:ind w:left="0"/>
        <w:jc w:val="both"/>
        <w:rPr>
          <w:rFonts w:cs="Calibri Light"/>
          <w:sz w:val="22"/>
          <w:szCs w:val="22"/>
        </w:rPr>
      </w:pPr>
      <w:r w:rsidRPr="00D40432">
        <w:rPr>
          <w:noProof/>
          <w:sz w:val="24"/>
          <w:szCs w:val="24"/>
        </w:rPr>
        <w:lastRenderedPageBreak/>
        <w:drawing>
          <wp:anchor distT="0" distB="0" distL="114300" distR="114300" simplePos="0" relativeHeight="251787264" behindDoc="0" locked="0" layoutInCell="1" allowOverlap="1" wp14:anchorId="1029BD6E" wp14:editId="2C54EC98">
            <wp:simplePos x="0" y="0"/>
            <wp:positionH relativeFrom="column">
              <wp:posOffset>-28575</wp:posOffset>
            </wp:positionH>
            <wp:positionV relativeFrom="paragraph">
              <wp:posOffset>5124450</wp:posOffset>
            </wp:positionV>
            <wp:extent cx="5935980" cy="2857500"/>
            <wp:effectExtent l="0" t="0" r="762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03390D" w:rsidRPr="003713C3">
        <w:rPr>
          <w:noProof/>
        </w:rPr>
        <mc:AlternateContent>
          <mc:Choice Requires="wps">
            <w:drawing>
              <wp:anchor distT="91440" distB="91440" distL="137160" distR="137160" simplePos="0" relativeHeight="251797504" behindDoc="0" locked="0" layoutInCell="0" allowOverlap="1" wp14:anchorId="2748F171" wp14:editId="3463566A">
                <wp:simplePos x="0" y="0"/>
                <wp:positionH relativeFrom="margin">
                  <wp:posOffset>1774190</wp:posOffset>
                </wp:positionH>
                <wp:positionV relativeFrom="margin">
                  <wp:posOffset>-1688465</wp:posOffset>
                </wp:positionV>
                <wp:extent cx="2385695" cy="5982335"/>
                <wp:effectExtent l="0" t="7620" r="6985" b="6985"/>
                <wp:wrapSquare wrapText="bothSides"/>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85695" cy="5982335"/>
                        </a:xfrm>
                        <a:prstGeom prst="roundRect">
                          <a:avLst>
                            <a:gd name="adj" fmla="val 13032"/>
                          </a:avLst>
                        </a:prstGeom>
                        <a:solidFill>
                          <a:srgbClr val="5AA2AE">
                            <a:lumMod val="20000"/>
                            <a:lumOff val="80000"/>
                          </a:srgbClr>
                        </a:solidFill>
                        <a:extLst/>
                      </wps:spPr>
                      <wps:txbx>
                        <w:txbxContent>
                          <w:p w:rsidR="002E77F2" w:rsidRPr="000D568A" w:rsidRDefault="002E77F2" w:rsidP="0003390D">
                            <w:pPr>
                              <w:spacing w:before="100" w:beforeAutospacing="1" w:after="240"/>
                              <w:jc w:val="center"/>
                              <w:rPr>
                                <w:b/>
                                <w:iCs/>
                                <w:color w:val="2B5258"/>
                                <w:sz w:val="22"/>
                              </w:rPr>
                            </w:pPr>
                            <w:r w:rsidRPr="000D568A">
                              <w:rPr>
                                <w:b/>
                                <w:iCs/>
                                <w:color w:val="2B5258"/>
                                <w:sz w:val="22"/>
                              </w:rPr>
                              <w:t>Top HIV Prevention Gaps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454"/>
                            </w:tblGrid>
                            <w:tr w:rsidR="002E77F2" w:rsidTr="00570EEB">
                              <w:tc>
                                <w:tcPr>
                                  <w:tcW w:w="4454" w:type="dxa"/>
                                </w:tcPr>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Consistent comprehensive HIV prevention education in schools statewide</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Culturally and linguistically appropriate HIV prevention materials</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Awareness of HIV prevention resources in community</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Access to community-based testing for high risk populations</w:t>
                                  </w:r>
                                </w:p>
                                <w:p w:rsidR="002E77F2" w:rsidRPr="000D568A" w:rsidRDefault="002E77F2" w:rsidP="000D568A">
                                  <w:pPr>
                                    <w:pStyle w:val="ListParagraph"/>
                                    <w:spacing w:before="0" w:line="276" w:lineRule="auto"/>
                                    <w:ind w:left="252" w:hanging="288"/>
                                    <w:rPr>
                                      <w:iCs/>
                                      <w:color w:val="143F6A"/>
                                      <w:sz w:val="22"/>
                                      <w:szCs w:val="22"/>
                                    </w:rPr>
                                  </w:pPr>
                                </w:p>
                              </w:tc>
                              <w:tc>
                                <w:tcPr>
                                  <w:tcW w:w="4454" w:type="dxa"/>
                                </w:tcPr>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Universal testing in medical settings</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Ongoing stigma and fear related to HIV and HIV testing</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Availability of syringe services programs</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Usage of condoms in high risk populations</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Testing among high risk populations</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Knowledge and awareness of PrEP and PEP</w:t>
                                  </w:r>
                                </w:p>
                                <w:p w:rsidR="002E77F2" w:rsidRPr="00E10851"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Access to PrEP and PEP</w:t>
                                  </w:r>
                                </w:p>
                              </w:tc>
                            </w:tr>
                          </w:tbl>
                          <w:p w:rsidR="002E77F2" w:rsidRDefault="002E77F2" w:rsidP="0003390D">
                            <w:pPr>
                              <w:spacing w:before="0" w:after="0"/>
                              <w:rPr>
                                <w:iCs/>
                                <w:color w:val="143F6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48F171" id="Rounded Rectangle 61" o:spid="_x0000_s1035" style="position:absolute;left:0;text-align:left;margin-left:139.7pt;margin-top:-132.95pt;width:187.85pt;height:471.05pt;rotation:90;z-index:251797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rxRAIAAGMEAAAOAAAAZHJzL2Uyb0RvYy54bWysVNuO0zAQfUfiHyy/07TphbZquqq6LEJa&#10;YLULH+DaThNwPGbsNtn9esZOWwq8IfpgZWbs43PmjLu66RrDjhp9Dbbgo8GQM20lqNruC/71y92b&#10;OWc+CKuEAasL/qw9v1m/frVq3VLnUIFRGhmBWL9sXcGrENwyy7ysdCP8AJy2VCwBGxEoxH2mULSE&#10;3pgsHw5nWQuoHILU3lP2ti/ydcIvSy3D57L0OjBTcOIW0opp3cU1W6/Eco/CVbU80RD/wKIRtaVL&#10;L1C3Igh2wPovqKaWCB7KMJDQZFCWtdRJA6kZDf9Q81QJp5MWao53lzb5/wcrPx0fkNWq4LMRZ1Y0&#10;5NEjHKzSij1S94TdG82oRo1qnV/S/if3gFGqd/cgv3tmYVvRNr1BhLbSQhG9tD/77UAMPB1lu/Yj&#10;KLpGHAKknnUlNgyBvJlOhvGXstQb1iWjni9G6S4wScl8PJ/OFlPOJNWmi3k+Hk8jw0wsI1hk59CH&#10;9xoaFj8KjlFTFJSwxfHeh2SXOmkW6htnZWPI/KMwbDQejvMT4mkzYZ8xk3owtbqrjUkB7ndbg4yO&#10;Ep/NJt+8S/eYQ0Na+zRNKylL80Zpmso+PT+nCd/3MEmHv8Yn3UQ4Cjx3sXcjdLsumbc4+7MD9Uw9&#10;Tt2keaeXSeIrwBfOWprygvsfB4GaM/PBkk+L0WQSn0UKJtO3OQV4XdldV4SVBFXwwFn/uQ39Uzo4&#10;rPcV3TRKsi1syNuyvjDuWZ3o0yQnhadXF5/KdZx2/fpvWP8EAAD//wMAUEsDBBQABgAIAAAAIQAn&#10;fvEl4QAAAAkBAAAPAAAAZHJzL2Rvd25yZXYueG1sTI9BT8MwDIXvSPyHyEhc0JZAxNhK02lCQhpM&#10;QlrhsGPWmLascaom28q/x5zgZvvZ733Ol6PvxAmH2AYycDtVIJCq4FqqDXy8P0/mIGKy5GwXCA18&#10;Y4RlcXmR28yFM23xVKZasAnFzBpoUuozKWPVoLdxGnok1j7D4G3idqilG+yZzX0n75SaSW9b4oTG&#10;9vjUYHUoj54xvl639+lmVHq2WZdvL4fduNqtjbm+GlePIBKO6W8ZfvH5Bgpm2ocjuSg6AxPN5Inn&#10;DxoE6ws952JvQC+0Alnk8v8HxQ8AAAD//wMAUEsBAi0AFAAGAAgAAAAhALaDOJL+AAAA4QEAABMA&#10;AAAAAAAAAAAAAAAAAAAAAFtDb250ZW50X1R5cGVzXS54bWxQSwECLQAUAAYACAAAACEAOP0h/9YA&#10;AACUAQAACwAAAAAAAAAAAAAAAAAvAQAAX3JlbHMvLnJlbHNQSwECLQAUAAYACAAAACEAyjF68UQC&#10;AABjBAAADgAAAAAAAAAAAAAAAAAuAgAAZHJzL2Uyb0RvYy54bWxQSwECLQAUAAYACAAAACEAJ37x&#10;JeEAAAAJAQAADwAAAAAAAAAAAAAAAACeBAAAZHJzL2Rvd25yZXYueG1sUEsFBgAAAAAEAAQA8wAA&#10;AKwFAAAAAA==&#10;" o:allowincell="f" fillcolor="#deecef" stroked="f">
                <v:textbox>
                  <w:txbxContent>
                    <w:p w:rsidR="002E77F2" w:rsidRPr="000D568A" w:rsidRDefault="002E77F2" w:rsidP="0003390D">
                      <w:pPr>
                        <w:spacing w:before="100" w:beforeAutospacing="1" w:after="240"/>
                        <w:jc w:val="center"/>
                        <w:rPr>
                          <w:b/>
                          <w:iCs/>
                          <w:color w:val="2B5258"/>
                          <w:sz w:val="22"/>
                        </w:rPr>
                      </w:pPr>
                      <w:r w:rsidRPr="000D568A">
                        <w:rPr>
                          <w:b/>
                          <w:iCs/>
                          <w:color w:val="2B5258"/>
                          <w:sz w:val="22"/>
                        </w:rPr>
                        <w:t>Top HIV Prevention Gaps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454"/>
                      </w:tblGrid>
                      <w:tr w:rsidR="002E77F2" w:rsidTr="00570EEB">
                        <w:tc>
                          <w:tcPr>
                            <w:tcW w:w="4454" w:type="dxa"/>
                          </w:tcPr>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Consistent comprehensive HIV prevention education in schools statewide</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Culturally and linguistically appropriate HIV prevention materials</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Awareness of HIV prevention resources in community</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Access to community-based testing for high risk populations</w:t>
                            </w:r>
                          </w:p>
                          <w:p w:rsidR="002E77F2" w:rsidRPr="000D568A" w:rsidRDefault="002E77F2" w:rsidP="000D568A">
                            <w:pPr>
                              <w:pStyle w:val="ListParagraph"/>
                              <w:spacing w:before="0" w:line="276" w:lineRule="auto"/>
                              <w:ind w:left="252" w:hanging="288"/>
                              <w:rPr>
                                <w:iCs/>
                                <w:color w:val="143F6A"/>
                                <w:sz w:val="22"/>
                                <w:szCs w:val="22"/>
                              </w:rPr>
                            </w:pPr>
                          </w:p>
                        </w:tc>
                        <w:tc>
                          <w:tcPr>
                            <w:tcW w:w="4454" w:type="dxa"/>
                          </w:tcPr>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Universal testing in medical settings</w:t>
                            </w:r>
                          </w:p>
                          <w:p w:rsidR="002E77F2" w:rsidRPr="000D568A" w:rsidRDefault="002E77F2" w:rsidP="00E73293">
                            <w:pPr>
                              <w:pStyle w:val="ListParagraph"/>
                              <w:numPr>
                                <w:ilvl w:val="0"/>
                                <w:numId w:val="16"/>
                              </w:numPr>
                              <w:spacing w:before="0" w:line="276" w:lineRule="auto"/>
                              <w:ind w:left="252" w:hanging="288"/>
                              <w:rPr>
                                <w:iCs/>
                                <w:color w:val="143F6A"/>
                                <w:sz w:val="22"/>
                              </w:rPr>
                            </w:pPr>
                            <w:r w:rsidRPr="000D568A">
                              <w:rPr>
                                <w:iCs/>
                                <w:color w:val="143F6A"/>
                                <w:sz w:val="22"/>
                              </w:rPr>
                              <w:t>Ongoing stigma and fear related to HIV and HIV testing</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Availability of syringe services programs</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Usage of condoms in high risk populations</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Testing among high risk populations</w:t>
                            </w:r>
                          </w:p>
                          <w:p w:rsidR="002E77F2" w:rsidRPr="000D568A"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Knowledge and awareness of PrEP and PEP</w:t>
                            </w:r>
                          </w:p>
                          <w:p w:rsidR="002E77F2" w:rsidRPr="00E10851" w:rsidRDefault="002E77F2" w:rsidP="00E73293">
                            <w:pPr>
                              <w:pStyle w:val="ListParagraph"/>
                              <w:numPr>
                                <w:ilvl w:val="0"/>
                                <w:numId w:val="15"/>
                              </w:numPr>
                              <w:spacing w:before="0" w:line="276" w:lineRule="auto"/>
                              <w:ind w:left="252" w:hanging="288"/>
                              <w:rPr>
                                <w:iCs/>
                                <w:color w:val="143F6A"/>
                                <w:sz w:val="22"/>
                              </w:rPr>
                            </w:pPr>
                            <w:r w:rsidRPr="000D568A">
                              <w:rPr>
                                <w:iCs/>
                                <w:color w:val="143F6A"/>
                                <w:sz w:val="22"/>
                              </w:rPr>
                              <w:t>Access to PrEP and PEP</w:t>
                            </w:r>
                          </w:p>
                        </w:tc>
                      </w:tr>
                    </w:tbl>
                    <w:p w:rsidR="002E77F2" w:rsidRDefault="002E77F2" w:rsidP="0003390D">
                      <w:pPr>
                        <w:spacing w:before="0" w:after="0"/>
                        <w:rPr>
                          <w:iCs/>
                          <w:color w:val="143F6A"/>
                        </w:rPr>
                      </w:pPr>
                    </w:p>
                  </w:txbxContent>
                </v:textbox>
                <w10:wrap type="square" anchorx="margin" anchory="margin"/>
              </v:roundrect>
            </w:pict>
          </mc:Fallback>
        </mc:AlternateContent>
      </w:r>
      <w:r w:rsidR="00884FDA">
        <w:rPr>
          <w:rFonts w:cs="Calibri Light"/>
          <w:sz w:val="22"/>
          <w:szCs w:val="22"/>
        </w:rPr>
        <w:t xml:space="preserve">The HIV Community Survey asked respondents to indicate the ways </w:t>
      </w:r>
      <w:r w:rsidR="0003390D">
        <w:rPr>
          <w:rFonts w:cs="Calibri Light"/>
          <w:sz w:val="22"/>
          <w:szCs w:val="22"/>
        </w:rPr>
        <w:t xml:space="preserve">in which </w:t>
      </w:r>
      <w:r w:rsidR="00884FDA">
        <w:rPr>
          <w:rFonts w:cs="Calibri Light"/>
          <w:sz w:val="22"/>
          <w:szCs w:val="22"/>
        </w:rPr>
        <w:t>they preferred to receive information about HIV/AIDS. The most preferred methods were through the internet (69%), health care provider (60%), brochures (30%)</w:t>
      </w:r>
      <w:r w:rsidR="0003390D">
        <w:rPr>
          <w:rFonts w:cs="Calibri Light"/>
          <w:sz w:val="22"/>
          <w:szCs w:val="22"/>
        </w:rPr>
        <w:t>,</w:t>
      </w:r>
      <w:r w:rsidR="00884FDA">
        <w:rPr>
          <w:rFonts w:cs="Calibri Light"/>
          <w:sz w:val="22"/>
          <w:szCs w:val="22"/>
        </w:rPr>
        <w:t xml:space="preserve"> or from family (25%</w:t>
      </w:r>
      <w:r w:rsidR="00CE29AC">
        <w:rPr>
          <w:rFonts w:cs="Calibri Light"/>
          <w:sz w:val="22"/>
          <w:szCs w:val="22"/>
        </w:rPr>
        <w:t>; Figure 2</w:t>
      </w:r>
      <w:r w:rsidR="008C5291">
        <w:rPr>
          <w:rFonts w:cs="Calibri Light"/>
          <w:sz w:val="22"/>
          <w:szCs w:val="22"/>
        </w:rPr>
        <w:t>6</w:t>
      </w:r>
      <w:r w:rsidR="00CE29AC">
        <w:rPr>
          <w:rFonts w:cs="Calibri Light"/>
          <w:sz w:val="22"/>
          <w:szCs w:val="22"/>
        </w:rPr>
        <w:t>)</w:t>
      </w:r>
      <w:r w:rsidR="00884FDA">
        <w:rPr>
          <w:rFonts w:cs="Calibri Light"/>
          <w:sz w:val="22"/>
          <w:szCs w:val="22"/>
        </w:rPr>
        <w:t xml:space="preserve">. Some </w:t>
      </w:r>
      <w:r w:rsidR="00611B6C">
        <w:rPr>
          <w:rFonts w:cs="Calibri Light"/>
          <w:sz w:val="22"/>
          <w:szCs w:val="22"/>
        </w:rPr>
        <w:t>differences in preferred methods</w:t>
      </w:r>
      <w:r w:rsidR="00884FDA">
        <w:rPr>
          <w:rFonts w:cs="Calibri Light"/>
          <w:sz w:val="22"/>
          <w:szCs w:val="22"/>
        </w:rPr>
        <w:t xml:space="preserve"> were found based on type of respondent. </w:t>
      </w:r>
      <w:r w:rsidR="00611B6C">
        <w:rPr>
          <w:rFonts w:cs="Calibri Light"/>
          <w:sz w:val="22"/>
          <w:szCs w:val="22"/>
        </w:rPr>
        <w:t>While the internet was the most preferred way for IDU to receive HIV/AIDS information, only 47% of IDU chose that way compared to 69% of the total sample.  Only 37% of IDU indicated that they preferred to receive HIV/AIDS information from a health care provider, compared to 60% of the total sample. These results suggest the need for further exploration to discover other ways to better reach the IDU population with HIV/AIDS information. MSM respondents most preferred the internet as a way to receive HIV/AIDS information (72%). About half of MSM respondents (51%) indicated that they liked receiving HIV/AIDS information from a health care provider. Higher percentages of MSM respondents compared to the total sample liked receiving HIV/AIDS information</w:t>
      </w:r>
      <w:r w:rsidR="008C00AB">
        <w:rPr>
          <w:rFonts w:cs="Calibri Light"/>
          <w:sz w:val="22"/>
          <w:szCs w:val="22"/>
        </w:rPr>
        <w:t xml:space="preserve"> from television (32%), community agencies (30%), community events (28%), radio (26%), and newspaper ads/billboards (16%). </w:t>
      </w:r>
    </w:p>
    <w:p w:rsidR="00512FE8" w:rsidRPr="003E05A4" w:rsidRDefault="00E10851" w:rsidP="00A51D20">
      <w:pPr>
        <w:pStyle w:val="Heading3"/>
      </w:pPr>
      <w:bookmarkStart w:id="42" w:name="_Toc461188585"/>
      <w:r w:rsidRPr="003713C3">
        <w:rPr>
          <w:noProof/>
        </w:rPr>
        <w:lastRenderedPageBreak/>
        <mc:AlternateContent>
          <mc:Choice Requires="wps">
            <w:drawing>
              <wp:anchor distT="0" distB="0" distL="114300" distR="114300" simplePos="0" relativeHeight="251788288" behindDoc="0" locked="0" layoutInCell="1" allowOverlap="1" wp14:anchorId="2D00EDF5" wp14:editId="17B5A98C">
                <wp:simplePos x="0" y="0"/>
                <wp:positionH relativeFrom="column">
                  <wp:posOffset>1832610</wp:posOffset>
                </wp:positionH>
                <wp:positionV relativeFrom="paragraph">
                  <wp:posOffset>-561340</wp:posOffset>
                </wp:positionV>
                <wp:extent cx="2311400" cy="5982335"/>
                <wp:effectExtent l="0" t="6668" r="6033" b="6032"/>
                <wp:wrapSquare wrapText="bothSides"/>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11400" cy="5982335"/>
                        </a:xfrm>
                        <a:prstGeom prst="roundRect">
                          <a:avLst>
                            <a:gd name="adj" fmla="val 13032"/>
                          </a:avLst>
                        </a:prstGeom>
                        <a:solidFill>
                          <a:srgbClr val="297FD5">
                            <a:lumMod val="20000"/>
                            <a:lumOff val="80000"/>
                          </a:srgbClr>
                        </a:solidFill>
                        <a:extLst/>
                      </wps:spPr>
                      <wps:txbx>
                        <w:txbxContent>
                          <w:p w:rsidR="002E77F2" w:rsidRDefault="002E77F2" w:rsidP="00697880">
                            <w:pPr>
                              <w:spacing w:before="0" w:after="120"/>
                              <w:jc w:val="center"/>
                              <w:rPr>
                                <w:b/>
                                <w:iCs/>
                                <w:color w:val="143F6A"/>
                                <w:sz w:val="22"/>
                                <w:szCs w:val="22"/>
                              </w:rPr>
                            </w:pPr>
                            <w:r w:rsidRPr="008D6257">
                              <w:rPr>
                                <w:b/>
                                <w:iCs/>
                                <w:color w:val="143F6A"/>
                                <w:sz w:val="22"/>
                                <w:szCs w:val="22"/>
                              </w:rPr>
                              <w:t>Top HIV Care Service Needs</w:t>
                            </w:r>
                            <w:r>
                              <w:rPr>
                                <w:b/>
                                <w:iCs/>
                                <w:color w:val="143F6A"/>
                                <w:sz w:val="22"/>
                                <w:szCs w:val="22"/>
                              </w:rPr>
                              <w:t xml:space="preserve"> for PLWH in Nevada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3065"/>
                              <w:gridCol w:w="3279"/>
                            </w:tblGrid>
                            <w:tr w:rsidR="002E77F2" w:rsidTr="00BD3A95">
                              <w:tc>
                                <w:tcPr>
                                  <w:tcW w:w="2515" w:type="dxa"/>
                                </w:tcPr>
                                <w:p w:rsidR="002E77F2"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Medical care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Dental care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Vision care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Food assistance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Medication</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Transportation</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Case management</w:t>
                                  </w:r>
                                </w:p>
                                <w:p w:rsidR="002E77F2" w:rsidRPr="00A84FC9"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Nutrition services</w:t>
                                  </w:r>
                                </w:p>
                              </w:tc>
                              <w:tc>
                                <w:tcPr>
                                  <w:tcW w:w="3065" w:type="dxa"/>
                                </w:tcPr>
                                <w:p w:rsidR="002E77F2" w:rsidRPr="008D6257"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Mental health care</w:t>
                                  </w:r>
                                </w:p>
                                <w:p w:rsidR="002E77F2" w:rsidRPr="008D6257"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Specialty care</w:t>
                                  </w:r>
                                </w:p>
                                <w:p w:rsidR="002E77F2"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 xml:space="preserve">Referrals for </w:t>
                                  </w:r>
                                  <w:r>
                                    <w:rPr>
                                      <w:iCs/>
                                      <w:color w:val="143F6A"/>
                                      <w:sz w:val="22"/>
                                      <w:szCs w:val="22"/>
                                    </w:rPr>
                                    <w:t>h</w:t>
                                  </w:r>
                                  <w:r w:rsidRPr="008D6257">
                                    <w:rPr>
                                      <w:iCs/>
                                      <w:color w:val="143F6A"/>
                                      <w:sz w:val="22"/>
                                      <w:szCs w:val="22"/>
                                    </w:rPr>
                                    <w:t>ealth care/supportive services</w:t>
                                  </w:r>
                                </w:p>
                                <w:p w:rsidR="002E77F2"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Treatment adherence counseling</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Support groups</w:t>
                                  </w:r>
                                </w:p>
                                <w:p w:rsidR="002E77F2" w:rsidRPr="00A84FC9"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Health insurance assistance</w:t>
                                  </w:r>
                                </w:p>
                                <w:p w:rsidR="002E77F2" w:rsidRDefault="002E77F2" w:rsidP="00B469D0">
                                  <w:pPr>
                                    <w:spacing w:before="0" w:line="276" w:lineRule="auto"/>
                                    <w:ind w:left="337" w:hanging="203"/>
                                    <w:jc w:val="center"/>
                                    <w:rPr>
                                      <w:b/>
                                      <w:iCs/>
                                      <w:color w:val="143F6A"/>
                                      <w:sz w:val="22"/>
                                      <w:szCs w:val="22"/>
                                    </w:rPr>
                                  </w:pPr>
                                </w:p>
                              </w:tc>
                              <w:tc>
                                <w:tcPr>
                                  <w:tcW w:w="3279" w:type="dxa"/>
                                </w:tcPr>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Emergency financial assistance</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Housing services</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Legal services</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Substance abuse help</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Early intervention services</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HIV and health classes</w:t>
                                  </w:r>
                                </w:p>
                                <w:p w:rsidR="002E77F2" w:rsidRPr="008D6257"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Outreach</w:t>
                                  </w:r>
                                </w:p>
                              </w:tc>
                            </w:tr>
                          </w:tbl>
                          <w:p w:rsidR="002E77F2" w:rsidRPr="008D6257" w:rsidRDefault="002E77F2" w:rsidP="00697880">
                            <w:pPr>
                              <w:spacing w:before="0" w:after="0"/>
                              <w:jc w:val="center"/>
                              <w:rPr>
                                <w:b/>
                                <w:iCs/>
                                <w:color w:val="143F6A"/>
                                <w:sz w:val="22"/>
                                <w:szCs w:val="22"/>
                              </w:rPr>
                            </w:pPr>
                          </w:p>
                          <w:p w:rsidR="002E77F2" w:rsidRPr="008D6257" w:rsidRDefault="002E77F2" w:rsidP="00697880">
                            <w:pPr>
                              <w:rPr>
                                <w:iCs/>
                                <w:color w:val="143F6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0EDF5" id="Rounded Rectangle 60" o:spid="_x0000_s1036" style="position:absolute;margin-left:144.3pt;margin-top:-44.2pt;width:182pt;height:471.0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6QQIAAGQEAAAOAAAAZHJzL2Uyb0RvYy54bWysVNuO2jAQfa/Uf7D8XkK47AIirFYgqkrb&#10;drXbfoCxHZLW8bhjQ6Bf37GTZWn7VpUHK3Px8ZxzbJZ3p8awo0Zfgy14Phhypq0EVdt9wb9+2b6b&#10;ceaDsEoYsLrgZ+353ertm2XrFnoEFRilkRGI9YvWFbwKwS2yzMtKN8IPwGlLxRKwEYFC3GcKRUvo&#10;jclGw+FN1gIqhyC195TddEW+SvhlqWX4XJZeB2YKTrOFtGJad3HNVkux2KNwVS37McQ/TNGI2tKh&#10;F6iNCIIdsP4LqqklgocyDCQ0GZRlLXXiQGzy4R9snivhdOJC4nh3kcn/P1j56fiIrFYFvyF5rGjI&#10;oyc4WKUVeyL1hN0bzahGQrXOL6j/2T1ipOrdA8jvnllYV9Sm7xGhrbRQNF4e+7PfNsTA01a2az+C&#10;omPEIUDS7FRiwxDIm+lkGH8pS9qwUzLqfDFKnwKTlByN85xaOZNUm85no/F4mk4UiwgWp3Pow3sN&#10;DYsfBcfIKRJK2OL44EOyS/WchfrGWdkYMv8oDMvHw/GoR+ybs1fMxB5Mrba1MSnA/W5tkNFWGm5+&#10;u91M0znm0BDXPp2YpftGabqVXXr2kiZ838GQcvR9jU+8aeAXSaOKnRvhtDsl8/KLQTtQZxI5yUkC&#10;0dMk9hXgT85auuYF9z8OAjVn5oMlo+b5ZBLfRQom09sRBXhd2V1XhJUEVfDAWfe5Dt1bOjis9xWd&#10;lCfeFu7J3LK+jNxN1V8JusqJYv/s4lu5jlPX65/D6hcAAAD//wMAUEsDBBQABgAIAAAAIQCm5rJo&#10;3gAAAAkBAAAPAAAAZHJzL2Rvd25yZXYueG1sTI/BTsMwEETvSPyDtUjcWqdV6tCQTYUqQKI3ClKv&#10;brwkEfE6id02/D3mRI+jGc28KTaT7cSZRt86RljMExDElTMt1wifHy+zBxA+aDa6c0wIP+RhU97e&#10;FDo37sLvdN6HWsQS9rlGaELocyl91ZDVfu564uh9udHqEOVYSzPqSyy3nVwmiZJWtxwXGt3TtqHq&#10;e3+yCK+pXjbZtKO3zB8GNWxVGJ53iPd309MjiEBT+A/DH35EhzIyHd2JjRcdwmwVgwhxJAMR/XW6&#10;UCCOCCuVZiDLQl4/KH8BAAD//wMAUEsBAi0AFAAGAAgAAAAhALaDOJL+AAAA4QEAABMAAAAAAAAA&#10;AAAAAAAAAAAAAFtDb250ZW50X1R5cGVzXS54bWxQSwECLQAUAAYACAAAACEAOP0h/9YAAACUAQAA&#10;CwAAAAAAAAAAAAAAAAAvAQAAX3JlbHMvLnJlbHNQSwECLQAUAAYACAAAACEAz0Py+kECAABkBAAA&#10;DgAAAAAAAAAAAAAAAAAuAgAAZHJzL2Uyb0RvYy54bWxQSwECLQAUAAYACAAAACEApuayaN4AAAAJ&#10;AQAADwAAAAAAAAAAAAAAAACbBAAAZHJzL2Rvd25yZXYueG1sUEsFBgAAAAAEAAQA8wAAAKYFAAAA&#10;AA==&#10;" fillcolor="#d4e5f7" stroked="f">
                <v:textbox>
                  <w:txbxContent>
                    <w:p w:rsidR="002E77F2" w:rsidRDefault="002E77F2" w:rsidP="00697880">
                      <w:pPr>
                        <w:spacing w:before="0" w:after="120"/>
                        <w:jc w:val="center"/>
                        <w:rPr>
                          <w:b/>
                          <w:iCs/>
                          <w:color w:val="143F6A"/>
                          <w:sz w:val="22"/>
                          <w:szCs w:val="22"/>
                        </w:rPr>
                      </w:pPr>
                      <w:r w:rsidRPr="008D6257">
                        <w:rPr>
                          <w:b/>
                          <w:iCs/>
                          <w:color w:val="143F6A"/>
                          <w:sz w:val="22"/>
                          <w:szCs w:val="22"/>
                        </w:rPr>
                        <w:t>Top HIV Care Service Needs</w:t>
                      </w:r>
                      <w:r>
                        <w:rPr>
                          <w:b/>
                          <w:iCs/>
                          <w:color w:val="143F6A"/>
                          <w:sz w:val="22"/>
                          <w:szCs w:val="22"/>
                        </w:rPr>
                        <w:t xml:space="preserve"> for PLWH in Nevada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3065"/>
                        <w:gridCol w:w="3279"/>
                      </w:tblGrid>
                      <w:tr w:rsidR="002E77F2" w:rsidTr="00BD3A95">
                        <w:tc>
                          <w:tcPr>
                            <w:tcW w:w="2515" w:type="dxa"/>
                          </w:tcPr>
                          <w:p w:rsidR="002E77F2"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Medical care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Dental care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Vision care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Food assistance</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Medication</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Transportation</w:t>
                            </w:r>
                          </w:p>
                          <w:p w:rsidR="002E77F2"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Case management</w:t>
                            </w:r>
                          </w:p>
                          <w:p w:rsidR="002E77F2" w:rsidRPr="00A84FC9" w:rsidRDefault="002E77F2" w:rsidP="00E73293">
                            <w:pPr>
                              <w:pStyle w:val="ListParagraph"/>
                              <w:numPr>
                                <w:ilvl w:val="0"/>
                                <w:numId w:val="13"/>
                              </w:numPr>
                              <w:spacing w:line="276" w:lineRule="auto"/>
                              <w:ind w:left="337" w:hanging="203"/>
                              <w:rPr>
                                <w:iCs/>
                                <w:color w:val="143F6A"/>
                                <w:sz w:val="22"/>
                                <w:szCs w:val="22"/>
                              </w:rPr>
                            </w:pPr>
                            <w:r>
                              <w:rPr>
                                <w:iCs/>
                                <w:color w:val="143F6A"/>
                                <w:sz w:val="22"/>
                                <w:szCs w:val="22"/>
                              </w:rPr>
                              <w:t>Nutrition services</w:t>
                            </w:r>
                          </w:p>
                        </w:tc>
                        <w:tc>
                          <w:tcPr>
                            <w:tcW w:w="3065" w:type="dxa"/>
                          </w:tcPr>
                          <w:p w:rsidR="002E77F2" w:rsidRPr="008D6257"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Mental health care</w:t>
                            </w:r>
                          </w:p>
                          <w:p w:rsidR="002E77F2" w:rsidRPr="008D6257"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Specialty care</w:t>
                            </w:r>
                          </w:p>
                          <w:p w:rsidR="002E77F2"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 xml:space="preserve">Referrals for </w:t>
                            </w:r>
                            <w:r>
                              <w:rPr>
                                <w:iCs/>
                                <w:color w:val="143F6A"/>
                                <w:sz w:val="22"/>
                                <w:szCs w:val="22"/>
                              </w:rPr>
                              <w:t>h</w:t>
                            </w:r>
                            <w:r w:rsidRPr="008D6257">
                              <w:rPr>
                                <w:iCs/>
                                <w:color w:val="143F6A"/>
                                <w:sz w:val="22"/>
                                <w:szCs w:val="22"/>
                              </w:rPr>
                              <w:t>ealth care/supportive services</w:t>
                            </w:r>
                          </w:p>
                          <w:p w:rsidR="002E77F2" w:rsidRDefault="002E77F2" w:rsidP="00E73293">
                            <w:pPr>
                              <w:pStyle w:val="ListParagraph"/>
                              <w:numPr>
                                <w:ilvl w:val="0"/>
                                <w:numId w:val="13"/>
                              </w:numPr>
                              <w:spacing w:before="0" w:line="276" w:lineRule="auto"/>
                              <w:ind w:left="337" w:hanging="203"/>
                              <w:rPr>
                                <w:iCs/>
                                <w:color w:val="143F6A"/>
                                <w:sz w:val="22"/>
                                <w:szCs w:val="22"/>
                              </w:rPr>
                            </w:pPr>
                            <w:r w:rsidRPr="008D6257">
                              <w:rPr>
                                <w:iCs/>
                                <w:color w:val="143F6A"/>
                                <w:sz w:val="22"/>
                                <w:szCs w:val="22"/>
                              </w:rPr>
                              <w:t>Treatment adherence counseling</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Support groups</w:t>
                            </w:r>
                          </w:p>
                          <w:p w:rsidR="002E77F2" w:rsidRPr="00A84FC9"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Health insurance assistance</w:t>
                            </w:r>
                          </w:p>
                          <w:p w:rsidR="002E77F2" w:rsidRDefault="002E77F2" w:rsidP="00B469D0">
                            <w:pPr>
                              <w:spacing w:before="0" w:line="276" w:lineRule="auto"/>
                              <w:ind w:left="337" w:hanging="203"/>
                              <w:jc w:val="center"/>
                              <w:rPr>
                                <w:b/>
                                <w:iCs/>
                                <w:color w:val="143F6A"/>
                                <w:sz w:val="22"/>
                                <w:szCs w:val="22"/>
                              </w:rPr>
                            </w:pPr>
                          </w:p>
                        </w:tc>
                        <w:tc>
                          <w:tcPr>
                            <w:tcW w:w="3279" w:type="dxa"/>
                          </w:tcPr>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Emergency financial assistance</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Housing services</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Legal services</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Substance abuse help</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Early intervention services</w:t>
                            </w:r>
                          </w:p>
                          <w:p w:rsidR="002E77F2"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HIV and health classes</w:t>
                            </w:r>
                          </w:p>
                          <w:p w:rsidR="002E77F2" w:rsidRPr="008D6257" w:rsidRDefault="002E77F2" w:rsidP="00E73293">
                            <w:pPr>
                              <w:pStyle w:val="ListParagraph"/>
                              <w:numPr>
                                <w:ilvl w:val="0"/>
                                <w:numId w:val="13"/>
                              </w:numPr>
                              <w:spacing w:before="0" w:line="276" w:lineRule="auto"/>
                              <w:ind w:left="337" w:hanging="203"/>
                              <w:rPr>
                                <w:iCs/>
                                <w:color w:val="143F6A"/>
                                <w:sz w:val="22"/>
                                <w:szCs w:val="22"/>
                              </w:rPr>
                            </w:pPr>
                            <w:r>
                              <w:rPr>
                                <w:iCs/>
                                <w:color w:val="143F6A"/>
                                <w:sz w:val="22"/>
                                <w:szCs w:val="22"/>
                              </w:rPr>
                              <w:t>Outreach</w:t>
                            </w:r>
                          </w:p>
                        </w:tc>
                      </w:tr>
                    </w:tbl>
                    <w:p w:rsidR="002E77F2" w:rsidRPr="008D6257" w:rsidRDefault="002E77F2" w:rsidP="00697880">
                      <w:pPr>
                        <w:spacing w:before="0" w:after="0"/>
                        <w:jc w:val="center"/>
                        <w:rPr>
                          <w:b/>
                          <w:iCs/>
                          <w:color w:val="143F6A"/>
                          <w:sz w:val="22"/>
                          <w:szCs w:val="22"/>
                        </w:rPr>
                      </w:pPr>
                    </w:p>
                    <w:p w:rsidR="002E77F2" w:rsidRPr="008D6257" w:rsidRDefault="002E77F2" w:rsidP="00697880">
                      <w:pPr>
                        <w:rPr>
                          <w:iCs/>
                          <w:color w:val="143F6A"/>
                          <w:sz w:val="22"/>
                          <w:szCs w:val="22"/>
                        </w:rPr>
                      </w:pPr>
                    </w:p>
                  </w:txbxContent>
                </v:textbox>
                <w10:wrap type="square"/>
              </v:roundrect>
            </w:pict>
          </mc:Fallback>
        </mc:AlternateContent>
      </w:r>
      <w:r w:rsidR="00526310">
        <w:t xml:space="preserve">HIV Care </w:t>
      </w:r>
      <w:r w:rsidR="00512FE8" w:rsidRPr="003E05A4">
        <w:t xml:space="preserve">Service Needs </w:t>
      </w:r>
      <w:r w:rsidR="00BD3A95">
        <w:t>and Gaps</w:t>
      </w:r>
      <w:bookmarkEnd w:id="42"/>
    </w:p>
    <w:p w:rsidR="00FC2107" w:rsidRDefault="008D6257" w:rsidP="00F23788">
      <w:pPr>
        <w:widowControl w:val="0"/>
        <w:tabs>
          <w:tab w:val="left" w:pos="220"/>
          <w:tab w:val="left" w:pos="720"/>
        </w:tabs>
        <w:autoSpaceDE w:val="0"/>
        <w:autoSpaceDN w:val="0"/>
        <w:adjustRightInd w:val="0"/>
        <w:jc w:val="both"/>
        <w:rPr>
          <w:rFonts w:cs="MS Gothic"/>
          <w:sz w:val="22"/>
          <w:szCs w:val="22"/>
        </w:rPr>
      </w:pPr>
      <w:r>
        <w:rPr>
          <w:rFonts w:cs="MS Gothic"/>
          <w:sz w:val="22"/>
          <w:szCs w:val="22"/>
        </w:rPr>
        <w:t xml:space="preserve">Surveys </w:t>
      </w:r>
      <w:r w:rsidR="00377519">
        <w:rPr>
          <w:rFonts w:cs="MS Gothic"/>
          <w:sz w:val="22"/>
          <w:szCs w:val="22"/>
        </w:rPr>
        <w:t xml:space="preserve">and focus groups </w:t>
      </w:r>
      <w:r>
        <w:rPr>
          <w:rFonts w:cs="MS Gothic"/>
          <w:sz w:val="22"/>
          <w:szCs w:val="22"/>
        </w:rPr>
        <w:t xml:space="preserve">of </w:t>
      </w:r>
      <w:r w:rsidR="00BD3A95">
        <w:rPr>
          <w:rFonts w:cs="MS Gothic"/>
          <w:sz w:val="22"/>
          <w:szCs w:val="22"/>
        </w:rPr>
        <w:t>PLWH</w:t>
      </w:r>
      <w:r>
        <w:rPr>
          <w:rFonts w:cs="MS Gothic"/>
          <w:sz w:val="22"/>
          <w:szCs w:val="22"/>
        </w:rPr>
        <w:t xml:space="preserve"> revealed the most </w:t>
      </w:r>
      <w:r w:rsidR="00377519">
        <w:rPr>
          <w:rFonts w:cs="MS Gothic"/>
          <w:sz w:val="22"/>
          <w:szCs w:val="22"/>
        </w:rPr>
        <w:t>needed</w:t>
      </w:r>
      <w:r>
        <w:rPr>
          <w:rFonts w:cs="MS Gothic"/>
          <w:sz w:val="22"/>
          <w:szCs w:val="22"/>
        </w:rPr>
        <w:t xml:space="preserve"> services </w:t>
      </w:r>
      <w:r w:rsidR="00377519">
        <w:rPr>
          <w:rFonts w:cs="MS Gothic"/>
          <w:sz w:val="22"/>
          <w:szCs w:val="22"/>
        </w:rPr>
        <w:t>including medical, dental, and vision care, food assistance, medication, transportation and case management. Providers’ assessment of client needs included many of the same care services, but additionally</w:t>
      </w:r>
      <w:r w:rsidR="0003390D">
        <w:rPr>
          <w:rFonts w:cs="MS Gothic"/>
          <w:sz w:val="22"/>
          <w:szCs w:val="22"/>
        </w:rPr>
        <w:t xml:space="preserve"> they</w:t>
      </w:r>
      <w:r w:rsidR="00377519">
        <w:rPr>
          <w:rFonts w:cs="MS Gothic"/>
          <w:sz w:val="22"/>
          <w:szCs w:val="22"/>
        </w:rPr>
        <w:t xml:space="preserve"> indicated the importan</w:t>
      </w:r>
      <w:r w:rsidR="00BD3A95">
        <w:rPr>
          <w:rFonts w:cs="MS Gothic"/>
          <w:sz w:val="22"/>
          <w:szCs w:val="22"/>
        </w:rPr>
        <w:t>ce</w:t>
      </w:r>
      <w:r w:rsidR="00377519">
        <w:rPr>
          <w:rFonts w:cs="MS Gothic"/>
          <w:sz w:val="22"/>
          <w:szCs w:val="22"/>
        </w:rPr>
        <w:t xml:space="preserve"> of legal services, substance abuse help</w:t>
      </w:r>
      <w:r w:rsidR="00BD3A95">
        <w:rPr>
          <w:rFonts w:cs="MS Gothic"/>
          <w:sz w:val="22"/>
          <w:szCs w:val="22"/>
        </w:rPr>
        <w:t xml:space="preserve">, early intervention services, HIV and health classes, and outreach. </w:t>
      </w:r>
    </w:p>
    <w:p w:rsidR="00697880" w:rsidRDefault="00697880" w:rsidP="00697880">
      <w:pPr>
        <w:widowControl w:val="0"/>
        <w:tabs>
          <w:tab w:val="left" w:pos="220"/>
          <w:tab w:val="left" w:pos="720"/>
        </w:tabs>
        <w:autoSpaceDE w:val="0"/>
        <w:autoSpaceDN w:val="0"/>
        <w:adjustRightInd w:val="0"/>
        <w:spacing w:before="120"/>
        <w:jc w:val="both"/>
        <w:rPr>
          <w:rFonts w:cs="MS Gothic"/>
          <w:sz w:val="22"/>
          <w:szCs w:val="22"/>
        </w:rPr>
      </w:pPr>
    </w:p>
    <w:p w:rsidR="007502A7" w:rsidRDefault="00E10851" w:rsidP="00697880">
      <w:pPr>
        <w:widowControl w:val="0"/>
        <w:tabs>
          <w:tab w:val="left" w:pos="220"/>
          <w:tab w:val="left" w:pos="720"/>
        </w:tabs>
        <w:autoSpaceDE w:val="0"/>
        <w:autoSpaceDN w:val="0"/>
        <w:adjustRightInd w:val="0"/>
        <w:spacing w:before="120"/>
        <w:jc w:val="both"/>
        <w:rPr>
          <w:rFonts w:cs="MS Gothic"/>
          <w:sz w:val="22"/>
          <w:szCs w:val="22"/>
        </w:rPr>
      </w:pPr>
      <w:r w:rsidRPr="00B413DF">
        <w:rPr>
          <w:noProof/>
          <w:sz w:val="22"/>
          <w:szCs w:val="22"/>
        </w:rPr>
        <mc:AlternateContent>
          <mc:Choice Requires="wps">
            <w:drawing>
              <wp:anchor distT="91440" distB="91440" distL="137160" distR="137160" simplePos="0" relativeHeight="251721728" behindDoc="0" locked="0" layoutInCell="0" allowOverlap="1" wp14:anchorId="2F3615A9" wp14:editId="48E9B7E8">
                <wp:simplePos x="0" y="0"/>
                <wp:positionH relativeFrom="margin">
                  <wp:posOffset>1939290</wp:posOffset>
                </wp:positionH>
                <wp:positionV relativeFrom="margin">
                  <wp:posOffset>4062095</wp:posOffset>
                </wp:positionV>
                <wp:extent cx="2094230" cy="5982335"/>
                <wp:effectExtent l="0" t="953" r="318" b="317"/>
                <wp:wrapSquare wrapText="bothSides"/>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4230" cy="5982335"/>
                        </a:xfrm>
                        <a:prstGeom prst="roundRect">
                          <a:avLst>
                            <a:gd name="adj" fmla="val 13032"/>
                          </a:avLst>
                        </a:prstGeom>
                        <a:solidFill>
                          <a:srgbClr val="5AA2AE">
                            <a:lumMod val="20000"/>
                            <a:lumOff val="80000"/>
                          </a:srgbClr>
                        </a:solidFill>
                        <a:extLst/>
                      </wps:spPr>
                      <wps:txbx>
                        <w:txbxContent>
                          <w:p w:rsidR="002E77F2" w:rsidRPr="007502A7" w:rsidRDefault="002E77F2" w:rsidP="00B469D0">
                            <w:pPr>
                              <w:spacing w:before="0"/>
                              <w:jc w:val="center"/>
                              <w:rPr>
                                <w:b/>
                                <w:iCs/>
                                <w:color w:val="2B5258"/>
                                <w:sz w:val="22"/>
                                <w:szCs w:val="22"/>
                              </w:rPr>
                            </w:pPr>
                            <w:r w:rsidRPr="007502A7">
                              <w:rPr>
                                <w:b/>
                                <w:iCs/>
                                <w:color w:val="2B5258"/>
                                <w:sz w:val="22"/>
                                <w:szCs w:val="22"/>
                              </w:rPr>
                              <w:t>Top HIV Care Gaps</w:t>
                            </w:r>
                          </w:p>
                          <w:tbl>
                            <w:tblPr>
                              <w:tblW w:w="0" w:type="auto"/>
                              <w:tblInd w:w="450" w:type="dxa"/>
                              <w:tblLook w:val="04A0" w:firstRow="1" w:lastRow="0" w:firstColumn="1" w:lastColumn="0" w:noHBand="0" w:noVBand="1"/>
                            </w:tblPr>
                            <w:tblGrid>
                              <w:gridCol w:w="2790"/>
                              <w:gridCol w:w="2970"/>
                              <w:gridCol w:w="2725"/>
                            </w:tblGrid>
                            <w:tr w:rsidR="002E77F2" w:rsidRPr="007502A7" w:rsidTr="00B64E96">
                              <w:tc>
                                <w:tcPr>
                                  <w:tcW w:w="2790" w:type="dxa"/>
                                </w:tcPr>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 xml:space="preserve">Vision </w:t>
                                  </w:r>
                                  <w:r>
                                    <w:rPr>
                                      <w:iCs/>
                                      <w:color w:val="143F6A"/>
                                      <w:sz w:val="22"/>
                                      <w:szCs w:val="22"/>
                                    </w:rPr>
                                    <w:t>c</w:t>
                                  </w:r>
                                  <w:r w:rsidRPr="00B64E96">
                                    <w:rPr>
                                      <w:iCs/>
                                      <w:color w:val="143F6A"/>
                                      <w:sz w:val="22"/>
                                      <w:szCs w:val="22"/>
                                    </w:rPr>
                                    <w:t>are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 xml:space="preserve">Dental </w:t>
                                  </w:r>
                                  <w:r>
                                    <w:rPr>
                                      <w:iCs/>
                                      <w:color w:val="143F6A"/>
                                      <w:sz w:val="22"/>
                                      <w:szCs w:val="22"/>
                                    </w:rPr>
                                    <w:t>c</w:t>
                                  </w:r>
                                  <w:r w:rsidRPr="00B64E96">
                                    <w:rPr>
                                      <w:iCs/>
                                      <w:color w:val="143F6A"/>
                                      <w:sz w:val="22"/>
                                      <w:szCs w:val="22"/>
                                    </w:rPr>
                                    <w:t>are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Financial assistance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Transportation</w:t>
                                  </w:r>
                                </w:p>
                                <w:p w:rsidR="002E77F2"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Specialty doctors</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Nutrition help</w:t>
                                  </w:r>
                                </w:p>
                                <w:p w:rsidR="002E77F2" w:rsidRPr="00A84FC9"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Housing services</w:t>
                                  </w:r>
                                </w:p>
                              </w:tc>
                              <w:tc>
                                <w:tcPr>
                                  <w:tcW w:w="2970" w:type="dxa"/>
                                  <w:hideMark/>
                                </w:tcPr>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Referrals to health care and other supportive services</w:t>
                                  </w:r>
                                </w:p>
                                <w:p w:rsidR="002E77F2"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Mental health services</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 xml:space="preserve">Food </w:t>
                                  </w:r>
                                  <w:r>
                                    <w:rPr>
                                      <w:iCs/>
                                      <w:color w:val="143F6A"/>
                                      <w:sz w:val="22"/>
                                      <w:szCs w:val="22"/>
                                    </w:rPr>
                                    <w:t>assistance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Peer advocates</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HIV and health classes</w:t>
                                  </w:r>
                                </w:p>
                                <w:p w:rsidR="002E77F2" w:rsidRPr="00A84FC9"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Substance abuse services</w:t>
                                  </w:r>
                                </w:p>
                              </w:tc>
                              <w:tc>
                                <w:tcPr>
                                  <w:tcW w:w="2725" w:type="dxa"/>
                                </w:tcPr>
                                <w:p w:rsidR="002E77F2"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Legal assistance</w:t>
                                  </w:r>
                                </w:p>
                                <w:p w:rsidR="002E77F2" w:rsidRDefault="002E77F2" w:rsidP="00E73293">
                                  <w:pPr>
                                    <w:pStyle w:val="ListParagraph"/>
                                    <w:numPr>
                                      <w:ilvl w:val="0"/>
                                      <w:numId w:val="14"/>
                                    </w:numPr>
                                    <w:spacing w:before="0" w:after="0"/>
                                    <w:ind w:left="162" w:hanging="198"/>
                                    <w:rPr>
                                      <w:iCs/>
                                      <w:color w:val="143F6A"/>
                                      <w:sz w:val="22"/>
                                      <w:szCs w:val="22"/>
                                    </w:rPr>
                                  </w:pPr>
                                  <w:r>
                                    <w:rPr>
                                      <w:iCs/>
                                      <w:color w:val="143F6A"/>
                                      <w:sz w:val="22"/>
                                      <w:szCs w:val="22"/>
                                    </w:rPr>
                                    <w:t>Culturally competent providers</w:t>
                                  </w:r>
                                </w:p>
                                <w:p w:rsidR="002E77F2" w:rsidRDefault="002E77F2" w:rsidP="00E73293">
                                  <w:pPr>
                                    <w:pStyle w:val="ListParagraph"/>
                                    <w:numPr>
                                      <w:ilvl w:val="0"/>
                                      <w:numId w:val="14"/>
                                    </w:numPr>
                                    <w:spacing w:before="0" w:after="0"/>
                                    <w:ind w:left="162" w:hanging="198"/>
                                    <w:rPr>
                                      <w:iCs/>
                                      <w:color w:val="143F6A"/>
                                      <w:sz w:val="22"/>
                                      <w:szCs w:val="22"/>
                                    </w:rPr>
                                  </w:pPr>
                                  <w:r>
                                    <w:rPr>
                                      <w:iCs/>
                                      <w:color w:val="143F6A"/>
                                      <w:sz w:val="22"/>
                                      <w:szCs w:val="22"/>
                                    </w:rPr>
                                    <w:t>Providers knowledgeable about HIV</w:t>
                                  </w:r>
                                </w:p>
                                <w:p w:rsidR="002E77F2" w:rsidRPr="00B64E96" w:rsidRDefault="002E77F2" w:rsidP="00E73293">
                                  <w:pPr>
                                    <w:pStyle w:val="ListParagraph"/>
                                    <w:numPr>
                                      <w:ilvl w:val="0"/>
                                      <w:numId w:val="14"/>
                                    </w:numPr>
                                    <w:spacing w:before="0" w:after="0"/>
                                    <w:ind w:left="162" w:hanging="198"/>
                                    <w:rPr>
                                      <w:iCs/>
                                      <w:color w:val="143F6A"/>
                                      <w:sz w:val="22"/>
                                      <w:szCs w:val="22"/>
                                    </w:rPr>
                                  </w:pPr>
                                  <w:r>
                                    <w:rPr>
                                      <w:iCs/>
                                      <w:color w:val="143F6A"/>
                                      <w:sz w:val="22"/>
                                      <w:szCs w:val="22"/>
                                    </w:rPr>
                                    <w:t xml:space="preserve">Providers willing to accept Medicaid </w:t>
                                  </w:r>
                                </w:p>
                              </w:tc>
                            </w:tr>
                          </w:tbl>
                          <w:p w:rsidR="002E77F2" w:rsidRDefault="002E77F2" w:rsidP="00BD3A95">
                            <w:pPr>
                              <w:spacing w:before="0" w:after="0"/>
                              <w:rPr>
                                <w:iCs/>
                                <w:color w:val="143F6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3615A9" id="Rounded Rectangle 59" o:spid="_x0000_s1037" style="position:absolute;left:0;text-align:left;margin-left:152.7pt;margin-top:319.85pt;width:164.9pt;height:471.05pt;rotation:90;z-index:2517217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1oRQIAAGQEAAAOAAAAZHJzL2Uyb0RvYy54bWysVNtuEzEQfUfiHyy/k70kgSTKpopSipAK&#10;VC18gGN7swtejxk72bRfz9ibpgHeEHmwdmbs4znnjLO8OnaGHTT6FmzFi1HOmbYSVGt3Ff/29ebN&#10;jDMfhFXCgNUVf9SeX61ev1r2bqFLaMAojYxArF/0ruJNCG6RZV42uhN+BE5bKtaAnQgU4i5TKHpC&#10;70xW5vnbrAdUDkFq7yl7PRT5KuHXtZbhS117HZipOPUW0opp3cY1Wy3FYofCNa08tSH+oYtOtJYu&#10;PUNdiyDYHtu/oLpWIniow0hCl0Fdt1InDsSmyP9g89AIpxMXEse7s0z+/8HKz4c7ZK2q+HTOmRUd&#10;eXQPe6u0YveknrA7oxnVSKje+QXtf3B3GKl6dwvyh2cWNg1t02tE6BstFLVXxP3Zbwdi4Oko2/af&#10;QNE1Yh8gaXassWMI5M10ksdfypI27JiMejwbpY+BSUqW+XxSjslPSbXpfFaOx9N0o1hEsNidQx8+&#10;aOhY/Kg4Rk6RUMIWh1sfkl3qxFmo75zVnSHzD8KwYpyPyxPiaXP2gpnYg2nVTWtMCnC33RhkdJT6&#10;Wa/L9ft0j9l3xHVI07QSszRvlKapHNKz5zTh+wGGlKPvS3ziTQ0/SxpVHNwIx+0xmVckwaPEW1CP&#10;JHKSkwSip0nsG8Anznoa84r7n3uBmjPz0ZJR82Iyie8iBZPpu5ICvKxsLyvCSoKqeOBs+NyE4S3t&#10;Hba7hm4qEm8LazK3bs8tD12dRoJGOVE8Pbv4Vi7jtOvlz2H1CwAA//8DAFBLAwQUAAYACAAAACEA&#10;G2uhg+MAAAAKAQAADwAAAGRycy9kb3ducmV2LnhtbEyPzU7DMBCE70i8g7VIXFDr9CctCXGqCgmp&#10;gFSpgUOPbrIkofE6it3WvD3bExxHMzvzbbYKphNnHFxrScFkHIFAKm3VUq3g8+Nl9AjCeU2V7iyh&#10;gh90sMpvbzKdVvZCOzwXvhZcQi7VChrv+1RKVzZotBvbHom9LzsY7VkOtawGfeFy08lpFC2k0S3x&#10;QqN7fG6wPBYnwxjfb7vYP4RotnjfFNvX4z6s9xul7u/C+gmEx+D/wnDF5xvImelgT1Q50Sm4gnsF&#10;yTxOQLCfzCczEAcOTpfxEmSeyf8v5L8AAAD//wMAUEsBAi0AFAAGAAgAAAAhALaDOJL+AAAA4QEA&#10;ABMAAAAAAAAAAAAAAAAAAAAAAFtDb250ZW50X1R5cGVzXS54bWxQSwECLQAUAAYACAAAACEAOP0h&#10;/9YAAACUAQAACwAAAAAAAAAAAAAAAAAvAQAAX3JlbHMvLnJlbHNQSwECLQAUAAYACAAAACEAxNE9&#10;aEUCAABkBAAADgAAAAAAAAAAAAAAAAAuAgAAZHJzL2Uyb0RvYy54bWxQSwECLQAUAAYACAAAACEA&#10;G2uhg+MAAAAKAQAADwAAAAAAAAAAAAAAAACfBAAAZHJzL2Rvd25yZXYueG1sUEsFBgAAAAAEAAQA&#10;8wAAAK8FAAAAAA==&#10;" o:allowincell="f" fillcolor="#deecef" stroked="f">
                <v:textbox>
                  <w:txbxContent>
                    <w:p w:rsidR="002E77F2" w:rsidRPr="007502A7" w:rsidRDefault="002E77F2" w:rsidP="00B469D0">
                      <w:pPr>
                        <w:spacing w:before="0"/>
                        <w:jc w:val="center"/>
                        <w:rPr>
                          <w:b/>
                          <w:iCs/>
                          <w:color w:val="2B5258"/>
                          <w:sz w:val="22"/>
                          <w:szCs w:val="22"/>
                        </w:rPr>
                      </w:pPr>
                      <w:r w:rsidRPr="007502A7">
                        <w:rPr>
                          <w:b/>
                          <w:iCs/>
                          <w:color w:val="2B5258"/>
                          <w:sz w:val="22"/>
                          <w:szCs w:val="22"/>
                        </w:rPr>
                        <w:t>Top HIV Care Gaps</w:t>
                      </w:r>
                    </w:p>
                    <w:tbl>
                      <w:tblPr>
                        <w:tblW w:w="0" w:type="auto"/>
                        <w:tblInd w:w="450" w:type="dxa"/>
                        <w:tblLook w:val="04A0" w:firstRow="1" w:lastRow="0" w:firstColumn="1" w:lastColumn="0" w:noHBand="0" w:noVBand="1"/>
                      </w:tblPr>
                      <w:tblGrid>
                        <w:gridCol w:w="2790"/>
                        <w:gridCol w:w="2970"/>
                        <w:gridCol w:w="2725"/>
                      </w:tblGrid>
                      <w:tr w:rsidR="002E77F2" w:rsidRPr="007502A7" w:rsidTr="00B64E96">
                        <w:tc>
                          <w:tcPr>
                            <w:tcW w:w="2790" w:type="dxa"/>
                          </w:tcPr>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 xml:space="preserve">Vision </w:t>
                            </w:r>
                            <w:r>
                              <w:rPr>
                                <w:iCs/>
                                <w:color w:val="143F6A"/>
                                <w:sz w:val="22"/>
                                <w:szCs w:val="22"/>
                              </w:rPr>
                              <w:t>c</w:t>
                            </w:r>
                            <w:r w:rsidRPr="00B64E96">
                              <w:rPr>
                                <w:iCs/>
                                <w:color w:val="143F6A"/>
                                <w:sz w:val="22"/>
                                <w:szCs w:val="22"/>
                              </w:rPr>
                              <w:t>are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 xml:space="preserve">Dental </w:t>
                            </w:r>
                            <w:r>
                              <w:rPr>
                                <w:iCs/>
                                <w:color w:val="143F6A"/>
                                <w:sz w:val="22"/>
                                <w:szCs w:val="22"/>
                              </w:rPr>
                              <w:t>c</w:t>
                            </w:r>
                            <w:r w:rsidRPr="00B64E96">
                              <w:rPr>
                                <w:iCs/>
                                <w:color w:val="143F6A"/>
                                <w:sz w:val="22"/>
                                <w:szCs w:val="22"/>
                              </w:rPr>
                              <w:t>are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Financial assistance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Transportation</w:t>
                            </w:r>
                          </w:p>
                          <w:p w:rsidR="002E77F2"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Specialty doctors</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Nutrition help</w:t>
                            </w:r>
                          </w:p>
                          <w:p w:rsidR="002E77F2" w:rsidRPr="00A84FC9"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Housing services</w:t>
                            </w:r>
                          </w:p>
                        </w:tc>
                        <w:tc>
                          <w:tcPr>
                            <w:tcW w:w="2970" w:type="dxa"/>
                            <w:hideMark/>
                          </w:tcPr>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Referrals to health care and other supportive services</w:t>
                            </w:r>
                          </w:p>
                          <w:p w:rsidR="002E77F2"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Mental health services</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 xml:space="preserve">Food </w:t>
                            </w:r>
                            <w:r>
                              <w:rPr>
                                <w:iCs/>
                                <w:color w:val="143F6A"/>
                                <w:sz w:val="22"/>
                                <w:szCs w:val="22"/>
                              </w:rPr>
                              <w:t>assistance</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Peer advocates</w:t>
                            </w:r>
                          </w:p>
                          <w:p w:rsidR="002E77F2" w:rsidRPr="00B64E96"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HIV and health classes</w:t>
                            </w:r>
                          </w:p>
                          <w:p w:rsidR="002E77F2" w:rsidRPr="00A84FC9"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Substance abuse services</w:t>
                            </w:r>
                          </w:p>
                        </w:tc>
                        <w:tc>
                          <w:tcPr>
                            <w:tcW w:w="2725" w:type="dxa"/>
                          </w:tcPr>
                          <w:p w:rsidR="002E77F2" w:rsidRDefault="002E77F2" w:rsidP="00E73293">
                            <w:pPr>
                              <w:pStyle w:val="ListParagraph"/>
                              <w:numPr>
                                <w:ilvl w:val="0"/>
                                <w:numId w:val="14"/>
                              </w:numPr>
                              <w:spacing w:before="0" w:after="0"/>
                              <w:ind w:left="162" w:hanging="198"/>
                              <w:rPr>
                                <w:iCs/>
                                <w:color w:val="143F6A"/>
                                <w:sz w:val="22"/>
                                <w:szCs w:val="22"/>
                              </w:rPr>
                            </w:pPr>
                            <w:r w:rsidRPr="00B64E96">
                              <w:rPr>
                                <w:iCs/>
                                <w:color w:val="143F6A"/>
                                <w:sz w:val="22"/>
                                <w:szCs w:val="22"/>
                              </w:rPr>
                              <w:t>Legal assistance</w:t>
                            </w:r>
                          </w:p>
                          <w:p w:rsidR="002E77F2" w:rsidRDefault="002E77F2" w:rsidP="00E73293">
                            <w:pPr>
                              <w:pStyle w:val="ListParagraph"/>
                              <w:numPr>
                                <w:ilvl w:val="0"/>
                                <w:numId w:val="14"/>
                              </w:numPr>
                              <w:spacing w:before="0" w:after="0"/>
                              <w:ind w:left="162" w:hanging="198"/>
                              <w:rPr>
                                <w:iCs/>
                                <w:color w:val="143F6A"/>
                                <w:sz w:val="22"/>
                                <w:szCs w:val="22"/>
                              </w:rPr>
                            </w:pPr>
                            <w:r>
                              <w:rPr>
                                <w:iCs/>
                                <w:color w:val="143F6A"/>
                                <w:sz w:val="22"/>
                                <w:szCs w:val="22"/>
                              </w:rPr>
                              <w:t>Culturally competent providers</w:t>
                            </w:r>
                          </w:p>
                          <w:p w:rsidR="002E77F2" w:rsidRDefault="002E77F2" w:rsidP="00E73293">
                            <w:pPr>
                              <w:pStyle w:val="ListParagraph"/>
                              <w:numPr>
                                <w:ilvl w:val="0"/>
                                <w:numId w:val="14"/>
                              </w:numPr>
                              <w:spacing w:before="0" w:after="0"/>
                              <w:ind w:left="162" w:hanging="198"/>
                              <w:rPr>
                                <w:iCs/>
                                <w:color w:val="143F6A"/>
                                <w:sz w:val="22"/>
                                <w:szCs w:val="22"/>
                              </w:rPr>
                            </w:pPr>
                            <w:r>
                              <w:rPr>
                                <w:iCs/>
                                <w:color w:val="143F6A"/>
                                <w:sz w:val="22"/>
                                <w:szCs w:val="22"/>
                              </w:rPr>
                              <w:t>Providers knowledgeable about HIV</w:t>
                            </w:r>
                          </w:p>
                          <w:p w:rsidR="002E77F2" w:rsidRPr="00B64E96" w:rsidRDefault="002E77F2" w:rsidP="00E73293">
                            <w:pPr>
                              <w:pStyle w:val="ListParagraph"/>
                              <w:numPr>
                                <w:ilvl w:val="0"/>
                                <w:numId w:val="14"/>
                              </w:numPr>
                              <w:spacing w:before="0" w:after="0"/>
                              <w:ind w:left="162" w:hanging="198"/>
                              <w:rPr>
                                <w:iCs/>
                                <w:color w:val="143F6A"/>
                                <w:sz w:val="22"/>
                                <w:szCs w:val="22"/>
                              </w:rPr>
                            </w:pPr>
                            <w:r>
                              <w:rPr>
                                <w:iCs/>
                                <w:color w:val="143F6A"/>
                                <w:sz w:val="22"/>
                                <w:szCs w:val="22"/>
                              </w:rPr>
                              <w:t xml:space="preserve">Providers willing to accept Medicaid </w:t>
                            </w:r>
                          </w:p>
                        </w:tc>
                      </w:tr>
                    </w:tbl>
                    <w:p w:rsidR="002E77F2" w:rsidRDefault="002E77F2" w:rsidP="00BD3A95">
                      <w:pPr>
                        <w:spacing w:before="0" w:after="0"/>
                        <w:rPr>
                          <w:iCs/>
                          <w:color w:val="143F6A"/>
                        </w:rPr>
                      </w:pPr>
                    </w:p>
                  </w:txbxContent>
                </v:textbox>
                <w10:wrap type="square" anchorx="margin" anchory="margin"/>
              </v:roundrect>
            </w:pict>
          </mc:Fallback>
        </mc:AlternateContent>
      </w:r>
      <w:r w:rsidR="007502A7">
        <w:rPr>
          <w:rFonts w:cs="MS Gothic"/>
          <w:sz w:val="22"/>
          <w:szCs w:val="22"/>
        </w:rPr>
        <w:t xml:space="preserve">The needs assessment process also revealed some gaps in care for PLWH. </w:t>
      </w:r>
      <w:r w:rsidR="00570EEB">
        <w:rPr>
          <w:rFonts w:cs="MS Gothic"/>
          <w:sz w:val="22"/>
          <w:szCs w:val="22"/>
        </w:rPr>
        <w:t>Some</w:t>
      </w:r>
      <w:r w:rsidR="007502A7">
        <w:rPr>
          <w:rFonts w:cs="MS Gothic"/>
          <w:sz w:val="22"/>
          <w:szCs w:val="22"/>
        </w:rPr>
        <w:t xml:space="preserve"> focus group participants acknowledged that it could be confusing or difficult at times to access services, particularly when first diagnosed with HIV. Some commonly mentioned issues included the burden and duplication of paperwork for eligibility for the different services; lack of one-stop shops for needed services (</w:t>
      </w:r>
      <w:r w:rsidR="0003390D">
        <w:rPr>
          <w:rFonts w:cs="MS Gothic"/>
          <w:sz w:val="22"/>
          <w:szCs w:val="22"/>
        </w:rPr>
        <w:t>in s</w:t>
      </w:r>
      <w:r w:rsidR="007502A7">
        <w:rPr>
          <w:rFonts w:cs="MS Gothic"/>
          <w:sz w:val="22"/>
          <w:szCs w:val="22"/>
        </w:rPr>
        <w:t xml:space="preserve">outhern Nevada); transportation issues; customer service at some locations; </w:t>
      </w:r>
      <w:r w:rsidR="009F2787">
        <w:rPr>
          <w:rFonts w:cs="MS Gothic"/>
          <w:sz w:val="22"/>
          <w:szCs w:val="22"/>
        </w:rPr>
        <w:t xml:space="preserve">needing </w:t>
      </w:r>
      <w:r w:rsidR="007502A7">
        <w:rPr>
          <w:rFonts w:cs="MS Gothic"/>
          <w:sz w:val="22"/>
          <w:szCs w:val="22"/>
        </w:rPr>
        <w:t xml:space="preserve">more HIV providers and specialists; and more dentists to serve PLWH. </w:t>
      </w:r>
      <w:r w:rsidR="00B64E96">
        <w:rPr>
          <w:rFonts w:cs="MS Gothic"/>
          <w:sz w:val="22"/>
          <w:szCs w:val="22"/>
        </w:rPr>
        <w:t xml:space="preserve">Top HIV care gaps from client and provider surveys included vision care, dental care, specialty doctors, mental health and substance abuse services, </w:t>
      </w:r>
      <w:r w:rsidR="004C7D99">
        <w:rPr>
          <w:rFonts w:cs="MS Gothic"/>
          <w:sz w:val="22"/>
          <w:szCs w:val="22"/>
        </w:rPr>
        <w:t xml:space="preserve">and referrals to health care and other supportive services. Transportation was a challenge for many clients, as was housing, financial assistance and food assistance. The need for additional assistance navigating the system was also noted by clients and providers. </w:t>
      </w:r>
    </w:p>
    <w:p w:rsidR="00BF74F8" w:rsidRDefault="00BF74F8" w:rsidP="00F23788">
      <w:pPr>
        <w:widowControl w:val="0"/>
        <w:tabs>
          <w:tab w:val="left" w:pos="220"/>
          <w:tab w:val="left" w:pos="720"/>
        </w:tabs>
        <w:autoSpaceDE w:val="0"/>
        <w:autoSpaceDN w:val="0"/>
        <w:adjustRightInd w:val="0"/>
        <w:jc w:val="both"/>
        <w:rPr>
          <w:noProof/>
          <w:sz w:val="22"/>
          <w:szCs w:val="22"/>
        </w:rPr>
      </w:pPr>
      <w:r>
        <w:rPr>
          <w:noProof/>
          <w:sz w:val="22"/>
          <w:szCs w:val="22"/>
        </w:rPr>
        <w:lastRenderedPageBreak/>
        <w:t>The Las Vegas TGA “Pathways to Care” Targeted Needs Assessment gathered informa</w:t>
      </w:r>
      <w:r w:rsidR="009F2787">
        <w:rPr>
          <w:noProof/>
          <w:sz w:val="22"/>
          <w:szCs w:val="22"/>
        </w:rPr>
        <w:t>ti</w:t>
      </w:r>
      <w:r>
        <w:rPr>
          <w:noProof/>
          <w:sz w:val="22"/>
          <w:szCs w:val="22"/>
        </w:rPr>
        <w:t>on about perceived service needs and gaps for the newly diagnosed PLWH that had recently relocated to the Las Vegas TGA and out of care/returned to care populations.</w:t>
      </w:r>
      <w:r w:rsidR="00080EFE">
        <w:rPr>
          <w:noProof/>
          <w:sz w:val="22"/>
          <w:szCs w:val="22"/>
        </w:rPr>
        <w:t xml:space="preserve"> </w:t>
      </w:r>
      <w:r w:rsidR="00C271F3">
        <w:rPr>
          <w:noProof/>
          <w:sz w:val="22"/>
          <w:szCs w:val="22"/>
        </w:rPr>
        <w:t>The newly diagnosed indicated dental care, medical transportation, medical care, and vision care as difficult to access. For the recently located, dental care, mental health care, and HIV medications were difficult to access</w:t>
      </w:r>
      <w:r w:rsidR="0064783C">
        <w:rPr>
          <w:noProof/>
          <w:sz w:val="22"/>
          <w:szCs w:val="22"/>
        </w:rPr>
        <w:t xml:space="preserve"> (Table 1</w:t>
      </w:r>
      <w:r w:rsidR="00697880">
        <w:rPr>
          <w:noProof/>
          <w:sz w:val="22"/>
          <w:szCs w:val="22"/>
        </w:rPr>
        <w:t>4</w:t>
      </w:r>
      <w:r w:rsidR="0064783C">
        <w:rPr>
          <w:noProof/>
          <w:sz w:val="22"/>
          <w:szCs w:val="22"/>
        </w:rPr>
        <w:t>)</w:t>
      </w:r>
      <w:r w:rsidR="00C271F3">
        <w:rPr>
          <w:noProof/>
          <w:sz w:val="22"/>
          <w:szCs w:val="22"/>
        </w:rPr>
        <w:t xml:space="preserve">. Those who were out of care or returned to care found dental care, medical transportation, emergency financial assitance, housing assistance and food bank/vouchers difficult to access. </w:t>
      </w:r>
    </w:p>
    <w:p w:rsidR="00BF74F8" w:rsidRPr="00005507" w:rsidRDefault="0044141C" w:rsidP="0044141C">
      <w:pPr>
        <w:widowControl w:val="0"/>
        <w:tabs>
          <w:tab w:val="left" w:pos="220"/>
          <w:tab w:val="left" w:pos="720"/>
        </w:tabs>
        <w:autoSpaceDE w:val="0"/>
        <w:autoSpaceDN w:val="0"/>
        <w:adjustRightInd w:val="0"/>
        <w:spacing w:before="0" w:after="0"/>
        <w:jc w:val="both"/>
        <w:rPr>
          <w:b/>
          <w:noProof/>
          <w:sz w:val="22"/>
          <w:szCs w:val="22"/>
        </w:rPr>
      </w:pPr>
      <w:r w:rsidRPr="00005507">
        <w:rPr>
          <w:b/>
          <w:noProof/>
          <w:sz w:val="22"/>
          <w:szCs w:val="22"/>
        </w:rPr>
        <w:t xml:space="preserve">Table </w:t>
      </w:r>
      <w:r w:rsidR="00005507" w:rsidRPr="00005507">
        <w:rPr>
          <w:b/>
          <w:noProof/>
          <w:sz w:val="22"/>
          <w:szCs w:val="22"/>
        </w:rPr>
        <w:t>1</w:t>
      </w:r>
      <w:r w:rsidR="00697880">
        <w:rPr>
          <w:b/>
          <w:noProof/>
          <w:sz w:val="22"/>
          <w:szCs w:val="22"/>
        </w:rPr>
        <w:t>4</w:t>
      </w:r>
      <w:r w:rsidRPr="00005507">
        <w:rPr>
          <w:b/>
          <w:noProof/>
          <w:sz w:val="22"/>
          <w:szCs w:val="22"/>
        </w:rPr>
        <w:t xml:space="preserve">. Services Difficult </w:t>
      </w:r>
      <w:r w:rsidR="00AA09F2" w:rsidRPr="00005507">
        <w:rPr>
          <w:b/>
          <w:noProof/>
          <w:sz w:val="22"/>
          <w:szCs w:val="22"/>
        </w:rPr>
        <w:t xml:space="preserve">to Access </w:t>
      </w:r>
      <w:r w:rsidRPr="00005507">
        <w:rPr>
          <w:b/>
          <w:noProof/>
          <w:sz w:val="22"/>
          <w:szCs w:val="22"/>
        </w:rPr>
        <w:t xml:space="preserve">for </w:t>
      </w:r>
      <w:r w:rsidR="00AA09F2" w:rsidRPr="00005507">
        <w:rPr>
          <w:b/>
          <w:noProof/>
          <w:sz w:val="22"/>
          <w:szCs w:val="22"/>
        </w:rPr>
        <w:t>PLWH who are Newly Diagnosed, Recently Relocated and  Out of Care/Returned to Care</w:t>
      </w:r>
    </w:p>
    <w:tbl>
      <w:tblPr>
        <w:tblStyle w:val="ListTable4-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191"/>
        <w:gridCol w:w="1683"/>
        <w:gridCol w:w="2651"/>
      </w:tblGrid>
      <w:tr w:rsidR="0044141C" w:rsidRPr="00566304" w:rsidTr="00647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p>
        </w:tc>
        <w:tc>
          <w:tcPr>
            <w:tcW w:w="2191" w:type="dxa"/>
          </w:tcPr>
          <w:p w:rsidR="0044141C" w:rsidRPr="00566304" w:rsidRDefault="0044141C" w:rsidP="0044141C">
            <w:pPr>
              <w:widowControl w:val="0"/>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566304">
              <w:rPr>
                <w:sz w:val="22"/>
                <w:szCs w:val="22"/>
              </w:rPr>
              <w:t>Newly Diagnosed</w:t>
            </w:r>
          </w:p>
          <w:p w:rsidR="0044141C" w:rsidRPr="00566304" w:rsidRDefault="0044141C" w:rsidP="0044141C">
            <w:pPr>
              <w:widowControl w:val="0"/>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566304">
              <w:rPr>
                <w:sz w:val="22"/>
                <w:szCs w:val="22"/>
              </w:rPr>
              <w:t>N=89</w:t>
            </w:r>
          </w:p>
        </w:tc>
        <w:tc>
          <w:tcPr>
            <w:tcW w:w="1683" w:type="dxa"/>
          </w:tcPr>
          <w:p w:rsidR="0044141C" w:rsidRPr="00566304" w:rsidRDefault="0044141C" w:rsidP="0044141C">
            <w:pPr>
              <w:widowControl w:val="0"/>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566304">
              <w:rPr>
                <w:sz w:val="22"/>
                <w:szCs w:val="22"/>
              </w:rPr>
              <w:t>Recently Relocated</w:t>
            </w:r>
          </w:p>
          <w:p w:rsidR="0044141C" w:rsidRPr="00566304" w:rsidRDefault="0044141C" w:rsidP="0044141C">
            <w:pPr>
              <w:widowControl w:val="0"/>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566304">
              <w:rPr>
                <w:sz w:val="22"/>
                <w:szCs w:val="22"/>
              </w:rPr>
              <w:t>N=53</w:t>
            </w:r>
          </w:p>
        </w:tc>
        <w:tc>
          <w:tcPr>
            <w:tcW w:w="2651" w:type="dxa"/>
          </w:tcPr>
          <w:p w:rsidR="0044141C" w:rsidRPr="00566304" w:rsidRDefault="0044141C" w:rsidP="0044141C">
            <w:pPr>
              <w:widowControl w:val="0"/>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566304">
              <w:rPr>
                <w:sz w:val="22"/>
                <w:szCs w:val="22"/>
              </w:rPr>
              <w:t>Out of Care/Returned to Care</w:t>
            </w:r>
          </w:p>
          <w:p w:rsidR="0044141C" w:rsidRPr="00566304" w:rsidRDefault="0044141C" w:rsidP="0044141C">
            <w:pPr>
              <w:widowControl w:val="0"/>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566304">
              <w:rPr>
                <w:sz w:val="22"/>
                <w:szCs w:val="22"/>
              </w:rPr>
              <w:t>N=61</w:t>
            </w:r>
          </w:p>
        </w:tc>
      </w:tr>
      <w:tr w:rsidR="0044141C" w:rsidRPr="00566304" w:rsidTr="0064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Dental care</w:t>
            </w:r>
          </w:p>
        </w:tc>
        <w:tc>
          <w:tcPr>
            <w:tcW w:w="219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13%</w:t>
            </w:r>
          </w:p>
        </w:tc>
        <w:tc>
          <w:tcPr>
            <w:tcW w:w="1683"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15%</w:t>
            </w:r>
          </w:p>
        </w:tc>
        <w:tc>
          <w:tcPr>
            <w:tcW w:w="265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31%</w:t>
            </w:r>
          </w:p>
        </w:tc>
      </w:tr>
      <w:tr w:rsidR="0044141C" w:rsidRPr="00566304" w:rsidTr="0064783C">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Medical transportation</w:t>
            </w:r>
          </w:p>
        </w:tc>
        <w:tc>
          <w:tcPr>
            <w:tcW w:w="2191"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r w:rsidRPr="00566304">
              <w:rPr>
                <w:b/>
                <w:sz w:val="22"/>
                <w:szCs w:val="22"/>
              </w:rPr>
              <w:t>9%</w:t>
            </w:r>
          </w:p>
        </w:tc>
        <w:tc>
          <w:tcPr>
            <w:tcW w:w="1683"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r w:rsidRPr="00566304">
              <w:rPr>
                <w:b/>
                <w:sz w:val="22"/>
                <w:szCs w:val="22"/>
              </w:rPr>
              <w:t>10%</w:t>
            </w:r>
          </w:p>
        </w:tc>
        <w:tc>
          <w:tcPr>
            <w:tcW w:w="2651" w:type="dxa"/>
          </w:tcPr>
          <w:p w:rsidR="0044141C" w:rsidRPr="00566304" w:rsidRDefault="00C271F3" w:rsidP="00C271F3">
            <w:pPr>
              <w:widowControl w:val="0"/>
              <w:tabs>
                <w:tab w:val="left" w:pos="851"/>
                <w:tab w:val="center" w:pos="1248"/>
              </w:tabs>
              <w:spacing w:before="0"/>
              <w:cnfStyle w:val="000000000000" w:firstRow="0" w:lastRow="0" w:firstColumn="0" w:lastColumn="0" w:oddVBand="0" w:evenVBand="0" w:oddHBand="0" w:evenHBand="0" w:firstRowFirstColumn="0" w:firstRowLastColumn="0" w:lastRowFirstColumn="0" w:lastRowLastColumn="0"/>
              <w:rPr>
                <w:b/>
                <w:sz w:val="22"/>
                <w:szCs w:val="22"/>
              </w:rPr>
            </w:pPr>
            <w:r w:rsidRPr="00566304">
              <w:rPr>
                <w:sz w:val="22"/>
                <w:szCs w:val="22"/>
              </w:rPr>
              <w:tab/>
            </w:r>
            <w:r w:rsidRPr="00566304">
              <w:rPr>
                <w:b/>
                <w:sz w:val="22"/>
                <w:szCs w:val="22"/>
              </w:rPr>
              <w:tab/>
            </w:r>
            <w:r w:rsidR="00080EFE" w:rsidRPr="00566304">
              <w:rPr>
                <w:b/>
                <w:sz w:val="22"/>
                <w:szCs w:val="22"/>
              </w:rPr>
              <w:t>16%</w:t>
            </w:r>
          </w:p>
        </w:tc>
      </w:tr>
      <w:tr w:rsidR="0044141C" w:rsidRPr="00566304" w:rsidTr="0064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Medical care</w:t>
            </w:r>
          </w:p>
        </w:tc>
        <w:tc>
          <w:tcPr>
            <w:tcW w:w="219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9%</w:t>
            </w:r>
          </w:p>
        </w:tc>
        <w:tc>
          <w:tcPr>
            <w:tcW w:w="1683"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10%</w:t>
            </w:r>
          </w:p>
        </w:tc>
        <w:tc>
          <w:tcPr>
            <w:tcW w:w="265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3%</w:t>
            </w:r>
          </w:p>
        </w:tc>
      </w:tr>
      <w:tr w:rsidR="0044141C" w:rsidRPr="00566304" w:rsidTr="0064783C">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Vision care</w:t>
            </w:r>
          </w:p>
        </w:tc>
        <w:tc>
          <w:tcPr>
            <w:tcW w:w="2191"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r w:rsidRPr="00566304">
              <w:rPr>
                <w:b/>
                <w:sz w:val="22"/>
                <w:szCs w:val="22"/>
              </w:rPr>
              <w:t>9%</w:t>
            </w:r>
          </w:p>
        </w:tc>
        <w:tc>
          <w:tcPr>
            <w:tcW w:w="1683"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5%</w:t>
            </w:r>
          </w:p>
        </w:tc>
        <w:tc>
          <w:tcPr>
            <w:tcW w:w="2651"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6%</w:t>
            </w:r>
          </w:p>
        </w:tc>
      </w:tr>
      <w:tr w:rsidR="0044141C" w:rsidRPr="00566304" w:rsidTr="0064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Housing assistance</w:t>
            </w:r>
          </w:p>
        </w:tc>
        <w:tc>
          <w:tcPr>
            <w:tcW w:w="219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8%</w:t>
            </w:r>
          </w:p>
        </w:tc>
        <w:tc>
          <w:tcPr>
            <w:tcW w:w="1683"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0%</w:t>
            </w:r>
          </w:p>
        </w:tc>
        <w:tc>
          <w:tcPr>
            <w:tcW w:w="265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13%</w:t>
            </w:r>
          </w:p>
        </w:tc>
      </w:tr>
      <w:tr w:rsidR="0044141C" w:rsidRPr="00566304" w:rsidTr="0064783C">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Specialty medical care</w:t>
            </w:r>
          </w:p>
        </w:tc>
        <w:tc>
          <w:tcPr>
            <w:tcW w:w="2191" w:type="dxa"/>
          </w:tcPr>
          <w:p w:rsidR="0044141C" w:rsidRPr="00566304" w:rsidRDefault="00080EFE" w:rsidP="0044141C">
            <w:pPr>
              <w:widowControl w:val="0"/>
              <w:tabs>
                <w:tab w:val="left" w:pos="810"/>
              </w:tabs>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8%</w:t>
            </w:r>
          </w:p>
        </w:tc>
        <w:tc>
          <w:tcPr>
            <w:tcW w:w="1683"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5%</w:t>
            </w:r>
          </w:p>
        </w:tc>
        <w:tc>
          <w:tcPr>
            <w:tcW w:w="2651"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0%</w:t>
            </w:r>
          </w:p>
        </w:tc>
      </w:tr>
      <w:tr w:rsidR="0044141C" w:rsidRPr="00566304" w:rsidTr="0064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Mental health care</w:t>
            </w:r>
          </w:p>
        </w:tc>
        <w:tc>
          <w:tcPr>
            <w:tcW w:w="2191" w:type="dxa"/>
          </w:tcPr>
          <w:p w:rsidR="0044141C" w:rsidRPr="00566304" w:rsidRDefault="00080EFE" w:rsidP="0044141C">
            <w:pPr>
              <w:widowControl w:val="0"/>
              <w:tabs>
                <w:tab w:val="left" w:pos="810"/>
              </w:tabs>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6%</w:t>
            </w:r>
          </w:p>
        </w:tc>
        <w:tc>
          <w:tcPr>
            <w:tcW w:w="1683"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15%</w:t>
            </w:r>
          </w:p>
        </w:tc>
        <w:tc>
          <w:tcPr>
            <w:tcW w:w="265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9%</w:t>
            </w:r>
          </w:p>
        </w:tc>
      </w:tr>
      <w:tr w:rsidR="0044141C" w:rsidRPr="00566304" w:rsidTr="0064783C">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HIV medications</w:t>
            </w:r>
          </w:p>
        </w:tc>
        <w:tc>
          <w:tcPr>
            <w:tcW w:w="2191" w:type="dxa"/>
          </w:tcPr>
          <w:p w:rsidR="0044141C" w:rsidRPr="00566304" w:rsidRDefault="00080EFE" w:rsidP="0044141C">
            <w:pPr>
              <w:widowControl w:val="0"/>
              <w:tabs>
                <w:tab w:val="left" w:pos="810"/>
              </w:tabs>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5%</w:t>
            </w:r>
          </w:p>
        </w:tc>
        <w:tc>
          <w:tcPr>
            <w:tcW w:w="1683"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r w:rsidRPr="00566304">
              <w:rPr>
                <w:b/>
                <w:sz w:val="22"/>
                <w:szCs w:val="22"/>
              </w:rPr>
              <w:t>15%</w:t>
            </w:r>
          </w:p>
        </w:tc>
        <w:tc>
          <w:tcPr>
            <w:tcW w:w="2651"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3%</w:t>
            </w:r>
          </w:p>
        </w:tc>
      </w:tr>
      <w:tr w:rsidR="0044141C" w:rsidRPr="00566304" w:rsidTr="0064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rPr>
                <w:sz w:val="22"/>
                <w:szCs w:val="22"/>
              </w:rPr>
            </w:pPr>
            <w:r w:rsidRPr="00566304">
              <w:rPr>
                <w:sz w:val="22"/>
                <w:szCs w:val="22"/>
              </w:rPr>
              <w:t>Emergency financial assistance</w:t>
            </w:r>
          </w:p>
        </w:tc>
        <w:tc>
          <w:tcPr>
            <w:tcW w:w="2191" w:type="dxa"/>
          </w:tcPr>
          <w:p w:rsidR="0044141C" w:rsidRPr="00566304" w:rsidRDefault="00080EFE" w:rsidP="0044141C">
            <w:pPr>
              <w:widowControl w:val="0"/>
              <w:tabs>
                <w:tab w:val="left" w:pos="810"/>
              </w:tabs>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6%</w:t>
            </w:r>
          </w:p>
        </w:tc>
        <w:tc>
          <w:tcPr>
            <w:tcW w:w="1683"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0%</w:t>
            </w:r>
          </w:p>
        </w:tc>
        <w:tc>
          <w:tcPr>
            <w:tcW w:w="265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b/>
                <w:sz w:val="22"/>
                <w:szCs w:val="22"/>
              </w:rPr>
            </w:pPr>
            <w:r w:rsidRPr="00566304">
              <w:rPr>
                <w:b/>
                <w:sz w:val="22"/>
                <w:szCs w:val="22"/>
              </w:rPr>
              <w:t>16%</w:t>
            </w:r>
          </w:p>
        </w:tc>
      </w:tr>
      <w:tr w:rsidR="0044141C" w:rsidRPr="00566304" w:rsidTr="0064783C">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Food bank/vouchers</w:t>
            </w:r>
          </w:p>
        </w:tc>
        <w:tc>
          <w:tcPr>
            <w:tcW w:w="2191" w:type="dxa"/>
          </w:tcPr>
          <w:p w:rsidR="0044141C" w:rsidRPr="00566304" w:rsidRDefault="00080EFE" w:rsidP="0044141C">
            <w:pPr>
              <w:widowControl w:val="0"/>
              <w:tabs>
                <w:tab w:val="left" w:pos="810"/>
              </w:tabs>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6%</w:t>
            </w:r>
          </w:p>
        </w:tc>
        <w:tc>
          <w:tcPr>
            <w:tcW w:w="1683"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566304">
              <w:rPr>
                <w:sz w:val="22"/>
                <w:szCs w:val="22"/>
              </w:rPr>
              <w:t>0%</w:t>
            </w:r>
          </w:p>
        </w:tc>
        <w:tc>
          <w:tcPr>
            <w:tcW w:w="2651" w:type="dxa"/>
          </w:tcPr>
          <w:p w:rsidR="0044141C" w:rsidRPr="00566304" w:rsidRDefault="00080EFE" w:rsidP="0044141C">
            <w:pPr>
              <w:widowControl w:val="0"/>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r w:rsidRPr="00566304">
              <w:rPr>
                <w:b/>
                <w:sz w:val="22"/>
                <w:szCs w:val="22"/>
              </w:rPr>
              <w:t>13%</w:t>
            </w:r>
          </w:p>
        </w:tc>
      </w:tr>
      <w:tr w:rsidR="0044141C" w:rsidRPr="00566304" w:rsidTr="00647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44141C" w:rsidRPr="00566304" w:rsidRDefault="0044141C" w:rsidP="0044141C">
            <w:pPr>
              <w:widowControl w:val="0"/>
              <w:spacing w:before="0"/>
              <w:jc w:val="both"/>
              <w:rPr>
                <w:sz w:val="22"/>
                <w:szCs w:val="22"/>
              </w:rPr>
            </w:pPr>
            <w:r w:rsidRPr="00566304">
              <w:rPr>
                <w:sz w:val="22"/>
                <w:szCs w:val="22"/>
              </w:rPr>
              <w:t>Substance abuse treatment</w:t>
            </w:r>
          </w:p>
        </w:tc>
        <w:tc>
          <w:tcPr>
            <w:tcW w:w="2191" w:type="dxa"/>
          </w:tcPr>
          <w:p w:rsidR="0044141C" w:rsidRPr="00566304" w:rsidRDefault="00080EFE" w:rsidP="0044141C">
            <w:pPr>
              <w:widowControl w:val="0"/>
              <w:tabs>
                <w:tab w:val="left" w:pos="810"/>
              </w:tabs>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0%</w:t>
            </w:r>
          </w:p>
        </w:tc>
        <w:tc>
          <w:tcPr>
            <w:tcW w:w="1683"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0%</w:t>
            </w:r>
          </w:p>
        </w:tc>
        <w:tc>
          <w:tcPr>
            <w:tcW w:w="2651" w:type="dxa"/>
          </w:tcPr>
          <w:p w:rsidR="0044141C" w:rsidRPr="00566304" w:rsidRDefault="00080EFE" w:rsidP="0044141C">
            <w:pPr>
              <w:widowControl w:val="0"/>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566304">
              <w:rPr>
                <w:sz w:val="22"/>
                <w:szCs w:val="22"/>
              </w:rPr>
              <w:t>9%</w:t>
            </w:r>
          </w:p>
        </w:tc>
      </w:tr>
    </w:tbl>
    <w:p w:rsidR="007502A7" w:rsidRDefault="0064235A" w:rsidP="00F23788">
      <w:pPr>
        <w:widowControl w:val="0"/>
        <w:tabs>
          <w:tab w:val="left" w:pos="220"/>
          <w:tab w:val="left" w:pos="720"/>
        </w:tabs>
        <w:autoSpaceDE w:val="0"/>
        <w:autoSpaceDN w:val="0"/>
        <w:adjustRightInd w:val="0"/>
        <w:jc w:val="both"/>
        <w:rPr>
          <w:rFonts w:cs="MS Gothic"/>
          <w:sz w:val="22"/>
          <w:szCs w:val="22"/>
        </w:rPr>
      </w:pPr>
      <w:r>
        <w:rPr>
          <w:rFonts w:cs="MS Gothic"/>
          <w:sz w:val="22"/>
          <w:szCs w:val="22"/>
        </w:rPr>
        <w:t>Among statewide client survey respondents, s</w:t>
      </w:r>
      <w:r w:rsidR="00793402">
        <w:rPr>
          <w:rFonts w:cs="MS Gothic"/>
          <w:sz w:val="22"/>
          <w:szCs w:val="22"/>
        </w:rPr>
        <w:t>ome disparities were found in client usage by ethnicity</w:t>
      </w:r>
      <w:r>
        <w:rPr>
          <w:rFonts w:cs="MS Gothic"/>
          <w:sz w:val="22"/>
          <w:szCs w:val="22"/>
        </w:rPr>
        <w:t xml:space="preserve"> (Figure 27)</w:t>
      </w:r>
      <w:r w:rsidR="00793402">
        <w:rPr>
          <w:rFonts w:cs="MS Gothic"/>
          <w:sz w:val="22"/>
          <w:szCs w:val="22"/>
        </w:rPr>
        <w:t xml:space="preserve">. Fewer black clients were accessing medical care and help paying for medications than clients of other ethnic backgrounds. Fewer Hispanic clients were using mental health care and case management services compared to other clients.  </w:t>
      </w:r>
    </w:p>
    <w:p w:rsidR="0064235A" w:rsidRDefault="0064235A" w:rsidP="004F1C99">
      <w:pPr>
        <w:spacing w:before="0" w:after="0"/>
        <w:rPr>
          <w:b/>
          <w:sz w:val="22"/>
          <w:szCs w:val="24"/>
        </w:rPr>
      </w:pPr>
      <w:r w:rsidRPr="0064235A">
        <w:rPr>
          <w:b/>
          <w:noProof/>
          <w:sz w:val="22"/>
          <w:szCs w:val="24"/>
        </w:rPr>
        <w:drawing>
          <wp:inline distT="0" distB="0" distL="0" distR="0" wp14:anchorId="5D89E2B2" wp14:editId="47E3928D">
            <wp:extent cx="5943600" cy="2295525"/>
            <wp:effectExtent l="0" t="0" r="0"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12FE8" w:rsidRPr="003713C3" w:rsidRDefault="00A51D20" w:rsidP="00A51D20">
      <w:pPr>
        <w:pStyle w:val="Heading3"/>
      </w:pPr>
      <w:bookmarkStart w:id="43" w:name="_Toc461188586"/>
      <w:r w:rsidRPr="003713C3">
        <w:lastRenderedPageBreak/>
        <w:t>Barriers to HIV Prevention and Care Services</w:t>
      </w:r>
      <w:bookmarkEnd w:id="43"/>
    </w:p>
    <w:p w:rsidR="00AA09F2" w:rsidRPr="000D1265" w:rsidRDefault="00512FE8" w:rsidP="000D1265">
      <w:pPr>
        <w:pStyle w:val="ListParagraph"/>
        <w:widowControl w:val="0"/>
        <w:numPr>
          <w:ilvl w:val="0"/>
          <w:numId w:val="7"/>
        </w:numPr>
        <w:autoSpaceDE w:val="0"/>
        <w:autoSpaceDN w:val="0"/>
        <w:adjustRightInd w:val="0"/>
        <w:spacing w:before="120" w:after="0"/>
        <w:rPr>
          <w:rFonts w:cs="Calibri Light"/>
          <w:i/>
          <w:sz w:val="22"/>
          <w:szCs w:val="22"/>
        </w:rPr>
      </w:pPr>
      <w:r w:rsidRPr="000D1265">
        <w:rPr>
          <w:rFonts w:cs="Calibri Light"/>
          <w:i/>
          <w:sz w:val="22"/>
          <w:szCs w:val="22"/>
        </w:rPr>
        <w:t xml:space="preserve">Describe </w:t>
      </w:r>
      <w:r w:rsidRPr="000D1265">
        <w:rPr>
          <w:rFonts w:cs="Calibri Light"/>
          <w:i/>
          <w:iCs/>
          <w:sz w:val="22"/>
          <w:szCs w:val="22"/>
        </w:rPr>
        <w:t xml:space="preserve">barriers </w:t>
      </w:r>
      <w:r w:rsidRPr="000D1265">
        <w:rPr>
          <w:rFonts w:cs="Calibri Light"/>
          <w:i/>
          <w:sz w:val="22"/>
          <w:szCs w:val="22"/>
        </w:rPr>
        <w:t>to HIV prevention and care services, including,</w:t>
      </w:r>
    </w:p>
    <w:p w:rsidR="00642DD9" w:rsidRDefault="00512FE8" w:rsidP="00E73293">
      <w:pPr>
        <w:pStyle w:val="ListParagraph"/>
        <w:widowControl w:val="0"/>
        <w:numPr>
          <w:ilvl w:val="0"/>
          <w:numId w:val="58"/>
        </w:numPr>
        <w:autoSpaceDE w:val="0"/>
        <w:autoSpaceDN w:val="0"/>
        <w:adjustRightInd w:val="0"/>
        <w:spacing w:before="0" w:after="0"/>
        <w:ind w:left="1170"/>
        <w:rPr>
          <w:rFonts w:cs="Calibri Light"/>
          <w:i/>
          <w:sz w:val="22"/>
          <w:szCs w:val="22"/>
        </w:rPr>
      </w:pPr>
      <w:r w:rsidRPr="00AA09F2">
        <w:rPr>
          <w:rFonts w:cs="Calibri Light"/>
          <w:i/>
          <w:sz w:val="22"/>
          <w:szCs w:val="22"/>
        </w:rPr>
        <w:t xml:space="preserve"> </w:t>
      </w:r>
      <w:r w:rsidR="00552A19" w:rsidRPr="00AA09F2">
        <w:rPr>
          <w:rFonts w:cs="Calibri Light"/>
          <w:i/>
          <w:sz w:val="22"/>
          <w:szCs w:val="22"/>
        </w:rPr>
        <w:t xml:space="preserve">Social and structural barriers (e.g., poverty, cultural barriers, stigma, etc.); </w:t>
      </w:r>
    </w:p>
    <w:p w:rsidR="00642DD9" w:rsidRDefault="007D15AC" w:rsidP="00E73293">
      <w:pPr>
        <w:pStyle w:val="ListParagraph"/>
        <w:widowControl w:val="0"/>
        <w:numPr>
          <w:ilvl w:val="0"/>
          <w:numId w:val="58"/>
        </w:numPr>
        <w:autoSpaceDE w:val="0"/>
        <w:autoSpaceDN w:val="0"/>
        <w:adjustRightInd w:val="0"/>
        <w:ind w:left="1170"/>
        <w:rPr>
          <w:rFonts w:cs="Calibri Light"/>
          <w:i/>
          <w:sz w:val="22"/>
          <w:szCs w:val="22"/>
        </w:rPr>
      </w:pPr>
      <w:r w:rsidRPr="00AA09F2">
        <w:rPr>
          <w:rFonts w:cs="Calibri Light"/>
          <w:i/>
          <w:sz w:val="22"/>
          <w:szCs w:val="22"/>
        </w:rPr>
        <w:t xml:space="preserve">Federal, state, or local legislative/policy barriers (e.g., the changing health care coverage landscape, policies on HIV testing or lab reporting, etc.); </w:t>
      </w:r>
    </w:p>
    <w:p w:rsidR="007D15AC" w:rsidRPr="00AA09F2" w:rsidRDefault="007D15AC" w:rsidP="00E73293">
      <w:pPr>
        <w:pStyle w:val="ListParagraph"/>
        <w:widowControl w:val="0"/>
        <w:numPr>
          <w:ilvl w:val="0"/>
          <w:numId w:val="58"/>
        </w:numPr>
        <w:autoSpaceDE w:val="0"/>
        <w:autoSpaceDN w:val="0"/>
        <w:adjustRightInd w:val="0"/>
        <w:ind w:left="1170"/>
        <w:rPr>
          <w:rFonts w:cs="Calibri Light"/>
          <w:i/>
          <w:sz w:val="22"/>
          <w:szCs w:val="22"/>
        </w:rPr>
      </w:pPr>
      <w:r w:rsidRPr="00AA09F2">
        <w:rPr>
          <w:rFonts w:cs="Calibri Light"/>
          <w:i/>
          <w:sz w:val="22"/>
          <w:szCs w:val="22"/>
        </w:rPr>
        <w:t xml:space="preserve">Health department barriers (e.g., political landscape, staff capacity, etc.); </w:t>
      </w:r>
    </w:p>
    <w:p w:rsidR="007D15AC" w:rsidRPr="00AA09F2" w:rsidRDefault="007D15AC" w:rsidP="00E73293">
      <w:pPr>
        <w:pStyle w:val="ListParagraph"/>
        <w:widowControl w:val="0"/>
        <w:numPr>
          <w:ilvl w:val="0"/>
          <w:numId w:val="58"/>
        </w:numPr>
        <w:autoSpaceDE w:val="0"/>
        <w:autoSpaceDN w:val="0"/>
        <w:adjustRightInd w:val="0"/>
        <w:ind w:left="1170"/>
        <w:rPr>
          <w:rFonts w:ascii="MS Gothic" w:eastAsia="MS Gothic" w:hAnsi="MS Gothic" w:cs="MS Gothic"/>
          <w:i/>
          <w:sz w:val="22"/>
          <w:szCs w:val="22"/>
        </w:rPr>
      </w:pPr>
      <w:r w:rsidRPr="00AA09F2">
        <w:rPr>
          <w:rFonts w:cs="Calibri Light"/>
          <w:i/>
          <w:sz w:val="22"/>
          <w:szCs w:val="22"/>
        </w:rPr>
        <w:t>Program barriers (e.g., infrastructure capacity, access to data, data sharing, inadequate health information systems, availability of funding, etc.);</w:t>
      </w:r>
    </w:p>
    <w:p w:rsidR="007D15AC" w:rsidRPr="00AA09F2" w:rsidRDefault="007D15AC" w:rsidP="00E73293">
      <w:pPr>
        <w:pStyle w:val="ListParagraph"/>
        <w:widowControl w:val="0"/>
        <w:numPr>
          <w:ilvl w:val="0"/>
          <w:numId w:val="58"/>
        </w:numPr>
        <w:autoSpaceDE w:val="0"/>
        <w:autoSpaceDN w:val="0"/>
        <w:adjustRightInd w:val="0"/>
        <w:ind w:left="1170"/>
        <w:rPr>
          <w:rFonts w:cs="Calibri Light"/>
          <w:i/>
          <w:sz w:val="22"/>
          <w:szCs w:val="22"/>
        </w:rPr>
      </w:pPr>
      <w:r w:rsidRPr="00AA09F2">
        <w:rPr>
          <w:rFonts w:cs="Calibri Light"/>
          <w:i/>
          <w:sz w:val="22"/>
          <w:szCs w:val="22"/>
        </w:rPr>
        <w:t xml:space="preserve">Service provider barriers. Discuss any stakeholder(s) that are not involved with planning for HIV services that need(s) to be involved in order to address gaps in components of HIV Prevention programing and/or along the HIV Care Continuum more effectively (e.g., lack of specialized resources or specialty care providers.); </w:t>
      </w:r>
    </w:p>
    <w:p w:rsidR="007D15AC" w:rsidRPr="00AA09F2" w:rsidRDefault="007D15AC" w:rsidP="00E73293">
      <w:pPr>
        <w:pStyle w:val="ListParagraph"/>
        <w:widowControl w:val="0"/>
        <w:numPr>
          <w:ilvl w:val="0"/>
          <w:numId w:val="58"/>
        </w:numPr>
        <w:autoSpaceDE w:val="0"/>
        <w:autoSpaceDN w:val="0"/>
        <w:adjustRightInd w:val="0"/>
        <w:ind w:left="1170"/>
        <w:rPr>
          <w:rFonts w:cs="Calibri Light"/>
          <w:i/>
          <w:sz w:val="22"/>
          <w:szCs w:val="22"/>
        </w:rPr>
      </w:pPr>
      <w:r w:rsidRPr="00AA09F2">
        <w:rPr>
          <w:rFonts w:cs="Calibri Light"/>
          <w:i/>
          <w:sz w:val="22"/>
          <w:szCs w:val="22"/>
        </w:rPr>
        <w:t xml:space="preserve"> Client barriers (e.g., transportation, homelessness/housing instability, inability to navigate the system, poverty, stigma, comorbid conditions, etc.). </w:t>
      </w:r>
    </w:p>
    <w:p w:rsidR="007D15AC" w:rsidRPr="003713C3" w:rsidRDefault="00C76EF9" w:rsidP="007D15AC">
      <w:pPr>
        <w:widowControl w:val="0"/>
        <w:autoSpaceDE w:val="0"/>
        <w:autoSpaceDN w:val="0"/>
        <w:adjustRightInd w:val="0"/>
        <w:jc w:val="both"/>
        <w:rPr>
          <w:rFonts w:cs="Calibri Light"/>
          <w:sz w:val="22"/>
          <w:szCs w:val="22"/>
        </w:rPr>
      </w:pPr>
      <w:r>
        <w:rPr>
          <w:rFonts w:cs="Calibri Light"/>
          <w:sz w:val="22"/>
          <w:szCs w:val="22"/>
        </w:rPr>
        <w:t>A variety of b</w:t>
      </w:r>
      <w:r w:rsidRPr="00C76EF9">
        <w:rPr>
          <w:rFonts w:cs="Calibri Light"/>
          <w:sz w:val="22"/>
          <w:szCs w:val="22"/>
        </w:rPr>
        <w:t xml:space="preserve">arriers to </w:t>
      </w:r>
      <w:r>
        <w:rPr>
          <w:rFonts w:cs="Calibri Light"/>
          <w:sz w:val="22"/>
          <w:szCs w:val="22"/>
        </w:rPr>
        <w:t xml:space="preserve">HIV </w:t>
      </w:r>
      <w:r w:rsidRPr="00C76EF9">
        <w:rPr>
          <w:rFonts w:cs="Calibri Light"/>
          <w:sz w:val="22"/>
          <w:szCs w:val="22"/>
        </w:rPr>
        <w:t xml:space="preserve">prevention and care services in Nevada were </w:t>
      </w:r>
      <w:r>
        <w:rPr>
          <w:rFonts w:cs="Calibri Light"/>
          <w:sz w:val="22"/>
          <w:szCs w:val="22"/>
        </w:rPr>
        <w:t xml:space="preserve">identified through the needs assessment process. </w:t>
      </w:r>
      <w:r w:rsidR="007D15AC" w:rsidRPr="003713C3">
        <w:rPr>
          <w:rFonts w:cs="Calibri Light"/>
          <w:sz w:val="22"/>
          <w:szCs w:val="22"/>
        </w:rPr>
        <w:t>Barriers to HIV prevention services in Nevada include</w:t>
      </w:r>
      <w:r w:rsidR="007D15AC">
        <w:rPr>
          <w:rFonts w:cs="Calibri Light"/>
          <w:sz w:val="22"/>
          <w:szCs w:val="22"/>
        </w:rPr>
        <w:t xml:space="preserve"> limited funding for HIV prevention</w:t>
      </w:r>
      <w:r w:rsidR="00AA09F2">
        <w:rPr>
          <w:rFonts w:cs="Calibri Light"/>
          <w:sz w:val="22"/>
          <w:szCs w:val="22"/>
        </w:rPr>
        <w:t xml:space="preserve"> and</w:t>
      </w:r>
      <w:r w:rsidR="007D15AC">
        <w:rPr>
          <w:rFonts w:cs="Calibri Light"/>
          <w:sz w:val="22"/>
          <w:szCs w:val="22"/>
        </w:rPr>
        <w:t xml:space="preserve"> lack of</w:t>
      </w:r>
      <w:r w:rsidR="00AA09F2">
        <w:rPr>
          <w:rFonts w:cs="Calibri Light"/>
          <w:sz w:val="22"/>
          <w:szCs w:val="22"/>
        </w:rPr>
        <w:t xml:space="preserve"> universal HIV testing. </w:t>
      </w:r>
      <w:r w:rsidR="007D15AC" w:rsidRPr="003713C3">
        <w:rPr>
          <w:rFonts w:cs="Calibri Light"/>
          <w:sz w:val="22"/>
          <w:szCs w:val="22"/>
        </w:rPr>
        <w:t xml:space="preserve">Barriers to HIV care services in Nevada include a </w:t>
      </w:r>
      <w:r w:rsidR="007D15AC">
        <w:rPr>
          <w:rFonts w:cs="Calibri Light"/>
          <w:sz w:val="22"/>
          <w:szCs w:val="22"/>
        </w:rPr>
        <w:t xml:space="preserve">lack of care providers, transportation issues, and eligibility issues. </w:t>
      </w:r>
    </w:p>
    <w:p w:rsidR="005A1658" w:rsidRDefault="00C76EF9" w:rsidP="00642DD9">
      <w:pPr>
        <w:pStyle w:val="Default"/>
        <w:spacing w:line="276" w:lineRule="auto"/>
        <w:jc w:val="both"/>
        <w:rPr>
          <w:rFonts w:asciiTheme="minorHAnsi" w:hAnsiTheme="minorHAnsi" w:cs="Arial"/>
          <w:sz w:val="22"/>
          <w:szCs w:val="22"/>
        </w:rPr>
      </w:pPr>
      <w:r w:rsidRPr="00642DD9">
        <w:rPr>
          <w:rFonts w:asciiTheme="minorHAnsi" w:hAnsiTheme="minorHAnsi" w:cs="Calibri Light"/>
          <w:sz w:val="22"/>
          <w:szCs w:val="22"/>
        </w:rPr>
        <w:t xml:space="preserve">The social barrier of stigma related to HIV impacts both prevention and care efforts as it can prevent individuals from getting tested, from participating in HIV education, </w:t>
      </w:r>
      <w:r w:rsidR="00C04779" w:rsidRPr="00642DD9">
        <w:rPr>
          <w:rFonts w:asciiTheme="minorHAnsi" w:hAnsiTheme="minorHAnsi" w:cs="Calibri Light"/>
          <w:sz w:val="22"/>
          <w:szCs w:val="22"/>
        </w:rPr>
        <w:t xml:space="preserve">and </w:t>
      </w:r>
      <w:r w:rsidRPr="00642DD9">
        <w:rPr>
          <w:rFonts w:asciiTheme="minorHAnsi" w:hAnsiTheme="minorHAnsi" w:cs="Calibri Light"/>
          <w:sz w:val="22"/>
          <w:szCs w:val="22"/>
        </w:rPr>
        <w:t xml:space="preserve">from accessing care after a diagnosis. </w:t>
      </w:r>
      <w:r w:rsidR="005A1658" w:rsidRPr="00642DD9">
        <w:rPr>
          <w:rFonts w:asciiTheme="minorHAnsi" w:hAnsiTheme="minorHAnsi" w:cs="Calibri Light"/>
          <w:sz w:val="22"/>
          <w:szCs w:val="22"/>
        </w:rPr>
        <w:t>Some statewide client survey respondents indicated that a barrier to them getting into a doctor’s office after their HIV diagnosis was not wanti</w:t>
      </w:r>
      <w:r w:rsidR="005A1658">
        <w:rPr>
          <w:rFonts w:asciiTheme="minorHAnsi" w:hAnsiTheme="minorHAnsi" w:cs="Calibri Light"/>
          <w:sz w:val="22"/>
          <w:szCs w:val="22"/>
        </w:rPr>
        <w:t xml:space="preserve">ng anyone to know they had HIV. </w:t>
      </w:r>
      <w:r w:rsidR="00642DD9" w:rsidRPr="00642DD9">
        <w:rPr>
          <w:rFonts w:asciiTheme="minorHAnsi" w:hAnsiTheme="minorHAnsi" w:cs="Calibri Light"/>
          <w:sz w:val="22"/>
          <w:szCs w:val="22"/>
        </w:rPr>
        <w:t xml:space="preserve">Stigma against people with HIV, against </w:t>
      </w:r>
      <w:r w:rsidR="00642DD9" w:rsidRPr="00642DD9">
        <w:rPr>
          <w:rFonts w:asciiTheme="minorHAnsi" w:hAnsiTheme="minorHAnsi" w:cs="Arial"/>
          <w:sz w:val="22"/>
          <w:szCs w:val="22"/>
        </w:rPr>
        <w:t xml:space="preserve">lesbian, gay, bisexual, transgender, and </w:t>
      </w:r>
      <w:r w:rsidR="00642DD9">
        <w:rPr>
          <w:rFonts w:asciiTheme="minorHAnsi" w:hAnsiTheme="minorHAnsi" w:cs="Arial"/>
          <w:sz w:val="22"/>
          <w:szCs w:val="22"/>
        </w:rPr>
        <w:t xml:space="preserve">questioning (LGBTQ) individuals, and against injection drug users are present in Nevada. </w:t>
      </w:r>
      <w:r w:rsidR="005A1658">
        <w:rPr>
          <w:rFonts w:asciiTheme="minorHAnsi" w:hAnsiTheme="minorHAnsi" w:cs="Arial"/>
          <w:sz w:val="22"/>
          <w:szCs w:val="22"/>
        </w:rPr>
        <w:t>In communities of color, the stigma can be even more pronounced</w:t>
      </w:r>
      <w:r w:rsidR="008A4791">
        <w:rPr>
          <w:rFonts w:asciiTheme="minorHAnsi" w:hAnsiTheme="minorHAnsi" w:cs="Arial"/>
          <w:sz w:val="22"/>
          <w:szCs w:val="22"/>
        </w:rPr>
        <w:t xml:space="preserve">, often </w:t>
      </w:r>
      <w:r w:rsidR="005A1658">
        <w:rPr>
          <w:rFonts w:asciiTheme="minorHAnsi" w:hAnsiTheme="minorHAnsi" w:cs="Arial"/>
          <w:sz w:val="22"/>
          <w:szCs w:val="22"/>
        </w:rPr>
        <w:t>discourag</w:t>
      </w:r>
      <w:r w:rsidR="008A4791">
        <w:rPr>
          <w:rFonts w:asciiTheme="minorHAnsi" w:hAnsiTheme="minorHAnsi" w:cs="Arial"/>
          <w:sz w:val="22"/>
          <w:szCs w:val="22"/>
        </w:rPr>
        <w:t>ing</w:t>
      </w:r>
      <w:r w:rsidR="005A1658">
        <w:rPr>
          <w:rFonts w:asciiTheme="minorHAnsi" w:hAnsiTheme="minorHAnsi" w:cs="Arial"/>
          <w:sz w:val="22"/>
          <w:szCs w:val="22"/>
        </w:rPr>
        <w:t xml:space="preserve"> individuals from knowing their status and seeking treatment. </w:t>
      </w:r>
    </w:p>
    <w:p w:rsidR="00280D56" w:rsidRDefault="00280D56" w:rsidP="00280D56">
      <w:pPr>
        <w:pStyle w:val="Default"/>
        <w:spacing w:line="276" w:lineRule="auto"/>
        <w:jc w:val="both"/>
        <w:rPr>
          <w:rFonts w:cs="Calibri Light"/>
          <w:sz w:val="22"/>
          <w:szCs w:val="22"/>
        </w:rPr>
      </w:pPr>
      <w:r>
        <w:rPr>
          <w:rFonts w:cs="Calibri Light"/>
          <w:sz w:val="22"/>
          <w:szCs w:val="22"/>
        </w:rPr>
        <w:t xml:space="preserve">A structural barrier in the south is the distance between service providers in the Las Vegas area. The sprawl of the city can make it difficult for clients to easily access services, particularly for individuals who rely on public transportation. Another barrier is high transiency in Nevada, with people frequently moving in and out of state, as well as to other locations within cities and within the state, which can make it difficult to get HIV test results to people, to link individuals who test positive to care, and to retain PLWH in care. </w:t>
      </w:r>
    </w:p>
    <w:p w:rsidR="008D6B99" w:rsidRDefault="000525C4" w:rsidP="00642DD9">
      <w:pPr>
        <w:pStyle w:val="Default"/>
        <w:spacing w:line="276" w:lineRule="auto"/>
        <w:jc w:val="both"/>
        <w:rPr>
          <w:rFonts w:asciiTheme="minorHAnsi" w:hAnsiTheme="minorHAnsi" w:cs="Arial"/>
          <w:sz w:val="22"/>
          <w:szCs w:val="22"/>
        </w:rPr>
      </w:pPr>
      <w:r>
        <w:rPr>
          <w:rFonts w:asciiTheme="minorHAnsi" w:hAnsiTheme="minorHAnsi" w:cs="Arial"/>
          <w:sz w:val="22"/>
          <w:szCs w:val="22"/>
        </w:rPr>
        <w:t xml:space="preserve">At the time data were collected for this integrated plan, Nevada only required CD4 values with counts below 500 </w:t>
      </w:r>
      <w:r w:rsidRPr="00C559D6">
        <w:rPr>
          <w:sz w:val="22"/>
          <w:szCs w:val="22"/>
        </w:rPr>
        <w:t>per ml</w:t>
      </w:r>
      <w:r w:rsidRPr="00C559D6">
        <w:rPr>
          <w:sz w:val="22"/>
          <w:szCs w:val="22"/>
          <w:vertAlign w:val="superscript"/>
        </w:rPr>
        <w:t>3</w:t>
      </w:r>
      <w:r w:rsidRPr="00C559D6">
        <w:rPr>
          <w:sz w:val="22"/>
          <w:szCs w:val="22"/>
        </w:rPr>
        <w:t xml:space="preserve"> of blood and a detectable viral load (&gt;200 copies/ml)</w:t>
      </w:r>
      <w:r>
        <w:rPr>
          <w:sz w:val="22"/>
          <w:szCs w:val="22"/>
        </w:rPr>
        <w:t xml:space="preserve"> </w:t>
      </w:r>
      <w:r>
        <w:rPr>
          <w:rFonts w:asciiTheme="minorHAnsi" w:hAnsiTheme="minorHAnsi" w:cs="Arial"/>
          <w:sz w:val="22"/>
          <w:szCs w:val="22"/>
        </w:rPr>
        <w:t xml:space="preserve">to be reported </w:t>
      </w:r>
      <w:r w:rsidR="00E62816">
        <w:rPr>
          <w:rFonts w:asciiTheme="minorHAnsi" w:hAnsiTheme="minorHAnsi" w:cs="Arial"/>
          <w:sz w:val="22"/>
          <w:szCs w:val="22"/>
        </w:rPr>
        <w:t>to the health authority. This barrier</w:t>
      </w:r>
      <w:r w:rsidR="008D6B99">
        <w:rPr>
          <w:rFonts w:asciiTheme="minorHAnsi" w:hAnsiTheme="minorHAnsi" w:cs="Arial"/>
          <w:sz w:val="22"/>
          <w:szCs w:val="22"/>
        </w:rPr>
        <w:t xml:space="preserve"> has impacted the quality of the data available for understanding Nevada’s continuum of care.</w:t>
      </w:r>
      <w:r>
        <w:rPr>
          <w:rFonts w:asciiTheme="minorHAnsi" w:hAnsiTheme="minorHAnsi" w:cs="Arial"/>
          <w:sz w:val="22"/>
          <w:szCs w:val="22"/>
        </w:rPr>
        <w:t xml:space="preserve"> </w:t>
      </w:r>
      <w:r w:rsidR="008D6B99">
        <w:rPr>
          <w:rFonts w:asciiTheme="minorHAnsi" w:hAnsiTheme="minorHAnsi" w:cs="Arial"/>
          <w:sz w:val="22"/>
          <w:szCs w:val="22"/>
        </w:rPr>
        <w:t xml:space="preserve">Reporting of viral load and CD4 lab tests is lacking for individuals receiving medical care outside of the Ryan White care system. </w:t>
      </w:r>
      <w:r>
        <w:rPr>
          <w:rFonts w:asciiTheme="minorHAnsi" w:hAnsiTheme="minorHAnsi" w:cs="Arial"/>
          <w:sz w:val="22"/>
          <w:szCs w:val="22"/>
        </w:rPr>
        <w:t xml:space="preserve">Therefore, a large number of labs were unreported which results in and underestimation of retention in care and virally suppression. </w:t>
      </w:r>
      <w:r w:rsidR="008D6B99">
        <w:rPr>
          <w:rFonts w:asciiTheme="minorHAnsi" w:hAnsiTheme="minorHAnsi" w:cs="Arial"/>
          <w:sz w:val="22"/>
          <w:szCs w:val="22"/>
        </w:rPr>
        <w:t xml:space="preserve">While this barrier impacted data for the current integrated plan, a change in policy at the state level that requires reporting of all levels will help improve Nevada’s continuum of care data going forward. </w:t>
      </w:r>
    </w:p>
    <w:p w:rsidR="00642DD9" w:rsidRDefault="00C33DCF" w:rsidP="007D15AC">
      <w:pPr>
        <w:widowControl w:val="0"/>
        <w:autoSpaceDE w:val="0"/>
        <w:autoSpaceDN w:val="0"/>
        <w:adjustRightInd w:val="0"/>
        <w:jc w:val="both"/>
        <w:rPr>
          <w:rFonts w:cs="Calibri Light"/>
          <w:sz w:val="22"/>
          <w:szCs w:val="22"/>
        </w:rPr>
      </w:pPr>
      <w:r>
        <w:rPr>
          <w:rFonts w:cs="Calibri Light"/>
          <w:sz w:val="22"/>
          <w:szCs w:val="22"/>
        </w:rPr>
        <w:lastRenderedPageBreak/>
        <w:t xml:space="preserve">The lack of health departments in many counties in </w:t>
      </w:r>
      <w:r w:rsidR="008A4791">
        <w:rPr>
          <w:rFonts w:cs="Calibri Light"/>
          <w:sz w:val="22"/>
          <w:szCs w:val="22"/>
        </w:rPr>
        <w:t>Nevada limits access to prevention and care services for individuals in those counties</w:t>
      </w:r>
      <w:r w:rsidR="008A1BC1">
        <w:rPr>
          <w:rFonts w:cs="Calibri Light"/>
          <w:sz w:val="22"/>
          <w:szCs w:val="22"/>
        </w:rPr>
        <w:t>.</w:t>
      </w:r>
      <w:r w:rsidR="00C61C71">
        <w:rPr>
          <w:rFonts w:cs="Calibri Light"/>
          <w:sz w:val="22"/>
          <w:szCs w:val="22"/>
        </w:rPr>
        <w:t xml:space="preserve"> </w:t>
      </w:r>
      <w:r w:rsidR="008A1BC1">
        <w:rPr>
          <w:rFonts w:cs="Calibri Light"/>
          <w:sz w:val="22"/>
          <w:szCs w:val="22"/>
        </w:rPr>
        <w:t>The h</w:t>
      </w:r>
      <w:r w:rsidR="00C61C71">
        <w:rPr>
          <w:rFonts w:cs="Calibri Light"/>
          <w:sz w:val="22"/>
          <w:szCs w:val="22"/>
        </w:rPr>
        <w:t>ealth departments</w:t>
      </w:r>
      <w:r w:rsidR="008A1BC1">
        <w:rPr>
          <w:rFonts w:cs="Calibri Light"/>
          <w:sz w:val="22"/>
          <w:szCs w:val="22"/>
        </w:rPr>
        <w:t xml:space="preserve"> that do exist in Nevada struggle with a lack of funding and personnel for HIV prevention </w:t>
      </w:r>
      <w:r w:rsidR="008A4791">
        <w:rPr>
          <w:rFonts w:cs="Calibri Light"/>
          <w:sz w:val="22"/>
          <w:szCs w:val="22"/>
        </w:rPr>
        <w:t xml:space="preserve">and </w:t>
      </w:r>
      <w:r w:rsidR="008A1BC1">
        <w:rPr>
          <w:rFonts w:cs="Calibri Light"/>
          <w:sz w:val="22"/>
          <w:szCs w:val="22"/>
        </w:rPr>
        <w:t>care. Their bureaucratic structure can reduce flexibility and increase the time it takes to implement changes in programs, policies and procedures. At times, they have struggled to obtain support from their administration</w:t>
      </w:r>
      <w:r w:rsidR="008A4791">
        <w:rPr>
          <w:rFonts w:cs="Calibri Light"/>
          <w:sz w:val="22"/>
          <w:szCs w:val="22"/>
        </w:rPr>
        <w:t>s</w:t>
      </w:r>
      <w:r w:rsidR="008A1BC1">
        <w:rPr>
          <w:rFonts w:cs="Calibri Light"/>
          <w:sz w:val="22"/>
          <w:szCs w:val="22"/>
        </w:rPr>
        <w:t xml:space="preserve"> for HIV related campaigns and programs due to political issues and fear of the public perception of some HIV related materials. Another barrier relates to mistrust of government agencies which may prevent individuals from seeking HIV-related services at health departments. </w:t>
      </w:r>
    </w:p>
    <w:p w:rsidR="008A1BC1" w:rsidRDefault="008A1BC1" w:rsidP="007D15AC">
      <w:pPr>
        <w:widowControl w:val="0"/>
        <w:autoSpaceDE w:val="0"/>
        <w:autoSpaceDN w:val="0"/>
        <w:adjustRightInd w:val="0"/>
        <w:jc w:val="both"/>
        <w:rPr>
          <w:rFonts w:cs="Calibri Light"/>
          <w:sz w:val="22"/>
          <w:szCs w:val="22"/>
        </w:rPr>
      </w:pPr>
      <w:r>
        <w:rPr>
          <w:rFonts w:cs="Calibri Light"/>
          <w:sz w:val="22"/>
          <w:szCs w:val="22"/>
        </w:rPr>
        <w:t>At the program level, decreases in funding and restrictions on how funding can be used are challenges face</w:t>
      </w:r>
      <w:r w:rsidR="00E62816">
        <w:rPr>
          <w:rFonts w:cs="Calibri Light"/>
          <w:sz w:val="22"/>
          <w:szCs w:val="22"/>
        </w:rPr>
        <w:t>d</w:t>
      </w:r>
      <w:r>
        <w:rPr>
          <w:rFonts w:cs="Calibri Light"/>
          <w:sz w:val="22"/>
          <w:szCs w:val="22"/>
        </w:rPr>
        <w:t xml:space="preserve"> by the state HIV prevention program and the Ryan White P</w:t>
      </w:r>
      <w:r w:rsidR="00E62816">
        <w:rPr>
          <w:rFonts w:cs="Calibri Light"/>
          <w:sz w:val="22"/>
          <w:szCs w:val="22"/>
        </w:rPr>
        <w:t>rograms</w:t>
      </w:r>
      <w:r>
        <w:rPr>
          <w:rFonts w:cs="Calibri Light"/>
          <w:sz w:val="22"/>
          <w:szCs w:val="22"/>
        </w:rPr>
        <w:t xml:space="preserve">. </w:t>
      </w:r>
      <w:r w:rsidR="008A4791">
        <w:rPr>
          <w:rFonts w:cs="Calibri Light"/>
          <w:sz w:val="22"/>
          <w:szCs w:val="22"/>
        </w:rPr>
        <w:t xml:space="preserve">Political issues related to public perception of HIV-related programs and campaigns can restrict implementation of some programs at the state level in some instances. </w:t>
      </w:r>
      <w:r w:rsidR="008F4313">
        <w:rPr>
          <w:rFonts w:cs="Calibri Light"/>
          <w:sz w:val="22"/>
          <w:szCs w:val="22"/>
        </w:rPr>
        <w:t>Securing providers is a challenge due to the lack of providers in the state. Also securing providers to serve specific target populations</w:t>
      </w:r>
      <w:r w:rsidR="008A4791">
        <w:rPr>
          <w:rFonts w:cs="Calibri Light"/>
          <w:sz w:val="22"/>
          <w:szCs w:val="22"/>
        </w:rPr>
        <w:t xml:space="preserve"> </w:t>
      </w:r>
      <w:r w:rsidR="008F4313">
        <w:rPr>
          <w:rFonts w:cs="Calibri Light"/>
          <w:sz w:val="22"/>
          <w:szCs w:val="22"/>
        </w:rPr>
        <w:t xml:space="preserve">has been challenging. For example, the Las Vegas TGA has struggled with finding sub-recipients that the Black/African American population can identify with and feel comfortable frequenting. </w:t>
      </w:r>
    </w:p>
    <w:p w:rsidR="00280D56" w:rsidRPr="00C76EF9" w:rsidRDefault="00280D56" w:rsidP="007D15AC">
      <w:pPr>
        <w:widowControl w:val="0"/>
        <w:autoSpaceDE w:val="0"/>
        <w:autoSpaceDN w:val="0"/>
        <w:adjustRightInd w:val="0"/>
        <w:jc w:val="both"/>
        <w:rPr>
          <w:rFonts w:cs="Calibri Light"/>
          <w:sz w:val="22"/>
          <w:szCs w:val="22"/>
        </w:rPr>
      </w:pPr>
      <w:r>
        <w:rPr>
          <w:rFonts w:cs="Calibri Light"/>
          <w:sz w:val="22"/>
          <w:szCs w:val="22"/>
        </w:rPr>
        <w:t>At the service provider level</w:t>
      </w:r>
      <w:r w:rsidR="00E62816">
        <w:rPr>
          <w:rFonts w:cs="Calibri Light"/>
          <w:sz w:val="22"/>
          <w:szCs w:val="22"/>
        </w:rPr>
        <w:t>,</w:t>
      </w:r>
      <w:r>
        <w:rPr>
          <w:rFonts w:cs="Calibri Light"/>
          <w:sz w:val="22"/>
          <w:szCs w:val="22"/>
        </w:rPr>
        <w:t xml:space="preserve"> there are barriers related to lack of HIV providers, lack of specialty care providers, lack of mental health workers, and lack of case workers. Providing culturally and linguistically appropriate services can be challenging for service providers. A lack of one-stop shops for HIV services, particularly in southern Nevada, can make it difficult for clients to access all the services they need. </w:t>
      </w:r>
    </w:p>
    <w:p w:rsidR="00AA09F2" w:rsidRDefault="00AA09F2" w:rsidP="00AA09F2">
      <w:pPr>
        <w:jc w:val="both"/>
        <w:rPr>
          <w:sz w:val="22"/>
          <w:szCs w:val="22"/>
        </w:rPr>
      </w:pPr>
      <w:r w:rsidRPr="003713C3">
        <w:rPr>
          <w:sz w:val="22"/>
          <w:szCs w:val="22"/>
        </w:rPr>
        <w:t>Top client barriers noted by survey respondents and focus group participants included lack of available services, health literacy, poverty, time, transportation, and conflicting responsibilities. Nearly one quarter of statewide client survey respondents indicated that not knowing where to go to receive needed services was a main reason they weren’t receiving those services. This theme was echoed in the other client surveys and focus groups</w:t>
      </w:r>
      <w:r w:rsidR="00E62816">
        <w:rPr>
          <w:sz w:val="22"/>
          <w:szCs w:val="22"/>
        </w:rPr>
        <w:t>,</w:t>
      </w:r>
      <w:r w:rsidRPr="003713C3">
        <w:rPr>
          <w:sz w:val="22"/>
          <w:szCs w:val="22"/>
        </w:rPr>
        <w:t xml:space="preserve"> as well as from the clients who participated in the stakeholder meetings.</w:t>
      </w:r>
    </w:p>
    <w:p w:rsidR="00CE29AC" w:rsidRDefault="00CE29AC" w:rsidP="009272D6">
      <w:pPr>
        <w:pStyle w:val="ListParagraph"/>
        <w:widowControl w:val="0"/>
        <w:tabs>
          <w:tab w:val="left" w:pos="940"/>
          <w:tab w:val="left" w:pos="1440"/>
        </w:tabs>
        <w:autoSpaceDE w:val="0"/>
        <w:autoSpaceDN w:val="0"/>
        <w:adjustRightInd w:val="0"/>
        <w:spacing w:before="240"/>
        <w:ind w:left="0"/>
        <w:jc w:val="both"/>
        <w:rPr>
          <w:rFonts w:cs="Calibri Light"/>
          <w:sz w:val="22"/>
          <w:szCs w:val="22"/>
        </w:rPr>
      </w:pPr>
      <w:r>
        <w:rPr>
          <w:rFonts w:cs="Calibri Light"/>
          <w:sz w:val="22"/>
          <w:szCs w:val="22"/>
        </w:rPr>
        <w:t>Newly diagnosed respondents to the Las Vegas TGA Pathways to Care Needs Assessment survey reported the following barriers to accessing services: confusion with the cumbersome process for accessing care; not knowing where to get services; lack of transportation or difficulty using the TGA’s public transportation system; and, cost of vision and dental care. PLWH recently relocated to the Las Vegas TGA indicated that paperwork, long commutes and limited transportation options, insurance and Medicaid issues, and the overall process of accessing care made it difficult to access some services. Among the out of care/returned to care, transportation, navigating the system, and insurance problems were barriers to accessing care.</w:t>
      </w:r>
      <w:r w:rsidR="009272D6">
        <w:rPr>
          <w:rFonts w:cs="Calibri Light"/>
          <w:sz w:val="22"/>
          <w:szCs w:val="22"/>
        </w:rPr>
        <w:t xml:space="preserve"> </w:t>
      </w:r>
      <w:r w:rsidRPr="00BB58F4">
        <w:rPr>
          <w:rFonts w:cs="Calibri Light"/>
          <w:sz w:val="22"/>
          <w:szCs w:val="22"/>
        </w:rPr>
        <w:t xml:space="preserve">Among HIV Community Survey respondents, 47% had ever been tested for HIV. </w:t>
      </w:r>
      <w:r>
        <w:rPr>
          <w:rFonts w:cs="Calibri Light"/>
          <w:sz w:val="22"/>
          <w:szCs w:val="22"/>
        </w:rPr>
        <w:t>Differences were found in levels of testing among types of respondents, however. Lower percentages of respondents who were 24 years of age and younger (28% tested), intravenous drug users (37%), Native American (37%), or Asian/Pacific Islander (39%) reported having been tested for HIV than other types of respondents. A higher percentage of MSM respondents (66% tested) reported having been tested for HIV compared to other respondents. A higher percentage of respondents who were intravenous drug users (45%) than other types of respondents (14%) reported cost as a reason for not getting tested for HIV.</w:t>
      </w:r>
    </w:p>
    <w:p w:rsidR="00CE29AC" w:rsidRDefault="00CE29AC" w:rsidP="00CE29AC">
      <w:pPr>
        <w:pStyle w:val="ListParagraph"/>
        <w:widowControl w:val="0"/>
        <w:tabs>
          <w:tab w:val="left" w:pos="940"/>
          <w:tab w:val="left" w:pos="1440"/>
        </w:tabs>
        <w:autoSpaceDE w:val="0"/>
        <w:autoSpaceDN w:val="0"/>
        <w:adjustRightInd w:val="0"/>
        <w:ind w:left="0"/>
        <w:jc w:val="both"/>
        <w:rPr>
          <w:rFonts w:cs="Calibri Light"/>
          <w:sz w:val="22"/>
          <w:szCs w:val="22"/>
        </w:rPr>
      </w:pPr>
    </w:p>
    <w:p w:rsidR="00AA09F2" w:rsidRDefault="00CE29AC" w:rsidP="00AA09F2">
      <w:pPr>
        <w:pStyle w:val="ListParagraph"/>
        <w:widowControl w:val="0"/>
        <w:tabs>
          <w:tab w:val="left" w:pos="940"/>
          <w:tab w:val="left" w:pos="1440"/>
        </w:tabs>
        <w:autoSpaceDE w:val="0"/>
        <w:autoSpaceDN w:val="0"/>
        <w:adjustRightInd w:val="0"/>
        <w:spacing w:before="240"/>
        <w:ind w:left="0"/>
        <w:jc w:val="both"/>
        <w:rPr>
          <w:rFonts w:cs="Calibri Light"/>
          <w:sz w:val="22"/>
          <w:szCs w:val="22"/>
        </w:rPr>
      </w:pPr>
      <w:r w:rsidRPr="003713C3">
        <w:rPr>
          <w:noProof/>
        </w:rPr>
        <w:lastRenderedPageBreak/>
        <mc:AlternateContent>
          <mc:Choice Requires="wps">
            <w:drawing>
              <wp:inline distT="0" distB="0" distL="0" distR="0" wp14:anchorId="49410C02" wp14:editId="5F768290">
                <wp:extent cx="7372670" cy="5926082"/>
                <wp:effectExtent l="0" t="635" r="0" b="0"/>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72670" cy="5926082"/>
                        </a:xfrm>
                        <a:prstGeom prst="roundRect">
                          <a:avLst>
                            <a:gd name="adj" fmla="val 13032"/>
                          </a:avLst>
                        </a:prstGeom>
                        <a:solidFill>
                          <a:srgbClr val="4A66AC">
                            <a:lumMod val="20000"/>
                            <a:lumOff val="80000"/>
                          </a:srgbClr>
                        </a:solidFill>
                        <a:extLst/>
                      </wps:spPr>
                      <wps:txbx>
                        <w:txbxContent>
                          <w:p w:rsidR="002E77F2" w:rsidRPr="009272D6" w:rsidRDefault="002E77F2" w:rsidP="00CE29AC">
                            <w:pPr>
                              <w:spacing w:before="0" w:after="0"/>
                              <w:jc w:val="center"/>
                              <w:rPr>
                                <w:b/>
                                <w:iCs/>
                                <w:color w:val="374C80"/>
                                <w:sz w:val="22"/>
                                <w:szCs w:val="22"/>
                              </w:rPr>
                            </w:pPr>
                            <w:r w:rsidRPr="009272D6">
                              <w:rPr>
                                <w:b/>
                                <w:iCs/>
                                <w:color w:val="374C80"/>
                                <w:sz w:val="22"/>
                                <w:szCs w:val="22"/>
                              </w:rPr>
                              <w:t>Barriers to HIV Prevention and Care Services</w:t>
                            </w:r>
                          </w:p>
                          <w:tbl>
                            <w:tblPr>
                              <w:tblW w:w="0" w:type="auto"/>
                              <w:tblLook w:val="04A0" w:firstRow="1" w:lastRow="0" w:firstColumn="1" w:lastColumn="0" w:noHBand="0" w:noVBand="1"/>
                            </w:tblPr>
                            <w:tblGrid>
                              <w:gridCol w:w="4603"/>
                              <w:gridCol w:w="3873"/>
                            </w:tblGrid>
                            <w:tr w:rsidR="002E77F2" w:rsidRPr="009272D6" w:rsidTr="00AA09F2">
                              <w:tc>
                                <w:tcPr>
                                  <w:tcW w:w="4860" w:type="dxa"/>
                                  <w:hideMark/>
                                </w:tcPr>
                                <w:p w:rsidR="002E77F2" w:rsidRPr="009272D6" w:rsidRDefault="002E77F2" w:rsidP="00AA09F2">
                                  <w:pPr>
                                    <w:spacing w:before="120" w:after="0"/>
                                    <w:rPr>
                                      <w:b/>
                                      <w:iCs/>
                                      <w:color w:val="143F6A"/>
                                      <w:sz w:val="22"/>
                                      <w:szCs w:val="22"/>
                                    </w:rPr>
                                  </w:pPr>
                                  <w:r w:rsidRPr="009272D6">
                                    <w:rPr>
                                      <w:b/>
                                      <w:iCs/>
                                      <w:color w:val="143F6A"/>
                                      <w:sz w:val="22"/>
                                      <w:szCs w:val="22"/>
                                    </w:rPr>
                                    <w:t>Structural and Social Barriers</w:t>
                                  </w:r>
                                </w:p>
                                <w:p w:rsidR="002E77F2" w:rsidRPr="009272D6" w:rsidRDefault="002E77F2" w:rsidP="00AA09F2">
                                  <w:pPr>
                                    <w:spacing w:before="0" w:after="0"/>
                                    <w:rPr>
                                      <w:iCs/>
                                      <w:color w:val="143F6A"/>
                                      <w:sz w:val="22"/>
                                      <w:szCs w:val="22"/>
                                    </w:rPr>
                                  </w:pPr>
                                  <w:r w:rsidRPr="009272D6">
                                    <w:rPr>
                                      <w:iCs/>
                                      <w:color w:val="143F6A"/>
                                      <w:sz w:val="22"/>
                                      <w:szCs w:val="22"/>
                                    </w:rPr>
                                    <w:t>Stigma related to HIV</w:t>
                                  </w:r>
                                </w:p>
                                <w:p w:rsidR="002E77F2" w:rsidRPr="009272D6" w:rsidRDefault="002E77F2" w:rsidP="00AA09F2">
                                  <w:pPr>
                                    <w:spacing w:before="0" w:after="0"/>
                                    <w:rPr>
                                      <w:iCs/>
                                      <w:color w:val="143F6A"/>
                                      <w:sz w:val="22"/>
                                      <w:szCs w:val="22"/>
                                    </w:rPr>
                                  </w:pPr>
                                  <w:r w:rsidRPr="009272D6">
                                    <w:rPr>
                                      <w:iCs/>
                                      <w:color w:val="143F6A"/>
                                      <w:sz w:val="22"/>
                                      <w:szCs w:val="22"/>
                                    </w:rPr>
                                    <w:t>Fear of people knowing they have HIV</w:t>
                                  </w:r>
                                </w:p>
                                <w:p w:rsidR="002E77F2" w:rsidRPr="009272D6" w:rsidRDefault="002E77F2" w:rsidP="00AA09F2">
                                  <w:pPr>
                                    <w:spacing w:before="0" w:after="0"/>
                                    <w:rPr>
                                      <w:iCs/>
                                      <w:color w:val="143F6A"/>
                                      <w:sz w:val="22"/>
                                      <w:szCs w:val="22"/>
                                    </w:rPr>
                                  </w:pPr>
                                  <w:r w:rsidRPr="009272D6">
                                    <w:rPr>
                                      <w:iCs/>
                                      <w:color w:val="143F6A"/>
                                      <w:sz w:val="22"/>
                                      <w:szCs w:val="22"/>
                                    </w:rPr>
                                    <w:t>Sprawl of Las Vegas TGA/distance between services</w:t>
                                  </w:r>
                                </w:p>
                                <w:p w:rsidR="002E77F2" w:rsidRPr="009272D6" w:rsidRDefault="002E77F2" w:rsidP="00AA09F2">
                                  <w:pPr>
                                    <w:spacing w:before="0" w:after="0"/>
                                    <w:rPr>
                                      <w:iCs/>
                                      <w:color w:val="143F6A"/>
                                      <w:sz w:val="22"/>
                                      <w:szCs w:val="22"/>
                                    </w:rPr>
                                  </w:pPr>
                                  <w:r w:rsidRPr="009272D6">
                                    <w:rPr>
                                      <w:iCs/>
                                      <w:color w:val="143F6A"/>
                                      <w:sz w:val="22"/>
                                      <w:szCs w:val="22"/>
                                    </w:rPr>
                                    <w:t>Transiency</w:t>
                                  </w:r>
                                </w:p>
                              </w:tc>
                              <w:tc>
                                <w:tcPr>
                                  <w:tcW w:w="4059" w:type="dxa"/>
                                  <w:hideMark/>
                                </w:tcPr>
                                <w:p w:rsidR="002E77F2" w:rsidRPr="009272D6" w:rsidRDefault="002E77F2" w:rsidP="00AA09F2">
                                  <w:pPr>
                                    <w:spacing w:before="120" w:after="0"/>
                                    <w:rPr>
                                      <w:b/>
                                      <w:iCs/>
                                      <w:color w:val="143F6A"/>
                                      <w:sz w:val="22"/>
                                      <w:szCs w:val="22"/>
                                    </w:rPr>
                                  </w:pPr>
                                  <w:r w:rsidRPr="009272D6">
                                    <w:rPr>
                                      <w:b/>
                                      <w:iCs/>
                                      <w:color w:val="143F6A"/>
                                      <w:sz w:val="22"/>
                                      <w:szCs w:val="22"/>
                                    </w:rPr>
                                    <w:t>Legislative and Policy Barriers</w:t>
                                  </w:r>
                                </w:p>
                                <w:p w:rsidR="002E77F2" w:rsidRPr="009272D6" w:rsidRDefault="002E77F2" w:rsidP="00280D56">
                                  <w:pPr>
                                    <w:spacing w:before="0" w:after="0"/>
                                    <w:rPr>
                                      <w:iCs/>
                                      <w:color w:val="143F6A"/>
                                      <w:sz w:val="22"/>
                                      <w:szCs w:val="22"/>
                                    </w:rPr>
                                  </w:pPr>
                                  <w:r w:rsidRPr="009272D6">
                                    <w:rPr>
                                      <w:iCs/>
                                      <w:color w:val="143F6A"/>
                                      <w:sz w:val="22"/>
                                      <w:szCs w:val="22"/>
                                    </w:rPr>
                                    <w:t xml:space="preserve">No requirement to report CD4 values with </w:t>
                                  </w:r>
                                  <w:r w:rsidRPr="009272D6">
                                    <w:rPr>
                                      <w:iCs/>
                                      <w:color w:val="1F497D" w:themeColor="text2"/>
                                      <w:sz w:val="22"/>
                                      <w:szCs w:val="22"/>
                                    </w:rPr>
                                    <w:t xml:space="preserve">counts below 500 </w:t>
                                  </w:r>
                                  <w:r w:rsidRPr="009272D6">
                                    <w:rPr>
                                      <w:color w:val="1F497D" w:themeColor="text2"/>
                                      <w:sz w:val="22"/>
                                      <w:szCs w:val="22"/>
                                    </w:rPr>
                                    <w:t>per ml</w:t>
                                  </w:r>
                                  <w:r w:rsidRPr="009272D6">
                                    <w:rPr>
                                      <w:color w:val="1F497D" w:themeColor="text2"/>
                                      <w:sz w:val="22"/>
                                      <w:szCs w:val="22"/>
                                      <w:vertAlign w:val="superscript"/>
                                    </w:rPr>
                                    <w:t>3</w:t>
                                  </w:r>
                                  <w:r w:rsidRPr="009272D6">
                                    <w:rPr>
                                      <w:color w:val="1F497D" w:themeColor="text2"/>
                                      <w:sz w:val="22"/>
                                      <w:szCs w:val="22"/>
                                    </w:rPr>
                                    <w:t xml:space="preserve"> of blood and a detectable viral load (&gt;200 copies/ml)</w:t>
                                  </w:r>
                                </w:p>
                                <w:p w:rsidR="002E77F2" w:rsidRPr="009272D6" w:rsidRDefault="002E77F2" w:rsidP="00AA09F2">
                                  <w:pPr>
                                    <w:spacing w:before="0" w:after="0"/>
                                    <w:rPr>
                                      <w:iCs/>
                                      <w:color w:val="143F6A"/>
                                      <w:sz w:val="22"/>
                                      <w:szCs w:val="22"/>
                                    </w:rPr>
                                  </w:pPr>
                                  <w:r w:rsidRPr="009272D6">
                                    <w:rPr>
                                      <w:iCs/>
                                      <w:color w:val="143F6A"/>
                                      <w:sz w:val="22"/>
                                      <w:szCs w:val="22"/>
                                    </w:rPr>
                                    <w:t>Lack of comprehensive sexual education in schools</w:t>
                                  </w:r>
                                </w:p>
                              </w:tc>
                            </w:tr>
                            <w:tr w:rsidR="002E77F2" w:rsidRPr="009272D6" w:rsidTr="00AA09F2">
                              <w:tc>
                                <w:tcPr>
                                  <w:tcW w:w="4860" w:type="dxa"/>
                                  <w:hideMark/>
                                </w:tcPr>
                                <w:p w:rsidR="002E77F2" w:rsidRPr="009272D6" w:rsidRDefault="002E77F2" w:rsidP="00AA09F2">
                                  <w:pPr>
                                    <w:spacing w:before="120" w:after="0"/>
                                    <w:rPr>
                                      <w:iCs/>
                                      <w:color w:val="143F6A"/>
                                      <w:sz w:val="22"/>
                                      <w:szCs w:val="22"/>
                                    </w:rPr>
                                  </w:pPr>
                                  <w:r w:rsidRPr="009272D6">
                                    <w:rPr>
                                      <w:b/>
                                      <w:iCs/>
                                      <w:color w:val="143F6A"/>
                                      <w:sz w:val="22"/>
                                      <w:szCs w:val="22"/>
                                    </w:rPr>
                                    <w:t>Health Department Barriers</w:t>
                                  </w:r>
                                  <w:r w:rsidRPr="009272D6">
                                    <w:rPr>
                                      <w:iCs/>
                                      <w:color w:val="143F6A"/>
                                      <w:sz w:val="22"/>
                                      <w:szCs w:val="22"/>
                                    </w:rPr>
                                    <w:t xml:space="preserve"> </w:t>
                                  </w:r>
                                </w:p>
                                <w:p w:rsidR="002E77F2" w:rsidRPr="009272D6" w:rsidRDefault="002E77F2" w:rsidP="00AA09F2">
                                  <w:pPr>
                                    <w:spacing w:before="0" w:after="0"/>
                                    <w:rPr>
                                      <w:iCs/>
                                      <w:color w:val="143F6A"/>
                                      <w:sz w:val="22"/>
                                      <w:szCs w:val="22"/>
                                    </w:rPr>
                                  </w:pPr>
                                  <w:r w:rsidRPr="009272D6">
                                    <w:rPr>
                                      <w:iCs/>
                                      <w:color w:val="143F6A"/>
                                      <w:sz w:val="22"/>
                                      <w:szCs w:val="22"/>
                                    </w:rPr>
                                    <w:t>Lack of funding</w:t>
                                  </w:r>
                                </w:p>
                                <w:p w:rsidR="002E77F2" w:rsidRPr="009272D6" w:rsidRDefault="002E77F2" w:rsidP="00AA09F2">
                                  <w:pPr>
                                    <w:spacing w:before="0" w:after="0"/>
                                    <w:rPr>
                                      <w:iCs/>
                                      <w:color w:val="143F6A"/>
                                      <w:sz w:val="22"/>
                                      <w:szCs w:val="22"/>
                                    </w:rPr>
                                  </w:pPr>
                                  <w:r w:rsidRPr="009272D6">
                                    <w:rPr>
                                      <w:iCs/>
                                      <w:color w:val="143F6A"/>
                                      <w:sz w:val="22"/>
                                      <w:szCs w:val="22"/>
                                    </w:rPr>
                                    <w:t>Lack of personnel</w:t>
                                  </w:r>
                                </w:p>
                                <w:p w:rsidR="002E77F2" w:rsidRPr="009272D6" w:rsidRDefault="002E77F2" w:rsidP="00AA09F2">
                                  <w:pPr>
                                    <w:spacing w:before="0" w:after="0"/>
                                    <w:rPr>
                                      <w:iCs/>
                                      <w:color w:val="143F6A"/>
                                      <w:sz w:val="22"/>
                                      <w:szCs w:val="22"/>
                                    </w:rPr>
                                  </w:pPr>
                                  <w:r w:rsidRPr="009272D6">
                                    <w:rPr>
                                      <w:iCs/>
                                      <w:color w:val="143F6A"/>
                                      <w:sz w:val="22"/>
                                      <w:szCs w:val="22"/>
                                    </w:rPr>
                                    <w:t>Client mistrust of government</w:t>
                                  </w:r>
                                </w:p>
                                <w:p w:rsidR="002E77F2" w:rsidRPr="009272D6" w:rsidRDefault="002E77F2" w:rsidP="00AA09F2">
                                  <w:pPr>
                                    <w:spacing w:before="0" w:after="0"/>
                                    <w:rPr>
                                      <w:iCs/>
                                      <w:color w:val="143F6A"/>
                                      <w:sz w:val="22"/>
                                      <w:szCs w:val="22"/>
                                    </w:rPr>
                                  </w:pPr>
                                  <w:r w:rsidRPr="009272D6">
                                    <w:rPr>
                                      <w:iCs/>
                                      <w:color w:val="143F6A"/>
                                      <w:sz w:val="22"/>
                                      <w:szCs w:val="22"/>
                                    </w:rPr>
                                    <w:t>Lack of flexibility within bureaucratic structure</w:t>
                                  </w:r>
                                </w:p>
                                <w:p w:rsidR="002E77F2" w:rsidRPr="009272D6" w:rsidRDefault="002E77F2" w:rsidP="00AA09F2">
                                  <w:pPr>
                                    <w:spacing w:before="0" w:after="0"/>
                                    <w:rPr>
                                      <w:iCs/>
                                      <w:color w:val="143F6A"/>
                                      <w:sz w:val="22"/>
                                      <w:szCs w:val="22"/>
                                    </w:rPr>
                                  </w:pPr>
                                  <w:r w:rsidRPr="009272D6">
                                    <w:rPr>
                                      <w:iCs/>
                                      <w:color w:val="143F6A"/>
                                      <w:sz w:val="22"/>
                                      <w:szCs w:val="22"/>
                                    </w:rPr>
                                    <w:t>Length of time to implement changes</w:t>
                                  </w:r>
                                </w:p>
                                <w:p w:rsidR="002E77F2" w:rsidRPr="009272D6" w:rsidRDefault="002E77F2" w:rsidP="00AA09F2">
                                  <w:pPr>
                                    <w:spacing w:before="0" w:after="0"/>
                                    <w:rPr>
                                      <w:iCs/>
                                      <w:color w:val="143F6A"/>
                                      <w:sz w:val="22"/>
                                      <w:szCs w:val="22"/>
                                    </w:rPr>
                                  </w:pPr>
                                  <w:r w:rsidRPr="009272D6">
                                    <w:rPr>
                                      <w:iCs/>
                                      <w:color w:val="143F6A"/>
                                      <w:sz w:val="22"/>
                                      <w:szCs w:val="22"/>
                                    </w:rPr>
                                    <w:t>Difficulties using volunteers due to policies</w:t>
                                  </w:r>
                                </w:p>
                                <w:p w:rsidR="002E77F2" w:rsidRPr="009272D6" w:rsidRDefault="002E77F2" w:rsidP="00AA09F2">
                                  <w:pPr>
                                    <w:spacing w:before="0" w:after="0"/>
                                    <w:rPr>
                                      <w:iCs/>
                                      <w:color w:val="143F6A"/>
                                      <w:sz w:val="22"/>
                                      <w:szCs w:val="22"/>
                                    </w:rPr>
                                  </w:pPr>
                                  <w:r w:rsidRPr="009272D6">
                                    <w:rPr>
                                      <w:iCs/>
                                      <w:color w:val="143F6A"/>
                                      <w:sz w:val="22"/>
                                      <w:szCs w:val="22"/>
                                    </w:rPr>
                                    <w:t>Difficulties providing incentives to clients</w:t>
                                  </w:r>
                                </w:p>
                                <w:p w:rsidR="002E77F2" w:rsidRPr="009272D6" w:rsidRDefault="002E77F2" w:rsidP="00C61C71">
                                  <w:pPr>
                                    <w:spacing w:before="0" w:after="0"/>
                                    <w:rPr>
                                      <w:iCs/>
                                      <w:color w:val="143F6A"/>
                                      <w:sz w:val="22"/>
                                      <w:szCs w:val="22"/>
                                    </w:rPr>
                                  </w:pPr>
                                  <w:r w:rsidRPr="009272D6">
                                    <w:rPr>
                                      <w:iCs/>
                                      <w:color w:val="143F6A"/>
                                      <w:sz w:val="22"/>
                                      <w:szCs w:val="22"/>
                                    </w:rPr>
                                    <w:t>Lack of support for some programming due to political issues/public perception</w:t>
                                  </w:r>
                                </w:p>
                                <w:p w:rsidR="002E77F2" w:rsidRPr="009272D6" w:rsidRDefault="002E77F2" w:rsidP="00AA09F2">
                                  <w:pPr>
                                    <w:spacing w:before="0" w:after="0"/>
                                    <w:rPr>
                                      <w:iCs/>
                                      <w:color w:val="143F6A"/>
                                      <w:sz w:val="22"/>
                                      <w:szCs w:val="22"/>
                                    </w:rPr>
                                  </w:pPr>
                                  <w:r w:rsidRPr="009272D6">
                                    <w:rPr>
                                      <w:iCs/>
                                      <w:color w:val="143F6A"/>
                                      <w:sz w:val="22"/>
                                      <w:szCs w:val="22"/>
                                    </w:rPr>
                                    <w:t>Lack of Health Departments in many counties</w:t>
                                  </w:r>
                                </w:p>
                              </w:tc>
                              <w:tc>
                                <w:tcPr>
                                  <w:tcW w:w="4059" w:type="dxa"/>
                                  <w:hideMark/>
                                </w:tcPr>
                                <w:p w:rsidR="002E77F2" w:rsidRPr="009272D6" w:rsidRDefault="002E77F2" w:rsidP="00AA09F2">
                                  <w:pPr>
                                    <w:spacing w:before="120" w:after="0"/>
                                    <w:rPr>
                                      <w:b/>
                                      <w:iCs/>
                                      <w:color w:val="143F6A"/>
                                      <w:sz w:val="22"/>
                                      <w:szCs w:val="22"/>
                                    </w:rPr>
                                  </w:pPr>
                                  <w:r w:rsidRPr="009272D6">
                                    <w:rPr>
                                      <w:b/>
                                      <w:iCs/>
                                      <w:color w:val="143F6A"/>
                                      <w:sz w:val="22"/>
                                      <w:szCs w:val="22"/>
                                    </w:rPr>
                                    <w:t>Program Barriers</w:t>
                                  </w:r>
                                </w:p>
                                <w:p w:rsidR="002E77F2" w:rsidRPr="009272D6" w:rsidRDefault="002E77F2" w:rsidP="00AA09F2">
                                  <w:pPr>
                                    <w:spacing w:before="0" w:after="0"/>
                                    <w:rPr>
                                      <w:iCs/>
                                      <w:color w:val="143F6A"/>
                                      <w:sz w:val="22"/>
                                      <w:szCs w:val="22"/>
                                    </w:rPr>
                                  </w:pPr>
                                  <w:r w:rsidRPr="009272D6">
                                    <w:rPr>
                                      <w:iCs/>
                                      <w:color w:val="143F6A"/>
                                      <w:sz w:val="22"/>
                                      <w:szCs w:val="22"/>
                                    </w:rPr>
                                    <w:t>Complicated eligibility process</w:t>
                                  </w:r>
                                </w:p>
                                <w:p w:rsidR="002E77F2" w:rsidRPr="009272D6" w:rsidRDefault="002E77F2" w:rsidP="00AA09F2">
                                  <w:pPr>
                                    <w:spacing w:before="0" w:after="0"/>
                                    <w:rPr>
                                      <w:iCs/>
                                      <w:color w:val="143F6A"/>
                                      <w:sz w:val="22"/>
                                      <w:szCs w:val="22"/>
                                    </w:rPr>
                                  </w:pPr>
                                  <w:r w:rsidRPr="009272D6">
                                    <w:rPr>
                                      <w:iCs/>
                                      <w:color w:val="143F6A"/>
                                      <w:sz w:val="22"/>
                                      <w:szCs w:val="22"/>
                                    </w:rPr>
                                    <w:t>Decreases in funding</w:t>
                                  </w:r>
                                </w:p>
                                <w:p w:rsidR="002E77F2" w:rsidRPr="009272D6" w:rsidRDefault="002E77F2" w:rsidP="00AA09F2">
                                  <w:pPr>
                                    <w:spacing w:before="0" w:after="0"/>
                                    <w:rPr>
                                      <w:iCs/>
                                      <w:color w:val="143F6A"/>
                                      <w:sz w:val="22"/>
                                      <w:szCs w:val="22"/>
                                    </w:rPr>
                                  </w:pPr>
                                  <w:r w:rsidRPr="009272D6">
                                    <w:rPr>
                                      <w:iCs/>
                                      <w:color w:val="143F6A"/>
                                      <w:sz w:val="22"/>
                                      <w:szCs w:val="22"/>
                                    </w:rPr>
                                    <w:t>Restrictions on use of funding</w:t>
                                  </w:r>
                                </w:p>
                                <w:p w:rsidR="002E77F2" w:rsidRPr="009272D6" w:rsidRDefault="002E77F2" w:rsidP="00AA09F2">
                                  <w:pPr>
                                    <w:spacing w:before="0" w:after="0"/>
                                    <w:rPr>
                                      <w:iCs/>
                                      <w:color w:val="143F6A"/>
                                      <w:sz w:val="22"/>
                                      <w:szCs w:val="22"/>
                                    </w:rPr>
                                  </w:pPr>
                                  <w:r w:rsidRPr="009272D6">
                                    <w:rPr>
                                      <w:iCs/>
                                      <w:color w:val="143F6A"/>
                                      <w:sz w:val="22"/>
                                      <w:szCs w:val="22"/>
                                    </w:rPr>
                                    <w:t>Lack of support for some programming due to political issues/public perception</w:t>
                                  </w:r>
                                </w:p>
                                <w:p w:rsidR="002E77F2" w:rsidRPr="009272D6" w:rsidRDefault="002E77F2" w:rsidP="00C61C71">
                                  <w:pPr>
                                    <w:spacing w:before="0" w:after="0"/>
                                    <w:rPr>
                                      <w:iCs/>
                                      <w:color w:val="143F6A"/>
                                      <w:sz w:val="22"/>
                                      <w:szCs w:val="22"/>
                                    </w:rPr>
                                  </w:pPr>
                                  <w:r w:rsidRPr="009272D6">
                                    <w:rPr>
                                      <w:iCs/>
                                      <w:color w:val="143F6A"/>
                                      <w:sz w:val="22"/>
                                      <w:szCs w:val="22"/>
                                    </w:rPr>
                                    <w:t>Securing community buy-in when programmatic changes occur at the federal level</w:t>
                                  </w:r>
                                </w:p>
                              </w:tc>
                            </w:tr>
                            <w:tr w:rsidR="002E77F2" w:rsidRPr="009272D6" w:rsidTr="00AA09F2">
                              <w:tc>
                                <w:tcPr>
                                  <w:tcW w:w="4860" w:type="dxa"/>
                                </w:tcPr>
                                <w:p w:rsidR="002E77F2" w:rsidRPr="009272D6" w:rsidRDefault="002E77F2" w:rsidP="00AA09F2">
                                  <w:pPr>
                                    <w:spacing w:before="0" w:after="0"/>
                                    <w:rPr>
                                      <w:b/>
                                      <w:iCs/>
                                      <w:color w:val="143F6A"/>
                                      <w:sz w:val="22"/>
                                      <w:szCs w:val="22"/>
                                    </w:rPr>
                                  </w:pPr>
                                </w:p>
                                <w:p w:rsidR="002E77F2" w:rsidRPr="009272D6" w:rsidRDefault="002E77F2" w:rsidP="00AA09F2">
                                  <w:pPr>
                                    <w:spacing w:before="0" w:after="0"/>
                                    <w:rPr>
                                      <w:b/>
                                      <w:iCs/>
                                      <w:color w:val="143F6A"/>
                                      <w:sz w:val="22"/>
                                      <w:szCs w:val="22"/>
                                    </w:rPr>
                                  </w:pPr>
                                  <w:r w:rsidRPr="009272D6">
                                    <w:rPr>
                                      <w:b/>
                                      <w:iCs/>
                                      <w:color w:val="143F6A"/>
                                      <w:sz w:val="22"/>
                                      <w:szCs w:val="22"/>
                                    </w:rPr>
                                    <w:t>Service Provider Barriers</w:t>
                                  </w:r>
                                </w:p>
                                <w:p w:rsidR="002E77F2" w:rsidRPr="009272D6" w:rsidRDefault="002E77F2" w:rsidP="00AA09F2">
                                  <w:pPr>
                                    <w:spacing w:before="0" w:after="0"/>
                                    <w:rPr>
                                      <w:iCs/>
                                      <w:color w:val="143F6A"/>
                                      <w:sz w:val="22"/>
                                      <w:szCs w:val="22"/>
                                    </w:rPr>
                                  </w:pPr>
                                  <w:r w:rsidRPr="009272D6">
                                    <w:rPr>
                                      <w:iCs/>
                                      <w:color w:val="143F6A"/>
                                      <w:sz w:val="22"/>
                                      <w:szCs w:val="22"/>
                                    </w:rPr>
                                    <w:t>Lack of HIV providers</w:t>
                                  </w:r>
                                </w:p>
                                <w:p w:rsidR="002E77F2" w:rsidRPr="009272D6" w:rsidRDefault="002E77F2" w:rsidP="00AA09F2">
                                  <w:pPr>
                                    <w:spacing w:before="0" w:after="0"/>
                                    <w:rPr>
                                      <w:iCs/>
                                      <w:color w:val="143F6A"/>
                                      <w:sz w:val="22"/>
                                      <w:szCs w:val="22"/>
                                    </w:rPr>
                                  </w:pPr>
                                  <w:r w:rsidRPr="009272D6">
                                    <w:rPr>
                                      <w:iCs/>
                                      <w:color w:val="143F6A"/>
                                      <w:sz w:val="22"/>
                                      <w:szCs w:val="22"/>
                                    </w:rPr>
                                    <w:t>Lack of specialty care providers</w:t>
                                  </w:r>
                                </w:p>
                                <w:p w:rsidR="002E77F2" w:rsidRPr="009272D6" w:rsidRDefault="002E77F2" w:rsidP="00AA09F2">
                                  <w:pPr>
                                    <w:spacing w:before="0" w:after="0"/>
                                    <w:rPr>
                                      <w:iCs/>
                                      <w:color w:val="143F6A"/>
                                      <w:sz w:val="22"/>
                                      <w:szCs w:val="22"/>
                                    </w:rPr>
                                  </w:pPr>
                                  <w:r w:rsidRPr="009272D6">
                                    <w:rPr>
                                      <w:iCs/>
                                      <w:color w:val="143F6A"/>
                                      <w:sz w:val="22"/>
                                      <w:szCs w:val="22"/>
                                    </w:rPr>
                                    <w:t>Lack of mental health providers</w:t>
                                  </w:r>
                                </w:p>
                                <w:p w:rsidR="002E77F2" w:rsidRPr="009272D6" w:rsidRDefault="002E77F2" w:rsidP="00AA09F2">
                                  <w:pPr>
                                    <w:spacing w:before="0" w:after="0"/>
                                    <w:rPr>
                                      <w:iCs/>
                                      <w:color w:val="143F6A"/>
                                      <w:sz w:val="22"/>
                                      <w:szCs w:val="22"/>
                                    </w:rPr>
                                  </w:pPr>
                                  <w:r w:rsidRPr="009272D6">
                                    <w:rPr>
                                      <w:iCs/>
                                      <w:color w:val="143F6A"/>
                                      <w:sz w:val="22"/>
                                      <w:szCs w:val="22"/>
                                    </w:rPr>
                                    <w:t>Long wait times</w:t>
                                  </w:r>
                                </w:p>
                                <w:p w:rsidR="002E77F2" w:rsidRPr="009272D6" w:rsidRDefault="002E77F2" w:rsidP="00AA09F2">
                                  <w:pPr>
                                    <w:spacing w:before="0" w:after="0"/>
                                    <w:rPr>
                                      <w:iCs/>
                                      <w:color w:val="143F6A"/>
                                      <w:sz w:val="22"/>
                                      <w:szCs w:val="22"/>
                                    </w:rPr>
                                  </w:pPr>
                                  <w:r w:rsidRPr="009272D6">
                                    <w:rPr>
                                      <w:iCs/>
                                      <w:color w:val="143F6A"/>
                                      <w:sz w:val="22"/>
                                      <w:szCs w:val="22"/>
                                    </w:rPr>
                                    <w:t>Lack of case workers</w:t>
                                  </w:r>
                                </w:p>
                                <w:p w:rsidR="002E77F2" w:rsidRPr="009272D6" w:rsidRDefault="002E77F2" w:rsidP="00AA09F2">
                                  <w:pPr>
                                    <w:spacing w:before="0" w:after="0"/>
                                    <w:rPr>
                                      <w:iCs/>
                                      <w:color w:val="143F6A"/>
                                      <w:sz w:val="22"/>
                                      <w:szCs w:val="22"/>
                                    </w:rPr>
                                  </w:pPr>
                                  <w:r w:rsidRPr="009272D6">
                                    <w:rPr>
                                      <w:iCs/>
                                      <w:color w:val="143F6A"/>
                                      <w:sz w:val="22"/>
                                      <w:szCs w:val="22"/>
                                    </w:rPr>
                                    <w:t>Lack of culturally and linguistically appropriate services</w:t>
                                  </w:r>
                                </w:p>
                                <w:p w:rsidR="002E77F2" w:rsidRPr="009272D6" w:rsidRDefault="002E77F2" w:rsidP="00AA09F2">
                                  <w:pPr>
                                    <w:spacing w:before="0" w:after="0"/>
                                    <w:rPr>
                                      <w:b/>
                                      <w:iCs/>
                                      <w:color w:val="143F6A"/>
                                      <w:sz w:val="22"/>
                                      <w:szCs w:val="22"/>
                                    </w:rPr>
                                  </w:pPr>
                                  <w:r w:rsidRPr="009272D6">
                                    <w:rPr>
                                      <w:iCs/>
                                      <w:color w:val="143F6A"/>
                                      <w:sz w:val="22"/>
                                      <w:szCs w:val="22"/>
                                    </w:rPr>
                                    <w:t>Lack of one-stop shops for HIV services</w:t>
                                  </w:r>
                                </w:p>
                              </w:tc>
                              <w:tc>
                                <w:tcPr>
                                  <w:tcW w:w="4059" w:type="dxa"/>
                                </w:tcPr>
                                <w:p w:rsidR="002E77F2" w:rsidRPr="009272D6" w:rsidRDefault="002E77F2" w:rsidP="00AA09F2">
                                  <w:pPr>
                                    <w:spacing w:before="0" w:after="0"/>
                                    <w:rPr>
                                      <w:b/>
                                      <w:iCs/>
                                      <w:color w:val="143F6A"/>
                                      <w:sz w:val="22"/>
                                      <w:szCs w:val="22"/>
                                    </w:rPr>
                                  </w:pPr>
                                  <w:r w:rsidRPr="009272D6">
                                    <w:rPr>
                                      <w:b/>
                                      <w:iCs/>
                                      <w:color w:val="143F6A"/>
                                      <w:sz w:val="22"/>
                                      <w:szCs w:val="22"/>
                                    </w:rPr>
                                    <w:t>Client Barriers</w:t>
                                  </w:r>
                                </w:p>
                                <w:p w:rsidR="002E77F2" w:rsidRPr="009272D6" w:rsidRDefault="002E77F2" w:rsidP="00AA09F2">
                                  <w:pPr>
                                    <w:spacing w:before="0" w:after="0"/>
                                    <w:rPr>
                                      <w:iCs/>
                                      <w:color w:val="143F6A"/>
                                      <w:sz w:val="22"/>
                                      <w:szCs w:val="22"/>
                                    </w:rPr>
                                  </w:pPr>
                                  <w:r w:rsidRPr="009272D6">
                                    <w:rPr>
                                      <w:iCs/>
                                      <w:color w:val="143F6A"/>
                                      <w:sz w:val="22"/>
                                      <w:szCs w:val="22"/>
                                    </w:rPr>
                                    <w:t>Lack of housing</w:t>
                                  </w:r>
                                </w:p>
                                <w:p w:rsidR="002E77F2" w:rsidRPr="009272D6" w:rsidRDefault="002E77F2" w:rsidP="00AA09F2">
                                  <w:pPr>
                                    <w:spacing w:before="0" w:after="0"/>
                                    <w:rPr>
                                      <w:iCs/>
                                      <w:color w:val="143F6A"/>
                                      <w:sz w:val="22"/>
                                      <w:szCs w:val="22"/>
                                    </w:rPr>
                                  </w:pPr>
                                  <w:r w:rsidRPr="009272D6">
                                    <w:rPr>
                                      <w:iCs/>
                                      <w:color w:val="143F6A"/>
                                      <w:sz w:val="22"/>
                                      <w:szCs w:val="22"/>
                                    </w:rPr>
                                    <w:t>Lack of food/nutrition</w:t>
                                  </w:r>
                                </w:p>
                                <w:p w:rsidR="002E77F2" w:rsidRPr="009272D6" w:rsidRDefault="002E77F2" w:rsidP="00AA09F2">
                                  <w:pPr>
                                    <w:spacing w:before="0" w:after="0"/>
                                    <w:rPr>
                                      <w:iCs/>
                                      <w:color w:val="143F6A"/>
                                      <w:sz w:val="22"/>
                                      <w:szCs w:val="22"/>
                                    </w:rPr>
                                  </w:pPr>
                                  <w:r w:rsidRPr="009272D6">
                                    <w:rPr>
                                      <w:iCs/>
                                      <w:color w:val="143F6A"/>
                                      <w:sz w:val="22"/>
                                      <w:szCs w:val="22"/>
                                    </w:rPr>
                                    <w:t>Mental health and substance abuse issues</w:t>
                                  </w:r>
                                </w:p>
                                <w:p w:rsidR="002E77F2" w:rsidRPr="009272D6" w:rsidRDefault="002E77F2" w:rsidP="00AA09F2">
                                  <w:pPr>
                                    <w:spacing w:before="0" w:after="0"/>
                                    <w:rPr>
                                      <w:iCs/>
                                      <w:color w:val="143F6A"/>
                                      <w:sz w:val="22"/>
                                      <w:szCs w:val="22"/>
                                    </w:rPr>
                                  </w:pPr>
                                  <w:r w:rsidRPr="009272D6">
                                    <w:rPr>
                                      <w:iCs/>
                                      <w:color w:val="143F6A"/>
                                      <w:sz w:val="22"/>
                                      <w:szCs w:val="22"/>
                                    </w:rPr>
                                    <w:t>Denial about having HIV</w:t>
                                  </w:r>
                                </w:p>
                                <w:p w:rsidR="002E77F2" w:rsidRPr="009272D6" w:rsidRDefault="002E77F2" w:rsidP="00AA09F2">
                                  <w:pPr>
                                    <w:spacing w:before="0" w:after="0"/>
                                    <w:rPr>
                                      <w:iCs/>
                                      <w:color w:val="143F6A"/>
                                      <w:sz w:val="22"/>
                                      <w:szCs w:val="22"/>
                                    </w:rPr>
                                  </w:pPr>
                                  <w:r w:rsidRPr="009272D6">
                                    <w:rPr>
                                      <w:iCs/>
                                      <w:color w:val="143F6A"/>
                                      <w:sz w:val="22"/>
                                      <w:szCs w:val="22"/>
                                    </w:rPr>
                                    <w:t>Not feeling sick</w:t>
                                  </w:r>
                                </w:p>
                                <w:p w:rsidR="002E77F2" w:rsidRPr="009272D6" w:rsidRDefault="002E77F2" w:rsidP="00AA09F2">
                                  <w:pPr>
                                    <w:spacing w:before="0" w:after="0"/>
                                    <w:rPr>
                                      <w:iCs/>
                                      <w:color w:val="143F6A"/>
                                      <w:sz w:val="22"/>
                                      <w:szCs w:val="22"/>
                                    </w:rPr>
                                  </w:pPr>
                                  <w:r w:rsidRPr="009272D6">
                                    <w:rPr>
                                      <w:iCs/>
                                      <w:color w:val="143F6A"/>
                                      <w:sz w:val="22"/>
                                      <w:szCs w:val="22"/>
                                    </w:rPr>
                                    <w:t>Lack of transportation</w:t>
                                  </w:r>
                                </w:p>
                                <w:p w:rsidR="002E77F2" w:rsidRPr="009272D6" w:rsidRDefault="002E77F2" w:rsidP="00AA09F2">
                                  <w:pPr>
                                    <w:spacing w:before="0" w:after="0"/>
                                    <w:rPr>
                                      <w:iCs/>
                                      <w:color w:val="143F6A"/>
                                      <w:sz w:val="22"/>
                                      <w:szCs w:val="22"/>
                                    </w:rPr>
                                  </w:pPr>
                                  <w:r w:rsidRPr="009272D6">
                                    <w:rPr>
                                      <w:iCs/>
                                      <w:color w:val="143F6A"/>
                                      <w:sz w:val="22"/>
                                      <w:szCs w:val="22"/>
                                    </w:rPr>
                                    <w:t>Lack of knowledge of where to go for services</w:t>
                                  </w:r>
                                </w:p>
                                <w:p w:rsidR="002E77F2" w:rsidRPr="009272D6" w:rsidRDefault="002E77F2" w:rsidP="00AA09F2">
                                  <w:pPr>
                                    <w:spacing w:before="0" w:after="0"/>
                                    <w:rPr>
                                      <w:iCs/>
                                      <w:color w:val="143F6A"/>
                                      <w:sz w:val="22"/>
                                      <w:szCs w:val="22"/>
                                    </w:rPr>
                                  </w:pPr>
                                  <w:r w:rsidRPr="009272D6">
                                    <w:rPr>
                                      <w:iCs/>
                                      <w:color w:val="143F6A"/>
                                      <w:sz w:val="22"/>
                                      <w:szCs w:val="22"/>
                                    </w:rPr>
                                    <w:t>Burden of paperwork</w:t>
                                  </w:r>
                                </w:p>
                                <w:p w:rsidR="002E77F2" w:rsidRPr="009272D6" w:rsidRDefault="002E77F2" w:rsidP="00AA09F2">
                                  <w:pPr>
                                    <w:spacing w:before="0" w:after="0"/>
                                    <w:rPr>
                                      <w:iCs/>
                                      <w:color w:val="143F6A"/>
                                      <w:sz w:val="22"/>
                                      <w:szCs w:val="22"/>
                                    </w:rPr>
                                  </w:pPr>
                                  <w:r w:rsidRPr="009272D6">
                                    <w:rPr>
                                      <w:iCs/>
                                      <w:color w:val="143F6A"/>
                                      <w:sz w:val="22"/>
                                      <w:szCs w:val="22"/>
                                    </w:rPr>
                                    <w:t>Difficulty accessing medications</w:t>
                                  </w:r>
                                </w:p>
                                <w:p w:rsidR="002E77F2" w:rsidRPr="009272D6" w:rsidRDefault="002E77F2" w:rsidP="00AA09F2">
                                  <w:pPr>
                                    <w:spacing w:before="0" w:after="0"/>
                                    <w:rPr>
                                      <w:iCs/>
                                      <w:color w:val="143F6A"/>
                                      <w:sz w:val="22"/>
                                      <w:szCs w:val="22"/>
                                    </w:rPr>
                                  </w:pPr>
                                  <w:r w:rsidRPr="009272D6">
                                    <w:rPr>
                                      <w:iCs/>
                                      <w:color w:val="143F6A"/>
                                      <w:sz w:val="22"/>
                                      <w:szCs w:val="22"/>
                                    </w:rPr>
                                    <w:t>Cost of services</w:t>
                                  </w:r>
                                </w:p>
                                <w:p w:rsidR="002E77F2" w:rsidRPr="009272D6" w:rsidRDefault="002E77F2" w:rsidP="00AA09F2">
                                  <w:pPr>
                                    <w:spacing w:before="0" w:after="0"/>
                                    <w:rPr>
                                      <w:iCs/>
                                      <w:color w:val="143F6A"/>
                                      <w:sz w:val="22"/>
                                      <w:szCs w:val="22"/>
                                    </w:rPr>
                                  </w:pPr>
                                  <w:r w:rsidRPr="009272D6">
                                    <w:rPr>
                                      <w:iCs/>
                                      <w:color w:val="143F6A"/>
                                      <w:sz w:val="22"/>
                                      <w:szCs w:val="22"/>
                                    </w:rPr>
                                    <w:t>Services not covered by insurance</w:t>
                                  </w:r>
                                </w:p>
                                <w:p w:rsidR="002E77F2" w:rsidRPr="009272D6" w:rsidRDefault="002E77F2" w:rsidP="00AA09F2">
                                  <w:pPr>
                                    <w:spacing w:before="0" w:after="0"/>
                                    <w:rPr>
                                      <w:iCs/>
                                      <w:color w:val="143F6A"/>
                                      <w:sz w:val="22"/>
                                      <w:szCs w:val="22"/>
                                    </w:rPr>
                                  </w:pPr>
                                </w:p>
                                <w:p w:rsidR="002E77F2" w:rsidRPr="009272D6" w:rsidRDefault="002E77F2" w:rsidP="00AA09F2">
                                  <w:pPr>
                                    <w:spacing w:before="0" w:after="0"/>
                                    <w:rPr>
                                      <w:b/>
                                      <w:iCs/>
                                      <w:color w:val="143F6A"/>
                                      <w:sz w:val="22"/>
                                      <w:szCs w:val="22"/>
                                    </w:rPr>
                                  </w:pPr>
                                </w:p>
                              </w:tc>
                            </w:tr>
                          </w:tbl>
                          <w:p w:rsidR="002E77F2" w:rsidRDefault="002E77F2" w:rsidP="00CE29AC">
                            <w:pPr>
                              <w:spacing w:after="0"/>
                              <w:rPr>
                                <w:iCs/>
                                <w:color w:val="143F6A"/>
                              </w:rPr>
                            </w:pPr>
                          </w:p>
                        </w:txbxContent>
                      </wps:txbx>
                      <wps:bodyPr rot="0" vert="horz" wrap="square" lIns="91440" tIns="45720" rIns="91440" bIns="45720" anchor="t" anchorCtr="0" upright="1">
                        <a:noAutofit/>
                      </wps:bodyPr>
                    </wps:wsp>
                  </a:graphicData>
                </a:graphic>
              </wp:inline>
            </w:drawing>
          </mc:Choice>
          <mc:Fallback>
            <w:pict>
              <v:roundrect w14:anchorId="49410C02" id="Rounded Rectangle 53" o:spid="_x0000_s1038" style="width:580.55pt;height:466.6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MBRQIAAGQEAAAOAAAAZHJzL2Uyb0RvYy54bWysVNuO0zAQfUfiHyy/0yS9b9V0VXW1CGmB&#10;1S58gGs7TcDxmLHbdPl6xk7bLfCG6IOVmbGP55wz7vL22Bp20OgbsCUvBjln2kpQjd2V/OuX+3dz&#10;znwQVgkDVpf8RXt+u3r7Ztm5hR5CDUZpZARi/aJzJa9DcIss87LWrfADcNpSsQJsRaAQd5lC0RF6&#10;a7Jhnk+zDlA5BKm9p+xdX+SrhF9VWobPVeV1YKbk1FtIK6Z1G9dstRSLHQpXN/LUhviHLlrRWLr0&#10;AnUngmB7bP6CahuJ4KEKAwltBlXVSJ04EJsi/4PNcy2cTlxIHO8uMvn/Bys/HR6RNarkkxFnVrTk&#10;0RPsrdKKPZF6wu6MZlQjoTrnF7T/2T1ipOrdA8jvnlnY1LRNrxGhq7VQ1F4R92e/HYiBp6Ns230E&#10;RdeIfYCk2bHCliGQN5NxHn8pS9qwYzLq5WKUPgYmKTkbzYbTGfkpqTa5GU7z+TDdKBYRLHbn0If3&#10;GloWP0qOkVMklLDF4cGHZJc6cRbqG2dVa8j8gzCsGOWjM+Jpc/aKmdiDadR9Y0wKcLfdGGR0tOTj&#10;9XS63qR7zL4lrn2appWYpXmjNE1ln56f04TvexhSjr6v8Yk3NXyWNKrYuxGO22Myr0jNRom3oF5I&#10;5CQnCURPk9jXgD8562jMS+5/7AVqzswHS0bdFONxfBcpGE9mQwrwurK9rggrCarkgbP+cxP6t7R3&#10;2OxquqlIvC2sydyqubTcd3UaCRrlRPH07OJbuY7Trtc/h9UvAAAA//8DAFBLAwQUAAYACAAAACEA&#10;pkmAMd0AAAAGAQAADwAAAGRycy9kb3ducmV2LnhtbEyPS0/DMBCE75X4D9ZW4tY6D1pBGqdCvI4g&#10;SlVxdONtEjVep7Gbhn/PwgUuI61mNPNtvh5tKwbsfeNIQTyPQCCVzjRUKdh+PM9uQfigyejWESr4&#10;Qg/r4mqS68y4C73jsAmV4BLymVZQh9BlUvqyRqv93HVI7B1cb3Xgs6+k6fWFy20rkyhaSqsb4oVa&#10;d/hQY3ncnK2Cw+JkPtOXxxvX7Z6Op9dkcIvkTanr6Xi/AhFwDH9h+MFndCiYae/OZLxoFfAj4VfZ&#10;u0vTBMSeQ/EyjkEWufyPX3wDAAD//wMAUEsBAi0AFAAGAAgAAAAhALaDOJL+AAAA4QEAABMAAAAA&#10;AAAAAAAAAAAAAAAAAFtDb250ZW50X1R5cGVzXS54bWxQSwECLQAUAAYACAAAACEAOP0h/9YAAACU&#10;AQAACwAAAAAAAAAAAAAAAAAvAQAAX3JlbHMvLnJlbHNQSwECLQAUAAYACAAAACEASzmDAUUCAABk&#10;BAAADgAAAAAAAAAAAAAAAAAuAgAAZHJzL2Uyb0RvYy54bWxQSwECLQAUAAYACAAAACEApkmAMd0A&#10;AAAGAQAADwAAAAAAAAAAAAAAAACfBAAAZHJzL2Rvd25yZXYueG1sUEsFBgAAAAAEAAQA8wAAAKkF&#10;AAAAAA==&#10;" fillcolor="#dae0ef" stroked="f">
                <v:textbox>
                  <w:txbxContent>
                    <w:p w:rsidR="002E77F2" w:rsidRPr="009272D6" w:rsidRDefault="002E77F2" w:rsidP="00CE29AC">
                      <w:pPr>
                        <w:spacing w:before="0" w:after="0"/>
                        <w:jc w:val="center"/>
                        <w:rPr>
                          <w:b/>
                          <w:iCs/>
                          <w:color w:val="374C80"/>
                          <w:sz w:val="22"/>
                          <w:szCs w:val="22"/>
                        </w:rPr>
                      </w:pPr>
                      <w:r w:rsidRPr="009272D6">
                        <w:rPr>
                          <w:b/>
                          <w:iCs/>
                          <w:color w:val="374C80"/>
                          <w:sz w:val="22"/>
                          <w:szCs w:val="22"/>
                        </w:rPr>
                        <w:t>Barriers to HIV Prevention and Care Services</w:t>
                      </w:r>
                    </w:p>
                    <w:tbl>
                      <w:tblPr>
                        <w:tblW w:w="0" w:type="auto"/>
                        <w:tblLook w:val="04A0" w:firstRow="1" w:lastRow="0" w:firstColumn="1" w:lastColumn="0" w:noHBand="0" w:noVBand="1"/>
                      </w:tblPr>
                      <w:tblGrid>
                        <w:gridCol w:w="4603"/>
                        <w:gridCol w:w="3873"/>
                      </w:tblGrid>
                      <w:tr w:rsidR="002E77F2" w:rsidRPr="009272D6" w:rsidTr="00AA09F2">
                        <w:tc>
                          <w:tcPr>
                            <w:tcW w:w="4860" w:type="dxa"/>
                            <w:hideMark/>
                          </w:tcPr>
                          <w:p w:rsidR="002E77F2" w:rsidRPr="009272D6" w:rsidRDefault="002E77F2" w:rsidP="00AA09F2">
                            <w:pPr>
                              <w:spacing w:before="120" w:after="0"/>
                              <w:rPr>
                                <w:b/>
                                <w:iCs/>
                                <w:color w:val="143F6A"/>
                                <w:sz w:val="22"/>
                                <w:szCs w:val="22"/>
                              </w:rPr>
                            </w:pPr>
                            <w:r w:rsidRPr="009272D6">
                              <w:rPr>
                                <w:b/>
                                <w:iCs/>
                                <w:color w:val="143F6A"/>
                                <w:sz w:val="22"/>
                                <w:szCs w:val="22"/>
                              </w:rPr>
                              <w:t>Structural and Social Barriers</w:t>
                            </w:r>
                          </w:p>
                          <w:p w:rsidR="002E77F2" w:rsidRPr="009272D6" w:rsidRDefault="002E77F2" w:rsidP="00AA09F2">
                            <w:pPr>
                              <w:spacing w:before="0" w:after="0"/>
                              <w:rPr>
                                <w:iCs/>
                                <w:color w:val="143F6A"/>
                                <w:sz w:val="22"/>
                                <w:szCs w:val="22"/>
                              </w:rPr>
                            </w:pPr>
                            <w:r w:rsidRPr="009272D6">
                              <w:rPr>
                                <w:iCs/>
                                <w:color w:val="143F6A"/>
                                <w:sz w:val="22"/>
                                <w:szCs w:val="22"/>
                              </w:rPr>
                              <w:t>Stigma related to HIV</w:t>
                            </w:r>
                          </w:p>
                          <w:p w:rsidR="002E77F2" w:rsidRPr="009272D6" w:rsidRDefault="002E77F2" w:rsidP="00AA09F2">
                            <w:pPr>
                              <w:spacing w:before="0" w:after="0"/>
                              <w:rPr>
                                <w:iCs/>
                                <w:color w:val="143F6A"/>
                                <w:sz w:val="22"/>
                                <w:szCs w:val="22"/>
                              </w:rPr>
                            </w:pPr>
                            <w:r w:rsidRPr="009272D6">
                              <w:rPr>
                                <w:iCs/>
                                <w:color w:val="143F6A"/>
                                <w:sz w:val="22"/>
                                <w:szCs w:val="22"/>
                              </w:rPr>
                              <w:t>Fear of people knowing they have HIV</w:t>
                            </w:r>
                          </w:p>
                          <w:p w:rsidR="002E77F2" w:rsidRPr="009272D6" w:rsidRDefault="002E77F2" w:rsidP="00AA09F2">
                            <w:pPr>
                              <w:spacing w:before="0" w:after="0"/>
                              <w:rPr>
                                <w:iCs/>
                                <w:color w:val="143F6A"/>
                                <w:sz w:val="22"/>
                                <w:szCs w:val="22"/>
                              </w:rPr>
                            </w:pPr>
                            <w:r w:rsidRPr="009272D6">
                              <w:rPr>
                                <w:iCs/>
                                <w:color w:val="143F6A"/>
                                <w:sz w:val="22"/>
                                <w:szCs w:val="22"/>
                              </w:rPr>
                              <w:t>Sprawl of Las Vegas TGA/distance between services</w:t>
                            </w:r>
                          </w:p>
                          <w:p w:rsidR="002E77F2" w:rsidRPr="009272D6" w:rsidRDefault="002E77F2" w:rsidP="00AA09F2">
                            <w:pPr>
                              <w:spacing w:before="0" w:after="0"/>
                              <w:rPr>
                                <w:iCs/>
                                <w:color w:val="143F6A"/>
                                <w:sz w:val="22"/>
                                <w:szCs w:val="22"/>
                              </w:rPr>
                            </w:pPr>
                            <w:r w:rsidRPr="009272D6">
                              <w:rPr>
                                <w:iCs/>
                                <w:color w:val="143F6A"/>
                                <w:sz w:val="22"/>
                                <w:szCs w:val="22"/>
                              </w:rPr>
                              <w:t>Transiency</w:t>
                            </w:r>
                          </w:p>
                        </w:tc>
                        <w:tc>
                          <w:tcPr>
                            <w:tcW w:w="4059" w:type="dxa"/>
                            <w:hideMark/>
                          </w:tcPr>
                          <w:p w:rsidR="002E77F2" w:rsidRPr="009272D6" w:rsidRDefault="002E77F2" w:rsidP="00AA09F2">
                            <w:pPr>
                              <w:spacing w:before="120" w:after="0"/>
                              <w:rPr>
                                <w:b/>
                                <w:iCs/>
                                <w:color w:val="143F6A"/>
                                <w:sz w:val="22"/>
                                <w:szCs w:val="22"/>
                              </w:rPr>
                            </w:pPr>
                            <w:r w:rsidRPr="009272D6">
                              <w:rPr>
                                <w:b/>
                                <w:iCs/>
                                <w:color w:val="143F6A"/>
                                <w:sz w:val="22"/>
                                <w:szCs w:val="22"/>
                              </w:rPr>
                              <w:t>Legislative and Policy Barriers</w:t>
                            </w:r>
                          </w:p>
                          <w:p w:rsidR="002E77F2" w:rsidRPr="009272D6" w:rsidRDefault="002E77F2" w:rsidP="00280D56">
                            <w:pPr>
                              <w:spacing w:before="0" w:after="0"/>
                              <w:rPr>
                                <w:iCs/>
                                <w:color w:val="143F6A"/>
                                <w:sz w:val="22"/>
                                <w:szCs w:val="22"/>
                              </w:rPr>
                            </w:pPr>
                            <w:r w:rsidRPr="009272D6">
                              <w:rPr>
                                <w:iCs/>
                                <w:color w:val="143F6A"/>
                                <w:sz w:val="22"/>
                                <w:szCs w:val="22"/>
                              </w:rPr>
                              <w:t xml:space="preserve">No requirement to report CD4 values with </w:t>
                            </w:r>
                            <w:r w:rsidRPr="009272D6">
                              <w:rPr>
                                <w:iCs/>
                                <w:color w:val="1F497D" w:themeColor="text2"/>
                                <w:sz w:val="22"/>
                                <w:szCs w:val="22"/>
                              </w:rPr>
                              <w:t xml:space="preserve">counts below 500 </w:t>
                            </w:r>
                            <w:r w:rsidRPr="009272D6">
                              <w:rPr>
                                <w:color w:val="1F497D" w:themeColor="text2"/>
                                <w:sz w:val="22"/>
                                <w:szCs w:val="22"/>
                              </w:rPr>
                              <w:t>per ml</w:t>
                            </w:r>
                            <w:r w:rsidRPr="009272D6">
                              <w:rPr>
                                <w:color w:val="1F497D" w:themeColor="text2"/>
                                <w:sz w:val="22"/>
                                <w:szCs w:val="22"/>
                                <w:vertAlign w:val="superscript"/>
                              </w:rPr>
                              <w:t>3</w:t>
                            </w:r>
                            <w:r w:rsidRPr="009272D6">
                              <w:rPr>
                                <w:color w:val="1F497D" w:themeColor="text2"/>
                                <w:sz w:val="22"/>
                                <w:szCs w:val="22"/>
                              </w:rPr>
                              <w:t xml:space="preserve"> of blood and a detectable viral load (&gt;200 copies/ml)</w:t>
                            </w:r>
                          </w:p>
                          <w:p w:rsidR="002E77F2" w:rsidRPr="009272D6" w:rsidRDefault="002E77F2" w:rsidP="00AA09F2">
                            <w:pPr>
                              <w:spacing w:before="0" w:after="0"/>
                              <w:rPr>
                                <w:iCs/>
                                <w:color w:val="143F6A"/>
                                <w:sz w:val="22"/>
                                <w:szCs w:val="22"/>
                              </w:rPr>
                            </w:pPr>
                            <w:r w:rsidRPr="009272D6">
                              <w:rPr>
                                <w:iCs/>
                                <w:color w:val="143F6A"/>
                                <w:sz w:val="22"/>
                                <w:szCs w:val="22"/>
                              </w:rPr>
                              <w:t>Lack of comprehensive sexual education in schools</w:t>
                            </w:r>
                          </w:p>
                        </w:tc>
                      </w:tr>
                      <w:tr w:rsidR="002E77F2" w:rsidRPr="009272D6" w:rsidTr="00AA09F2">
                        <w:tc>
                          <w:tcPr>
                            <w:tcW w:w="4860" w:type="dxa"/>
                            <w:hideMark/>
                          </w:tcPr>
                          <w:p w:rsidR="002E77F2" w:rsidRPr="009272D6" w:rsidRDefault="002E77F2" w:rsidP="00AA09F2">
                            <w:pPr>
                              <w:spacing w:before="120" w:after="0"/>
                              <w:rPr>
                                <w:iCs/>
                                <w:color w:val="143F6A"/>
                                <w:sz w:val="22"/>
                                <w:szCs w:val="22"/>
                              </w:rPr>
                            </w:pPr>
                            <w:r w:rsidRPr="009272D6">
                              <w:rPr>
                                <w:b/>
                                <w:iCs/>
                                <w:color w:val="143F6A"/>
                                <w:sz w:val="22"/>
                                <w:szCs w:val="22"/>
                              </w:rPr>
                              <w:t>Health Department Barriers</w:t>
                            </w:r>
                            <w:r w:rsidRPr="009272D6">
                              <w:rPr>
                                <w:iCs/>
                                <w:color w:val="143F6A"/>
                                <w:sz w:val="22"/>
                                <w:szCs w:val="22"/>
                              </w:rPr>
                              <w:t xml:space="preserve"> </w:t>
                            </w:r>
                          </w:p>
                          <w:p w:rsidR="002E77F2" w:rsidRPr="009272D6" w:rsidRDefault="002E77F2" w:rsidP="00AA09F2">
                            <w:pPr>
                              <w:spacing w:before="0" w:after="0"/>
                              <w:rPr>
                                <w:iCs/>
                                <w:color w:val="143F6A"/>
                                <w:sz w:val="22"/>
                                <w:szCs w:val="22"/>
                              </w:rPr>
                            </w:pPr>
                            <w:r w:rsidRPr="009272D6">
                              <w:rPr>
                                <w:iCs/>
                                <w:color w:val="143F6A"/>
                                <w:sz w:val="22"/>
                                <w:szCs w:val="22"/>
                              </w:rPr>
                              <w:t>Lack of funding</w:t>
                            </w:r>
                          </w:p>
                          <w:p w:rsidR="002E77F2" w:rsidRPr="009272D6" w:rsidRDefault="002E77F2" w:rsidP="00AA09F2">
                            <w:pPr>
                              <w:spacing w:before="0" w:after="0"/>
                              <w:rPr>
                                <w:iCs/>
                                <w:color w:val="143F6A"/>
                                <w:sz w:val="22"/>
                                <w:szCs w:val="22"/>
                              </w:rPr>
                            </w:pPr>
                            <w:r w:rsidRPr="009272D6">
                              <w:rPr>
                                <w:iCs/>
                                <w:color w:val="143F6A"/>
                                <w:sz w:val="22"/>
                                <w:szCs w:val="22"/>
                              </w:rPr>
                              <w:t>Lack of personnel</w:t>
                            </w:r>
                          </w:p>
                          <w:p w:rsidR="002E77F2" w:rsidRPr="009272D6" w:rsidRDefault="002E77F2" w:rsidP="00AA09F2">
                            <w:pPr>
                              <w:spacing w:before="0" w:after="0"/>
                              <w:rPr>
                                <w:iCs/>
                                <w:color w:val="143F6A"/>
                                <w:sz w:val="22"/>
                                <w:szCs w:val="22"/>
                              </w:rPr>
                            </w:pPr>
                            <w:r w:rsidRPr="009272D6">
                              <w:rPr>
                                <w:iCs/>
                                <w:color w:val="143F6A"/>
                                <w:sz w:val="22"/>
                                <w:szCs w:val="22"/>
                              </w:rPr>
                              <w:t>Client mistrust of government</w:t>
                            </w:r>
                          </w:p>
                          <w:p w:rsidR="002E77F2" w:rsidRPr="009272D6" w:rsidRDefault="002E77F2" w:rsidP="00AA09F2">
                            <w:pPr>
                              <w:spacing w:before="0" w:after="0"/>
                              <w:rPr>
                                <w:iCs/>
                                <w:color w:val="143F6A"/>
                                <w:sz w:val="22"/>
                                <w:szCs w:val="22"/>
                              </w:rPr>
                            </w:pPr>
                            <w:r w:rsidRPr="009272D6">
                              <w:rPr>
                                <w:iCs/>
                                <w:color w:val="143F6A"/>
                                <w:sz w:val="22"/>
                                <w:szCs w:val="22"/>
                              </w:rPr>
                              <w:t>Lack of flexibility within bureaucratic structure</w:t>
                            </w:r>
                          </w:p>
                          <w:p w:rsidR="002E77F2" w:rsidRPr="009272D6" w:rsidRDefault="002E77F2" w:rsidP="00AA09F2">
                            <w:pPr>
                              <w:spacing w:before="0" w:after="0"/>
                              <w:rPr>
                                <w:iCs/>
                                <w:color w:val="143F6A"/>
                                <w:sz w:val="22"/>
                                <w:szCs w:val="22"/>
                              </w:rPr>
                            </w:pPr>
                            <w:r w:rsidRPr="009272D6">
                              <w:rPr>
                                <w:iCs/>
                                <w:color w:val="143F6A"/>
                                <w:sz w:val="22"/>
                                <w:szCs w:val="22"/>
                              </w:rPr>
                              <w:t>Length of time to implement changes</w:t>
                            </w:r>
                          </w:p>
                          <w:p w:rsidR="002E77F2" w:rsidRPr="009272D6" w:rsidRDefault="002E77F2" w:rsidP="00AA09F2">
                            <w:pPr>
                              <w:spacing w:before="0" w:after="0"/>
                              <w:rPr>
                                <w:iCs/>
                                <w:color w:val="143F6A"/>
                                <w:sz w:val="22"/>
                                <w:szCs w:val="22"/>
                              </w:rPr>
                            </w:pPr>
                            <w:r w:rsidRPr="009272D6">
                              <w:rPr>
                                <w:iCs/>
                                <w:color w:val="143F6A"/>
                                <w:sz w:val="22"/>
                                <w:szCs w:val="22"/>
                              </w:rPr>
                              <w:t>Difficulties using volunteers due to policies</w:t>
                            </w:r>
                          </w:p>
                          <w:p w:rsidR="002E77F2" w:rsidRPr="009272D6" w:rsidRDefault="002E77F2" w:rsidP="00AA09F2">
                            <w:pPr>
                              <w:spacing w:before="0" w:after="0"/>
                              <w:rPr>
                                <w:iCs/>
                                <w:color w:val="143F6A"/>
                                <w:sz w:val="22"/>
                                <w:szCs w:val="22"/>
                              </w:rPr>
                            </w:pPr>
                            <w:r w:rsidRPr="009272D6">
                              <w:rPr>
                                <w:iCs/>
                                <w:color w:val="143F6A"/>
                                <w:sz w:val="22"/>
                                <w:szCs w:val="22"/>
                              </w:rPr>
                              <w:t>Difficulties providing incentives to clients</w:t>
                            </w:r>
                          </w:p>
                          <w:p w:rsidR="002E77F2" w:rsidRPr="009272D6" w:rsidRDefault="002E77F2" w:rsidP="00C61C71">
                            <w:pPr>
                              <w:spacing w:before="0" w:after="0"/>
                              <w:rPr>
                                <w:iCs/>
                                <w:color w:val="143F6A"/>
                                <w:sz w:val="22"/>
                                <w:szCs w:val="22"/>
                              </w:rPr>
                            </w:pPr>
                            <w:r w:rsidRPr="009272D6">
                              <w:rPr>
                                <w:iCs/>
                                <w:color w:val="143F6A"/>
                                <w:sz w:val="22"/>
                                <w:szCs w:val="22"/>
                              </w:rPr>
                              <w:t>Lack of support for some programming due to political issues/public perception</w:t>
                            </w:r>
                          </w:p>
                          <w:p w:rsidR="002E77F2" w:rsidRPr="009272D6" w:rsidRDefault="002E77F2" w:rsidP="00AA09F2">
                            <w:pPr>
                              <w:spacing w:before="0" w:after="0"/>
                              <w:rPr>
                                <w:iCs/>
                                <w:color w:val="143F6A"/>
                                <w:sz w:val="22"/>
                                <w:szCs w:val="22"/>
                              </w:rPr>
                            </w:pPr>
                            <w:r w:rsidRPr="009272D6">
                              <w:rPr>
                                <w:iCs/>
                                <w:color w:val="143F6A"/>
                                <w:sz w:val="22"/>
                                <w:szCs w:val="22"/>
                              </w:rPr>
                              <w:t>Lack of Health Departments in many counties</w:t>
                            </w:r>
                          </w:p>
                        </w:tc>
                        <w:tc>
                          <w:tcPr>
                            <w:tcW w:w="4059" w:type="dxa"/>
                            <w:hideMark/>
                          </w:tcPr>
                          <w:p w:rsidR="002E77F2" w:rsidRPr="009272D6" w:rsidRDefault="002E77F2" w:rsidP="00AA09F2">
                            <w:pPr>
                              <w:spacing w:before="120" w:after="0"/>
                              <w:rPr>
                                <w:b/>
                                <w:iCs/>
                                <w:color w:val="143F6A"/>
                                <w:sz w:val="22"/>
                                <w:szCs w:val="22"/>
                              </w:rPr>
                            </w:pPr>
                            <w:r w:rsidRPr="009272D6">
                              <w:rPr>
                                <w:b/>
                                <w:iCs/>
                                <w:color w:val="143F6A"/>
                                <w:sz w:val="22"/>
                                <w:szCs w:val="22"/>
                              </w:rPr>
                              <w:t>Program Barriers</w:t>
                            </w:r>
                          </w:p>
                          <w:p w:rsidR="002E77F2" w:rsidRPr="009272D6" w:rsidRDefault="002E77F2" w:rsidP="00AA09F2">
                            <w:pPr>
                              <w:spacing w:before="0" w:after="0"/>
                              <w:rPr>
                                <w:iCs/>
                                <w:color w:val="143F6A"/>
                                <w:sz w:val="22"/>
                                <w:szCs w:val="22"/>
                              </w:rPr>
                            </w:pPr>
                            <w:r w:rsidRPr="009272D6">
                              <w:rPr>
                                <w:iCs/>
                                <w:color w:val="143F6A"/>
                                <w:sz w:val="22"/>
                                <w:szCs w:val="22"/>
                              </w:rPr>
                              <w:t>Complicated eligibility process</w:t>
                            </w:r>
                          </w:p>
                          <w:p w:rsidR="002E77F2" w:rsidRPr="009272D6" w:rsidRDefault="002E77F2" w:rsidP="00AA09F2">
                            <w:pPr>
                              <w:spacing w:before="0" w:after="0"/>
                              <w:rPr>
                                <w:iCs/>
                                <w:color w:val="143F6A"/>
                                <w:sz w:val="22"/>
                                <w:szCs w:val="22"/>
                              </w:rPr>
                            </w:pPr>
                            <w:r w:rsidRPr="009272D6">
                              <w:rPr>
                                <w:iCs/>
                                <w:color w:val="143F6A"/>
                                <w:sz w:val="22"/>
                                <w:szCs w:val="22"/>
                              </w:rPr>
                              <w:t>Decreases in funding</w:t>
                            </w:r>
                          </w:p>
                          <w:p w:rsidR="002E77F2" w:rsidRPr="009272D6" w:rsidRDefault="002E77F2" w:rsidP="00AA09F2">
                            <w:pPr>
                              <w:spacing w:before="0" w:after="0"/>
                              <w:rPr>
                                <w:iCs/>
                                <w:color w:val="143F6A"/>
                                <w:sz w:val="22"/>
                                <w:szCs w:val="22"/>
                              </w:rPr>
                            </w:pPr>
                            <w:r w:rsidRPr="009272D6">
                              <w:rPr>
                                <w:iCs/>
                                <w:color w:val="143F6A"/>
                                <w:sz w:val="22"/>
                                <w:szCs w:val="22"/>
                              </w:rPr>
                              <w:t>Restrictions on use of funding</w:t>
                            </w:r>
                          </w:p>
                          <w:p w:rsidR="002E77F2" w:rsidRPr="009272D6" w:rsidRDefault="002E77F2" w:rsidP="00AA09F2">
                            <w:pPr>
                              <w:spacing w:before="0" w:after="0"/>
                              <w:rPr>
                                <w:iCs/>
                                <w:color w:val="143F6A"/>
                                <w:sz w:val="22"/>
                                <w:szCs w:val="22"/>
                              </w:rPr>
                            </w:pPr>
                            <w:r w:rsidRPr="009272D6">
                              <w:rPr>
                                <w:iCs/>
                                <w:color w:val="143F6A"/>
                                <w:sz w:val="22"/>
                                <w:szCs w:val="22"/>
                              </w:rPr>
                              <w:t>Lack of support for some programming due to political issues/public perception</w:t>
                            </w:r>
                          </w:p>
                          <w:p w:rsidR="002E77F2" w:rsidRPr="009272D6" w:rsidRDefault="002E77F2" w:rsidP="00C61C71">
                            <w:pPr>
                              <w:spacing w:before="0" w:after="0"/>
                              <w:rPr>
                                <w:iCs/>
                                <w:color w:val="143F6A"/>
                                <w:sz w:val="22"/>
                                <w:szCs w:val="22"/>
                              </w:rPr>
                            </w:pPr>
                            <w:r w:rsidRPr="009272D6">
                              <w:rPr>
                                <w:iCs/>
                                <w:color w:val="143F6A"/>
                                <w:sz w:val="22"/>
                                <w:szCs w:val="22"/>
                              </w:rPr>
                              <w:t>Securing community buy-in when programmatic changes occur at the federal level</w:t>
                            </w:r>
                          </w:p>
                        </w:tc>
                      </w:tr>
                      <w:tr w:rsidR="002E77F2" w:rsidRPr="009272D6" w:rsidTr="00AA09F2">
                        <w:tc>
                          <w:tcPr>
                            <w:tcW w:w="4860" w:type="dxa"/>
                          </w:tcPr>
                          <w:p w:rsidR="002E77F2" w:rsidRPr="009272D6" w:rsidRDefault="002E77F2" w:rsidP="00AA09F2">
                            <w:pPr>
                              <w:spacing w:before="0" w:after="0"/>
                              <w:rPr>
                                <w:b/>
                                <w:iCs/>
                                <w:color w:val="143F6A"/>
                                <w:sz w:val="22"/>
                                <w:szCs w:val="22"/>
                              </w:rPr>
                            </w:pPr>
                          </w:p>
                          <w:p w:rsidR="002E77F2" w:rsidRPr="009272D6" w:rsidRDefault="002E77F2" w:rsidP="00AA09F2">
                            <w:pPr>
                              <w:spacing w:before="0" w:after="0"/>
                              <w:rPr>
                                <w:b/>
                                <w:iCs/>
                                <w:color w:val="143F6A"/>
                                <w:sz w:val="22"/>
                                <w:szCs w:val="22"/>
                              </w:rPr>
                            </w:pPr>
                            <w:r w:rsidRPr="009272D6">
                              <w:rPr>
                                <w:b/>
                                <w:iCs/>
                                <w:color w:val="143F6A"/>
                                <w:sz w:val="22"/>
                                <w:szCs w:val="22"/>
                              </w:rPr>
                              <w:t>Service Provider Barriers</w:t>
                            </w:r>
                          </w:p>
                          <w:p w:rsidR="002E77F2" w:rsidRPr="009272D6" w:rsidRDefault="002E77F2" w:rsidP="00AA09F2">
                            <w:pPr>
                              <w:spacing w:before="0" w:after="0"/>
                              <w:rPr>
                                <w:iCs/>
                                <w:color w:val="143F6A"/>
                                <w:sz w:val="22"/>
                                <w:szCs w:val="22"/>
                              </w:rPr>
                            </w:pPr>
                            <w:r w:rsidRPr="009272D6">
                              <w:rPr>
                                <w:iCs/>
                                <w:color w:val="143F6A"/>
                                <w:sz w:val="22"/>
                                <w:szCs w:val="22"/>
                              </w:rPr>
                              <w:t>Lack of HIV providers</w:t>
                            </w:r>
                          </w:p>
                          <w:p w:rsidR="002E77F2" w:rsidRPr="009272D6" w:rsidRDefault="002E77F2" w:rsidP="00AA09F2">
                            <w:pPr>
                              <w:spacing w:before="0" w:after="0"/>
                              <w:rPr>
                                <w:iCs/>
                                <w:color w:val="143F6A"/>
                                <w:sz w:val="22"/>
                                <w:szCs w:val="22"/>
                              </w:rPr>
                            </w:pPr>
                            <w:r w:rsidRPr="009272D6">
                              <w:rPr>
                                <w:iCs/>
                                <w:color w:val="143F6A"/>
                                <w:sz w:val="22"/>
                                <w:szCs w:val="22"/>
                              </w:rPr>
                              <w:t>Lack of specialty care providers</w:t>
                            </w:r>
                          </w:p>
                          <w:p w:rsidR="002E77F2" w:rsidRPr="009272D6" w:rsidRDefault="002E77F2" w:rsidP="00AA09F2">
                            <w:pPr>
                              <w:spacing w:before="0" w:after="0"/>
                              <w:rPr>
                                <w:iCs/>
                                <w:color w:val="143F6A"/>
                                <w:sz w:val="22"/>
                                <w:szCs w:val="22"/>
                              </w:rPr>
                            </w:pPr>
                            <w:r w:rsidRPr="009272D6">
                              <w:rPr>
                                <w:iCs/>
                                <w:color w:val="143F6A"/>
                                <w:sz w:val="22"/>
                                <w:szCs w:val="22"/>
                              </w:rPr>
                              <w:t>Lack of mental health providers</w:t>
                            </w:r>
                          </w:p>
                          <w:p w:rsidR="002E77F2" w:rsidRPr="009272D6" w:rsidRDefault="002E77F2" w:rsidP="00AA09F2">
                            <w:pPr>
                              <w:spacing w:before="0" w:after="0"/>
                              <w:rPr>
                                <w:iCs/>
                                <w:color w:val="143F6A"/>
                                <w:sz w:val="22"/>
                                <w:szCs w:val="22"/>
                              </w:rPr>
                            </w:pPr>
                            <w:r w:rsidRPr="009272D6">
                              <w:rPr>
                                <w:iCs/>
                                <w:color w:val="143F6A"/>
                                <w:sz w:val="22"/>
                                <w:szCs w:val="22"/>
                              </w:rPr>
                              <w:t>Long wait times</w:t>
                            </w:r>
                          </w:p>
                          <w:p w:rsidR="002E77F2" w:rsidRPr="009272D6" w:rsidRDefault="002E77F2" w:rsidP="00AA09F2">
                            <w:pPr>
                              <w:spacing w:before="0" w:after="0"/>
                              <w:rPr>
                                <w:iCs/>
                                <w:color w:val="143F6A"/>
                                <w:sz w:val="22"/>
                                <w:szCs w:val="22"/>
                              </w:rPr>
                            </w:pPr>
                            <w:r w:rsidRPr="009272D6">
                              <w:rPr>
                                <w:iCs/>
                                <w:color w:val="143F6A"/>
                                <w:sz w:val="22"/>
                                <w:szCs w:val="22"/>
                              </w:rPr>
                              <w:t>Lack of case workers</w:t>
                            </w:r>
                          </w:p>
                          <w:p w:rsidR="002E77F2" w:rsidRPr="009272D6" w:rsidRDefault="002E77F2" w:rsidP="00AA09F2">
                            <w:pPr>
                              <w:spacing w:before="0" w:after="0"/>
                              <w:rPr>
                                <w:iCs/>
                                <w:color w:val="143F6A"/>
                                <w:sz w:val="22"/>
                                <w:szCs w:val="22"/>
                              </w:rPr>
                            </w:pPr>
                            <w:r w:rsidRPr="009272D6">
                              <w:rPr>
                                <w:iCs/>
                                <w:color w:val="143F6A"/>
                                <w:sz w:val="22"/>
                                <w:szCs w:val="22"/>
                              </w:rPr>
                              <w:t>Lack of culturally and linguistically appropriate services</w:t>
                            </w:r>
                          </w:p>
                          <w:p w:rsidR="002E77F2" w:rsidRPr="009272D6" w:rsidRDefault="002E77F2" w:rsidP="00AA09F2">
                            <w:pPr>
                              <w:spacing w:before="0" w:after="0"/>
                              <w:rPr>
                                <w:b/>
                                <w:iCs/>
                                <w:color w:val="143F6A"/>
                                <w:sz w:val="22"/>
                                <w:szCs w:val="22"/>
                              </w:rPr>
                            </w:pPr>
                            <w:r w:rsidRPr="009272D6">
                              <w:rPr>
                                <w:iCs/>
                                <w:color w:val="143F6A"/>
                                <w:sz w:val="22"/>
                                <w:szCs w:val="22"/>
                              </w:rPr>
                              <w:t>Lack of one-stop shops for HIV services</w:t>
                            </w:r>
                          </w:p>
                        </w:tc>
                        <w:tc>
                          <w:tcPr>
                            <w:tcW w:w="4059" w:type="dxa"/>
                          </w:tcPr>
                          <w:p w:rsidR="002E77F2" w:rsidRPr="009272D6" w:rsidRDefault="002E77F2" w:rsidP="00AA09F2">
                            <w:pPr>
                              <w:spacing w:before="0" w:after="0"/>
                              <w:rPr>
                                <w:b/>
                                <w:iCs/>
                                <w:color w:val="143F6A"/>
                                <w:sz w:val="22"/>
                                <w:szCs w:val="22"/>
                              </w:rPr>
                            </w:pPr>
                            <w:r w:rsidRPr="009272D6">
                              <w:rPr>
                                <w:b/>
                                <w:iCs/>
                                <w:color w:val="143F6A"/>
                                <w:sz w:val="22"/>
                                <w:szCs w:val="22"/>
                              </w:rPr>
                              <w:t>Client Barriers</w:t>
                            </w:r>
                          </w:p>
                          <w:p w:rsidR="002E77F2" w:rsidRPr="009272D6" w:rsidRDefault="002E77F2" w:rsidP="00AA09F2">
                            <w:pPr>
                              <w:spacing w:before="0" w:after="0"/>
                              <w:rPr>
                                <w:iCs/>
                                <w:color w:val="143F6A"/>
                                <w:sz w:val="22"/>
                                <w:szCs w:val="22"/>
                              </w:rPr>
                            </w:pPr>
                            <w:r w:rsidRPr="009272D6">
                              <w:rPr>
                                <w:iCs/>
                                <w:color w:val="143F6A"/>
                                <w:sz w:val="22"/>
                                <w:szCs w:val="22"/>
                              </w:rPr>
                              <w:t>Lack of housing</w:t>
                            </w:r>
                          </w:p>
                          <w:p w:rsidR="002E77F2" w:rsidRPr="009272D6" w:rsidRDefault="002E77F2" w:rsidP="00AA09F2">
                            <w:pPr>
                              <w:spacing w:before="0" w:after="0"/>
                              <w:rPr>
                                <w:iCs/>
                                <w:color w:val="143F6A"/>
                                <w:sz w:val="22"/>
                                <w:szCs w:val="22"/>
                              </w:rPr>
                            </w:pPr>
                            <w:r w:rsidRPr="009272D6">
                              <w:rPr>
                                <w:iCs/>
                                <w:color w:val="143F6A"/>
                                <w:sz w:val="22"/>
                                <w:szCs w:val="22"/>
                              </w:rPr>
                              <w:t>Lack of food/nutrition</w:t>
                            </w:r>
                          </w:p>
                          <w:p w:rsidR="002E77F2" w:rsidRPr="009272D6" w:rsidRDefault="002E77F2" w:rsidP="00AA09F2">
                            <w:pPr>
                              <w:spacing w:before="0" w:after="0"/>
                              <w:rPr>
                                <w:iCs/>
                                <w:color w:val="143F6A"/>
                                <w:sz w:val="22"/>
                                <w:szCs w:val="22"/>
                              </w:rPr>
                            </w:pPr>
                            <w:r w:rsidRPr="009272D6">
                              <w:rPr>
                                <w:iCs/>
                                <w:color w:val="143F6A"/>
                                <w:sz w:val="22"/>
                                <w:szCs w:val="22"/>
                              </w:rPr>
                              <w:t>Mental health and substance abuse issues</w:t>
                            </w:r>
                          </w:p>
                          <w:p w:rsidR="002E77F2" w:rsidRPr="009272D6" w:rsidRDefault="002E77F2" w:rsidP="00AA09F2">
                            <w:pPr>
                              <w:spacing w:before="0" w:after="0"/>
                              <w:rPr>
                                <w:iCs/>
                                <w:color w:val="143F6A"/>
                                <w:sz w:val="22"/>
                                <w:szCs w:val="22"/>
                              </w:rPr>
                            </w:pPr>
                            <w:r w:rsidRPr="009272D6">
                              <w:rPr>
                                <w:iCs/>
                                <w:color w:val="143F6A"/>
                                <w:sz w:val="22"/>
                                <w:szCs w:val="22"/>
                              </w:rPr>
                              <w:t>Denial about having HIV</w:t>
                            </w:r>
                          </w:p>
                          <w:p w:rsidR="002E77F2" w:rsidRPr="009272D6" w:rsidRDefault="002E77F2" w:rsidP="00AA09F2">
                            <w:pPr>
                              <w:spacing w:before="0" w:after="0"/>
                              <w:rPr>
                                <w:iCs/>
                                <w:color w:val="143F6A"/>
                                <w:sz w:val="22"/>
                                <w:szCs w:val="22"/>
                              </w:rPr>
                            </w:pPr>
                            <w:r w:rsidRPr="009272D6">
                              <w:rPr>
                                <w:iCs/>
                                <w:color w:val="143F6A"/>
                                <w:sz w:val="22"/>
                                <w:szCs w:val="22"/>
                              </w:rPr>
                              <w:t>Not feeling sick</w:t>
                            </w:r>
                          </w:p>
                          <w:p w:rsidR="002E77F2" w:rsidRPr="009272D6" w:rsidRDefault="002E77F2" w:rsidP="00AA09F2">
                            <w:pPr>
                              <w:spacing w:before="0" w:after="0"/>
                              <w:rPr>
                                <w:iCs/>
                                <w:color w:val="143F6A"/>
                                <w:sz w:val="22"/>
                                <w:szCs w:val="22"/>
                              </w:rPr>
                            </w:pPr>
                            <w:r w:rsidRPr="009272D6">
                              <w:rPr>
                                <w:iCs/>
                                <w:color w:val="143F6A"/>
                                <w:sz w:val="22"/>
                                <w:szCs w:val="22"/>
                              </w:rPr>
                              <w:t>Lack of transportation</w:t>
                            </w:r>
                          </w:p>
                          <w:p w:rsidR="002E77F2" w:rsidRPr="009272D6" w:rsidRDefault="002E77F2" w:rsidP="00AA09F2">
                            <w:pPr>
                              <w:spacing w:before="0" w:after="0"/>
                              <w:rPr>
                                <w:iCs/>
                                <w:color w:val="143F6A"/>
                                <w:sz w:val="22"/>
                                <w:szCs w:val="22"/>
                              </w:rPr>
                            </w:pPr>
                            <w:r w:rsidRPr="009272D6">
                              <w:rPr>
                                <w:iCs/>
                                <w:color w:val="143F6A"/>
                                <w:sz w:val="22"/>
                                <w:szCs w:val="22"/>
                              </w:rPr>
                              <w:t>Lack of knowledge of where to go for services</w:t>
                            </w:r>
                          </w:p>
                          <w:p w:rsidR="002E77F2" w:rsidRPr="009272D6" w:rsidRDefault="002E77F2" w:rsidP="00AA09F2">
                            <w:pPr>
                              <w:spacing w:before="0" w:after="0"/>
                              <w:rPr>
                                <w:iCs/>
                                <w:color w:val="143F6A"/>
                                <w:sz w:val="22"/>
                                <w:szCs w:val="22"/>
                              </w:rPr>
                            </w:pPr>
                            <w:r w:rsidRPr="009272D6">
                              <w:rPr>
                                <w:iCs/>
                                <w:color w:val="143F6A"/>
                                <w:sz w:val="22"/>
                                <w:szCs w:val="22"/>
                              </w:rPr>
                              <w:t>Burden of paperwork</w:t>
                            </w:r>
                          </w:p>
                          <w:p w:rsidR="002E77F2" w:rsidRPr="009272D6" w:rsidRDefault="002E77F2" w:rsidP="00AA09F2">
                            <w:pPr>
                              <w:spacing w:before="0" w:after="0"/>
                              <w:rPr>
                                <w:iCs/>
                                <w:color w:val="143F6A"/>
                                <w:sz w:val="22"/>
                                <w:szCs w:val="22"/>
                              </w:rPr>
                            </w:pPr>
                            <w:r w:rsidRPr="009272D6">
                              <w:rPr>
                                <w:iCs/>
                                <w:color w:val="143F6A"/>
                                <w:sz w:val="22"/>
                                <w:szCs w:val="22"/>
                              </w:rPr>
                              <w:t>Difficulty accessing medications</w:t>
                            </w:r>
                          </w:p>
                          <w:p w:rsidR="002E77F2" w:rsidRPr="009272D6" w:rsidRDefault="002E77F2" w:rsidP="00AA09F2">
                            <w:pPr>
                              <w:spacing w:before="0" w:after="0"/>
                              <w:rPr>
                                <w:iCs/>
                                <w:color w:val="143F6A"/>
                                <w:sz w:val="22"/>
                                <w:szCs w:val="22"/>
                              </w:rPr>
                            </w:pPr>
                            <w:r w:rsidRPr="009272D6">
                              <w:rPr>
                                <w:iCs/>
                                <w:color w:val="143F6A"/>
                                <w:sz w:val="22"/>
                                <w:szCs w:val="22"/>
                              </w:rPr>
                              <w:t>Cost of services</w:t>
                            </w:r>
                          </w:p>
                          <w:p w:rsidR="002E77F2" w:rsidRPr="009272D6" w:rsidRDefault="002E77F2" w:rsidP="00AA09F2">
                            <w:pPr>
                              <w:spacing w:before="0" w:after="0"/>
                              <w:rPr>
                                <w:iCs/>
                                <w:color w:val="143F6A"/>
                                <w:sz w:val="22"/>
                                <w:szCs w:val="22"/>
                              </w:rPr>
                            </w:pPr>
                            <w:r w:rsidRPr="009272D6">
                              <w:rPr>
                                <w:iCs/>
                                <w:color w:val="143F6A"/>
                                <w:sz w:val="22"/>
                                <w:szCs w:val="22"/>
                              </w:rPr>
                              <w:t>Services not covered by insurance</w:t>
                            </w:r>
                          </w:p>
                          <w:p w:rsidR="002E77F2" w:rsidRPr="009272D6" w:rsidRDefault="002E77F2" w:rsidP="00AA09F2">
                            <w:pPr>
                              <w:spacing w:before="0" w:after="0"/>
                              <w:rPr>
                                <w:iCs/>
                                <w:color w:val="143F6A"/>
                                <w:sz w:val="22"/>
                                <w:szCs w:val="22"/>
                              </w:rPr>
                            </w:pPr>
                          </w:p>
                          <w:p w:rsidR="002E77F2" w:rsidRPr="009272D6" w:rsidRDefault="002E77F2" w:rsidP="00AA09F2">
                            <w:pPr>
                              <w:spacing w:before="0" w:after="0"/>
                              <w:rPr>
                                <w:b/>
                                <w:iCs/>
                                <w:color w:val="143F6A"/>
                                <w:sz w:val="22"/>
                                <w:szCs w:val="22"/>
                              </w:rPr>
                            </w:pPr>
                          </w:p>
                        </w:tc>
                      </w:tr>
                    </w:tbl>
                    <w:p w:rsidR="002E77F2" w:rsidRDefault="002E77F2" w:rsidP="00CE29AC">
                      <w:pPr>
                        <w:spacing w:after="0"/>
                        <w:rPr>
                          <w:iCs/>
                          <w:color w:val="143F6A"/>
                        </w:rPr>
                      </w:pPr>
                    </w:p>
                  </w:txbxContent>
                </v:textbox>
                <w10:anchorlock/>
              </v:roundrect>
            </w:pict>
          </mc:Fallback>
        </mc:AlternateContent>
      </w:r>
    </w:p>
    <w:p w:rsidR="00CE29AC" w:rsidRDefault="00CE29AC" w:rsidP="00AA09F2">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E2798A" w:rsidRDefault="00E2798A" w:rsidP="00AA09F2">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E2798A" w:rsidRDefault="00E2798A" w:rsidP="00AA09F2">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E2798A" w:rsidRDefault="00E2798A" w:rsidP="00AA09F2">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C659A9" w:rsidRDefault="00C659A9" w:rsidP="00AA09F2">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C659A9" w:rsidRDefault="00C659A9" w:rsidP="00AA09F2">
      <w:pPr>
        <w:pStyle w:val="ListParagraph"/>
        <w:widowControl w:val="0"/>
        <w:tabs>
          <w:tab w:val="left" w:pos="940"/>
          <w:tab w:val="left" w:pos="1440"/>
        </w:tabs>
        <w:autoSpaceDE w:val="0"/>
        <w:autoSpaceDN w:val="0"/>
        <w:adjustRightInd w:val="0"/>
        <w:spacing w:before="240"/>
        <w:ind w:left="0"/>
        <w:jc w:val="both"/>
        <w:rPr>
          <w:rFonts w:cs="Calibri Light"/>
          <w:sz w:val="22"/>
          <w:szCs w:val="22"/>
        </w:rPr>
      </w:pPr>
    </w:p>
    <w:p w:rsidR="00512FE8" w:rsidRPr="00B0316C" w:rsidRDefault="00512FE8" w:rsidP="00A51D20">
      <w:pPr>
        <w:pStyle w:val="Heading2"/>
      </w:pPr>
      <w:bookmarkStart w:id="44" w:name="_Toc461188587"/>
      <w:r w:rsidRPr="00B0316C">
        <w:t>E. Data: Access, Sources, and Systems</w:t>
      </w:r>
      <w:bookmarkEnd w:id="44"/>
      <w:r w:rsidRPr="00B0316C">
        <w:t xml:space="preserve"> </w:t>
      </w:r>
    </w:p>
    <w:p w:rsidR="00512FE8" w:rsidRPr="000D1265" w:rsidRDefault="00512FE8" w:rsidP="000D1265">
      <w:pPr>
        <w:pStyle w:val="ListParagraph"/>
        <w:widowControl w:val="0"/>
        <w:numPr>
          <w:ilvl w:val="1"/>
          <w:numId w:val="7"/>
        </w:numPr>
        <w:tabs>
          <w:tab w:val="left" w:pos="220"/>
          <w:tab w:val="left" w:pos="720"/>
        </w:tabs>
        <w:autoSpaceDE w:val="0"/>
        <w:autoSpaceDN w:val="0"/>
        <w:adjustRightInd w:val="0"/>
        <w:ind w:left="990"/>
        <w:rPr>
          <w:rFonts w:cs="Calibri Light"/>
          <w:i/>
          <w:sz w:val="22"/>
          <w:szCs w:val="22"/>
        </w:rPr>
      </w:pPr>
      <w:r w:rsidRPr="000D1265">
        <w:rPr>
          <w:rFonts w:cs="Calibri Light"/>
          <w:i/>
          <w:sz w:val="22"/>
          <w:szCs w:val="22"/>
        </w:rPr>
        <w:t xml:space="preserve">Describe the main sources of data (e.g., RSR data, qualitative data, and surveillance data) </w:t>
      </w:r>
      <w:r w:rsidRPr="000D1265">
        <w:rPr>
          <w:rFonts w:ascii="MS Gothic" w:eastAsia="MS Gothic" w:hAnsi="MS Gothic" w:cs="MS Gothic" w:hint="eastAsia"/>
          <w:i/>
          <w:sz w:val="22"/>
          <w:szCs w:val="22"/>
        </w:rPr>
        <w:t> </w:t>
      </w:r>
      <w:r w:rsidRPr="000D1265">
        <w:rPr>
          <w:rFonts w:cs="Calibri Light"/>
          <w:i/>
          <w:sz w:val="22"/>
          <w:szCs w:val="22"/>
        </w:rPr>
        <w:t xml:space="preserve">and data systems (e.g., CAREWare, eHARS) used to conduct the needs assessment, including the development of the HIV Care Continuum. </w:t>
      </w:r>
      <w:r w:rsidRPr="000D1265">
        <w:rPr>
          <w:rFonts w:ascii="MS Gothic" w:eastAsia="MS Gothic" w:hAnsi="MS Gothic" w:cs="MS Gothic" w:hint="eastAsia"/>
          <w:i/>
          <w:sz w:val="22"/>
          <w:szCs w:val="22"/>
        </w:rPr>
        <w:t> </w:t>
      </w:r>
    </w:p>
    <w:p w:rsidR="00A51D20" w:rsidRPr="00B0316C" w:rsidRDefault="00A51D20" w:rsidP="00A51D20">
      <w:pPr>
        <w:pStyle w:val="Heading3"/>
      </w:pPr>
      <w:bookmarkStart w:id="45" w:name="_Toc461188588"/>
      <w:r w:rsidRPr="00B0316C">
        <w:t>Main Sources of Data</w:t>
      </w:r>
      <w:bookmarkEnd w:id="45"/>
    </w:p>
    <w:p w:rsidR="00526310" w:rsidRDefault="00627076" w:rsidP="00526310">
      <w:pPr>
        <w:pStyle w:val="Default"/>
        <w:spacing w:line="276" w:lineRule="auto"/>
        <w:jc w:val="both"/>
        <w:rPr>
          <w:sz w:val="22"/>
          <w:szCs w:val="22"/>
        </w:rPr>
      </w:pPr>
      <w:r w:rsidRPr="00B0316C">
        <w:rPr>
          <w:sz w:val="22"/>
          <w:szCs w:val="22"/>
        </w:rPr>
        <w:t xml:space="preserve">The Epidemiological Overview used data from CAREWare, Ryan White Services Report, eHARS, </w:t>
      </w:r>
      <w:r>
        <w:rPr>
          <w:sz w:val="22"/>
          <w:szCs w:val="22"/>
        </w:rPr>
        <w:t xml:space="preserve">STD*MIS, </w:t>
      </w:r>
      <w:r w:rsidRPr="00B0316C">
        <w:rPr>
          <w:sz w:val="22"/>
          <w:szCs w:val="22"/>
        </w:rPr>
        <w:t>EvaluationWeb, the BRFSS, YRBS</w:t>
      </w:r>
      <w:r>
        <w:rPr>
          <w:sz w:val="22"/>
          <w:szCs w:val="22"/>
        </w:rPr>
        <w:t>, and Nevada State Demographer vintage 2015 date</w:t>
      </w:r>
      <w:r w:rsidRPr="00B0316C">
        <w:rPr>
          <w:sz w:val="22"/>
          <w:szCs w:val="22"/>
        </w:rPr>
        <w:t xml:space="preserve">.  </w:t>
      </w:r>
      <w:r w:rsidR="00526310" w:rsidRPr="00B0316C">
        <w:rPr>
          <w:sz w:val="22"/>
          <w:szCs w:val="22"/>
        </w:rPr>
        <w:t xml:space="preserve">EvaluationWeb is an online data collection and reporting system for HIV testing and prevention activities. </w:t>
      </w:r>
      <w:r w:rsidRPr="00B0316C">
        <w:rPr>
          <w:sz w:val="22"/>
          <w:szCs w:val="22"/>
        </w:rPr>
        <w:t>CAREWare is a software package from HRSA which Ryan White funded providers use to track client level data and submit required reports. CAREWare client data includes demographics, housing and poverty information, viral loads and CD4 counts and core and support services provided. The Ryan White Services (RSR) report is an annual client level data report that documents what services are provided to clients on an individual level.</w:t>
      </w:r>
      <w:r>
        <w:rPr>
          <w:sz w:val="22"/>
          <w:szCs w:val="22"/>
        </w:rPr>
        <w:t xml:space="preserve"> </w:t>
      </w:r>
    </w:p>
    <w:p w:rsidR="00627076" w:rsidRPr="005F621B" w:rsidRDefault="00627076" w:rsidP="00526310">
      <w:pPr>
        <w:pStyle w:val="Default"/>
        <w:spacing w:line="276" w:lineRule="auto"/>
        <w:jc w:val="both"/>
        <w:rPr>
          <w:sz w:val="22"/>
          <w:szCs w:val="22"/>
        </w:rPr>
      </w:pPr>
      <w:r w:rsidRPr="00B0316C">
        <w:rPr>
          <w:sz w:val="22"/>
          <w:szCs w:val="22"/>
        </w:rPr>
        <w:t xml:space="preserve">Data on new HIV infections, new AIDS diagnoses, and persons living with HIV/AIDS were obtained from analyses of data extracted from Nevada’s Enhanced </w:t>
      </w:r>
      <w:r w:rsidR="00526310" w:rsidRPr="005F621B">
        <w:rPr>
          <w:sz w:val="22"/>
          <w:szCs w:val="22"/>
        </w:rPr>
        <w:t>HIV/AIDS Reporting System (eHARS)</w:t>
      </w:r>
      <w:r w:rsidR="00526310">
        <w:rPr>
          <w:sz w:val="22"/>
          <w:szCs w:val="22"/>
        </w:rPr>
        <w:t xml:space="preserve">. </w:t>
      </w:r>
      <w:r w:rsidRPr="005F621B">
        <w:rPr>
          <w:sz w:val="22"/>
          <w:szCs w:val="22"/>
        </w:rPr>
        <w:t>eHARS is a browser-based application provided by the Centers for Disease Control and Prevention(CDC). Nevada’s HIV Surveillance Program uses eHARS to collect, manage and report Nevada’s HIV/AIDS cases surveillance data to CDC. The data are population-based for ongoing surveillance.  All information is entered and stored in eHARS (Enhanced HIV/AIDS Reporting System). All information obtained from reported cases is entered into a case report and this information is then entered into eHARS. The data have been collected in real-time. Data include laboratory information (CD4, viral load, etc</w:t>
      </w:r>
      <w:r w:rsidR="00E2798A">
        <w:rPr>
          <w:sz w:val="22"/>
          <w:szCs w:val="22"/>
        </w:rPr>
        <w:t>.</w:t>
      </w:r>
      <w:r w:rsidRPr="005F621B">
        <w:rPr>
          <w:sz w:val="22"/>
          <w:szCs w:val="22"/>
        </w:rPr>
        <w:t>), demographics, and other variables of importance.</w:t>
      </w:r>
    </w:p>
    <w:p w:rsidR="00627076" w:rsidRPr="005F621B" w:rsidRDefault="00627076" w:rsidP="00627076">
      <w:pPr>
        <w:jc w:val="both"/>
        <w:rPr>
          <w:sz w:val="22"/>
          <w:szCs w:val="22"/>
        </w:rPr>
      </w:pPr>
      <w:r w:rsidRPr="005F621B">
        <w:rPr>
          <w:bCs/>
          <w:sz w:val="22"/>
          <w:szCs w:val="22"/>
        </w:rPr>
        <w:t>Sexually Transmitted Disease Management Information Systems (STD*MIS)</w:t>
      </w:r>
      <w:r w:rsidRPr="005F621B">
        <w:rPr>
          <w:sz w:val="22"/>
          <w:szCs w:val="22"/>
        </w:rPr>
        <w:t xml:space="preserve"> is an application provided to state and local health departments upon request. The intent of this application is to address the most common data management issues facing an STD program in its efforts to utilize the data that it receives from labs, providers, clinics, disease intervention specialists (DIS), etc. Nevada’s STD program uses STD MIS to collect, manage and report Nevada’s STD cases (gonorrhea, chlamydia, syphilis) surveillance data to CDC. Data includes testing, demographics, treatment, and partner information.</w:t>
      </w:r>
    </w:p>
    <w:p w:rsidR="00627076" w:rsidRPr="005F621B" w:rsidRDefault="00627076" w:rsidP="00627076">
      <w:pPr>
        <w:jc w:val="both"/>
        <w:rPr>
          <w:sz w:val="22"/>
          <w:szCs w:val="22"/>
        </w:rPr>
      </w:pPr>
      <w:r w:rsidRPr="005F621B">
        <w:rPr>
          <w:bCs/>
          <w:sz w:val="22"/>
          <w:szCs w:val="22"/>
        </w:rPr>
        <w:t>Nevada State Demographer vintage 2015 data</w:t>
      </w:r>
      <w:r w:rsidRPr="005F621B">
        <w:rPr>
          <w:sz w:val="22"/>
          <w:szCs w:val="22"/>
        </w:rPr>
        <w:t xml:space="preserve"> </w:t>
      </w:r>
      <w:r w:rsidR="00C04779">
        <w:rPr>
          <w:sz w:val="22"/>
          <w:szCs w:val="22"/>
        </w:rPr>
        <w:t xml:space="preserve">comes from the </w:t>
      </w:r>
      <w:r w:rsidRPr="005F621B">
        <w:rPr>
          <w:sz w:val="22"/>
          <w:szCs w:val="22"/>
        </w:rPr>
        <w:t xml:space="preserve">Nevada State Demographer’s office </w:t>
      </w:r>
      <w:r w:rsidR="00C04779">
        <w:rPr>
          <w:sz w:val="22"/>
          <w:szCs w:val="22"/>
        </w:rPr>
        <w:t xml:space="preserve">which </w:t>
      </w:r>
      <w:r w:rsidRPr="005F621B">
        <w:rPr>
          <w:sz w:val="22"/>
          <w:szCs w:val="22"/>
        </w:rPr>
        <w:t xml:space="preserve">is funded by the Nevada Department of Taxation.  </w:t>
      </w:r>
      <w:r w:rsidR="00C04779">
        <w:rPr>
          <w:sz w:val="22"/>
          <w:szCs w:val="22"/>
        </w:rPr>
        <w:t>This office</w:t>
      </w:r>
      <w:r w:rsidR="00C04779" w:rsidRPr="005F621B">
        <w:rPr>
          <w:sz w:val="22"/>
          <w:szCs w:val="22"/>
        </w:rPr>
        <w:t xml:space="preserve"> </w:t>
      </w:r>
      <w:r w:rsidRPr="005F621B">
        <w:rPr>
          <w:sz w:val="22"/>
          <w:szCs w:val="22"/>
        </w:rPr>
        <w:t>is responsible for conducting annual population estimates for Nevada’s counties, cities, and unincorporated towns</w:t>
      </w:r>
      <w:r w:rsidR="00C04779">
        <w:rPr>
          <w:sz w:val="22"/>
          <w:szCs w:val="22"/>
        </w:rPr>
        <w:t xml:space="preserve"> and for </w:t>
      </w:r>
      <w:r w:rsidR="00C04779" w:rsidRPr="005F621B">
        <w:rPr>
          <w:sz w:val="22"/>
          <w:szCs w:val="22"/>
        </w:rPr>
        <w:t>estimat</w:t>
      </w:r>
      <w:r w:rsidR="00C04779">
        <w:rPr>
          <w:sz w:val="22"/>
          <w:szCs w:val="22"/>
        </w:rPr>
        <w:t>ing</w:t>
      </w:r>
      <w:r w:rsidR="00C04779" w:rsidRPr="005F621B">
        <w:rPr>
          <w:sz w:val="22"/>
          <w:szCs w:val="22"/>
        </w:rPr>
        <w:t xml:space="preserve"> </w:t>
      </w:r>
      <w:r w:rsidRPr="005F621B">
        <w:rPr>
          <w:sz w:val="22"/>
          <w:szCs w:val="22"/>
        </w:rPr>
        <w:t>Nevada’s county populations by age, sex, race, and Hispanic origin. Population projections are produced as well.</w:t>
      </w:r>
    </w:p>
    <w:p w:rsidR="00627076" w:rsidRPr="00B0316C" w:rsidRDefault="00627076" w:rsidP="00627076">
      <w:pPr>
        <w:widowControl w:val="0"/>
        <w:tabs>
          <w:tab w:val="left" w:pos="220"/>
          <w:tab w:val="left" w:pos="720"/>
        </w:tabs>
        <w:autoSpaceDE w:val="0"/>
        <w:autoSpaceDN w:val="0"/>
        <w:adjustRightInd w:val="0"/>
        <w:jc w:val="both"/>
        <w:rPr>
          <w:sz w:val="22"/>
          <w:szCs w:val="22"/>
        </w:rPr>
      </w:pPr>
      <w:r w:rsidRPr="00B0316C">
        <w:rPr>
          <w:sz w:val="22"/>
          <w:szCs w:val="22"/>
        </w:rPr>
        <w:t xml:space="preserve">The Behavioral Risk Factor Surveillance System (BRFSS) is primarily funded by the Centers for Disease Control and Prevention (CDC). The Nevada BRFSS surveys adults eighteen years of age or older: in 2011 - </w:t>
      </w:r>
      <w:r w:rsidRPr="00B0316C">
        <w:rPr>
          <w:sz w:val="22"/>
          <w:szCs w:val="22"/>
        </w:rPr>
        <w:lastRenderedPageBreak/>
        <w:t xml:space="preserve">5,493 adults were surveyed; in 2012 - 4,846 adults were surveyed and; in 2013 - 5,102 were surveyed. The BRFSS contains core questions that are asked in all states and territories allowing for national as well as state-to-state comparisons. In addition, optional modules are also available and state-specific questions may be added to address state-specific needs. The BRFSS is used to assess risk for chronic disease, identify demographic differences in health-related behaviors, address emerging health issues, evaluate public health policies and programs, assess special populations, and measure progress toward achieving state and national health objectives. </w:t>
      </w:r>
    </w:p>
    <w:p w:rsidR="00627076" w:rsidRDefault="00627076" w:rsidP="00627076">
      <w:pPr>
        <w:pStyle w:val="NormalWeb"/>
        <w:spacing w:before="0" w:beforeAutospacing="0" w:after="0" w:afterAutospacing="0" w:line="300" w:lineRule="atLeast"/>
        <w:jc w:val="both"/>
        <w:rPr>
          <w:rFonts w:ascii="Calibri" w:hAnsi="Calibri"/>
          <w:color w:val="111111"/>
          <w:sz w:val="22"/>
          <w:szCs w:val="22"/>
        </w:rPr>
      </w:pPr>
      <w:r w:rsidRPr="00B0316C">
        <w:rPr>
          <w:rFonts w:ascii="Calibri" w:hAnsi="Calibri"/>
          <w:color w:val="111111"/>
          <w:sz w:val="22"/>
          <w:szCs w:val="22"/>
        </w:rPr>
        <w:t>The Youth Risk Behavior Survey (YRBS) is a survey of adolescent health behaviors and was designed by the Centers for Disease Control and Prevention (CDC) in cooperation with federal agencies and numerous state and local departments of education and health.</w:t>
      </w:r>
      <w:r w:rsidRPr="00B0316C">
        <w:rPr>
          <w:rStyle w:val="apple-converted-space"/>
          <w:rFonts w:ascii="Calibri" w:hAnsi="Calibri"/>
          <w:color w:val="111111"/>
          <w:sz w:val="22"/>
          <w:szCs w:val="22"/>
        </w:rPr>
        <w:t> </w:t>
      </w:r>
      <w:r w:rsidRPr="00B0316C">
        <w:rPr>
          <w:rFonts w:ascii="Calibri" w:hAnsi="Calibri"/>
          <w:color w:val="111111"/>
          <w:sz w:val="22"/>
          <w:szCs w:val="22"/>
        </w:rPr>
        <w:t xml:space="preserve">In 2015, CDC selected 32 high schools </w:t>
      </w:r>
      <w:r w:rsidR="000E6F65">
        <w:rPr>
          <w:rFonts w:ascii="Calibri" w:hAnsi="Calibri"/>
          <w:color w:val="111111"/>
          <w:sz w:val="22"/>
          <w:szCs w:val="22"/>
        </w:rPr>
        <w:t xml:space="preserve">for sampling </w:t>
      </w:r>
      <w:r w:rsidRPr="00B0316C">
        <w:rPr>
          <w:rFonts w:ascii="Calibri" w:hAnsi="Calibri"/>
          <w:color w:val="111111"/>
          <w:sz w:val="22"/>
          <w:szCs w:val="22"/>
        </w:rPr>
        <w:t xml:space="preserve">in Nevada. </w:t>
      </w:r>
      <w:r w:rsidR="000E6F65">
        <w:rPr>
          <w:rFonts w:ascii="Calibri" w:hAnsi="Calibri"/>
          <w:color w:val="111111"/>
          <w:sz w:val="22"/>
          <w:szCs w:val="22"/>
        </w:rPr>
        <w:t>However, t</w:t>
      </w:r>
      <w:r w:rsidRPr="00B0316C">
        <w:rPr>
          <w:rFonts w:ascii="Calibri" w:hAnsi="Calibri"/>
          <w:color w:val="111111"/>
          <w:sz w:val="22"/>
          <w:szCs w:val="22"/>
        </w:rPr>
        <w:t>o ensure more complete representation from all counties and accurate weighting at the regional level, the DPBH contracted with UNR to sample all school districts in Nevada (97 high schools and 5,108 students participated). YRBS data are routinely collected on high school students, but only a few states collect data on middle school students. In 2015, the DPBH contracted with UNR to sample middle school students from all school districts in Nevada (113 middle schools and 4,535 students participated).</w:t>
      </w:r>
    </w:p>
    <w:p w:rsidR="00627076" w:rsidRPr="00B0316C" w:rsidRDefault="00627076" w:rsidP="00627076">
      <w:pPr>
        <w:widowControl w:val="0"/>
        <w:tabs>
          <w:tab w:val="left" w:pos="220"/>
          <w:tab w:val="left" w:pos="720"/>
        </w:tabs>
        <w:autoSpaceDE w:val="0"/>
        <w:autoSpaceDN w:val="0"/>
        <w:adjustRightInd w:val="0"/>
        <w:jc w:val="both"/>
        <w:rPr>
          <w:rFonts w:eastAsia="MS Gothic" w:cs="MS Gothic"/>
          <w:sz w:val="22"/>
          <w:szCs w:val="22"/>
        </w:rPr>
      </w:pPr>
      <w:r w:rsidRPr="00B0316C">
        <w:rPr>
          <w:rFonts w:eastAsia="MS Gothic" w:cs="MS Gothic"/>
          <w:sz w:val="22"/>
          <w:szCs w:val="22"/>
        </w:rPr>
        <w:t xml:space="preserve">Other sources of needs assessment data included the client and provider surveys and focus groups conducted in the Part A needs assessments and the client, provider and prevention community surveys and focus groups conducted in the statewide needs assessment. Table </w:t>
      </w:r>
      <w:r w:rsidR="00CE29AC">
        <w:rPr>
          <w:rFonts w:eastAsia="MS Gothic" w:cs="MS Gothic"/>
          <w:sz w:val="22"/>
          <w:szCs w:val="22"/>
        </w:rPr>
        <w:t>1</w:t>
      </w:r>
      <w:r w:rsidR="009272D6">
        <w:rPr>
          <w:rFonts w:eastAsia="MS Gothic" w:cs="MS Gothic"/>
          <w:sz w:val="22"/>
          <w:szCs w:val="22"/>
        </w:rPr>
        <w:t>5</w:t>
      </w:r>
      <w:r w:rsidRPr="00B0316C">
        <w:rPr>
          <w:rFonts w:eastAsia="MS Gothic" w:cs="MS Gothic"/>
          <w:sz w:val="22"/>
          <w:szCs w:val="22"/>
        </w:rPr>
        <w:t xml:space="preserve"> lists the survey, focus group and stakeholder meeting data sources and the number of participants or respondents at each. </w:t>
      </w:r>
    </w:p>
    <w:p w:rsidR="00627076" w:rsidRPr="00B0316C" w:rsidRDefault="00627076" w:rsidP="00627076">
      <w:pPr>
        <w:spacing w:after="0"/>
        <w:rPr>
          <w:b/>
          <w:sz w:val="22"/>
          <w:szCs w:val="22"/>
        </w:rPr>
      </w:pPr>
      <w:r w:rsidRPr="00B0316C">
        <w:rPr>
          <w:b/>
          <w:sz w:val="22"/>
          <w:szCs w:val="22"/>
        </w:rPr>
        <w:t xml:space="preserve">Table </w:t>
      </w:r>
      <w:r w:rsidR="00CE29AC">
        <w:rPr>
          <w:b/>
          <w:sz w:val="22"/>
          <w:szCs w:val="22"/>
        </w:rPr>
        <w:t>1</w:t>
      </w:r>
      <w:r w:rsidR="009272D6">
        <w:rPr>
          <w:b/>
          <w:sz w:val="22"/>
          <w:szCs w:val="22"/>
        </w:rPr>
        <w:t>5</w:t>
      </w:r>
      <w:r w:rsidRPr="00B0316C">
        <w:rPr>
          <w:b/>
          <w:sz w:val="22"/>
          <w:szCs w:val="22"/>
        </w:rPr>
        <w:t>. HIV Needs Assessment Data Sources</w:t>
      </w:r>
    </w:p>
    <w:tbl>
      <w:tblPr>
        <w:tblW w:w="9445" w:type="dxa"/>
        <w:tblBorders>
          <w:top w:val="single" w:sz="4" w:space="0" w:color="90A1CF"/>
          <w:left w:val="single" w:sz="4" w:space="0" w:color="90A1CF"/>
          <w:bottom w:val="single" w:sz="4" w:space="0" w:color="90A1CF"/>
          <w:right w:val="single" w:sz="4" w:space="0" w:color="90A1CF"/>
          <w:insideH w:val="single" w:sz="4" w:space="0" w:color="90A1CF"/>
        </w:tblBorders>
        <w:tblLook w:val="04A0" w:firstRow="1" w:lastRow="0" w:firstColumn="1" w:lastColumn="0" w:noHBand="0" w:noVBand="1"/>
      </w:tblPr>
      <w:tblGrid>
        <w:gridCol w:w="5395"/>
        <w:gridCol w:w="4050"/>
      </w:tblGrid>
      <w:tr w:rsidR="00627076" w:rsidRPr="00B0316C" w:rsidTr="003E05A4">
        <w:tc>
          <w:tcPr>
            <w:tcW w:w="5395" w:type="dxa"/>
            <w:tcBorders>
              <w:top w:val="single" w:sz="4" w:space="0" w:color="4A66AC"/>
              <w:left w:val="single" w:sz="4" w:space="0" w:color="4A66AC"/>
              <w:bottom w:val="single" w:sz="4" w:space="0" w:color="4A66AC"/>
              <w:right w:val="nil"/>
            </w:tcBorders>
            <w:shd w:val="clear" w:color="auto" w:fill="4A66AC"/>
            <w:hideMark/>
          </w:tcPr>
          <w:p w:rsidR="00627076" w:rsidRPr="00B0316C" w:rsidRDefault="00627076" w:rsidP="003E05A4">
            <w:pPr>
              <w:spacing w:before="0" w:after="0" w:line="240" w:lineRule="auto"/>
              <w:rPr>
                <w:bCs/>
                <w:color w:val="FFFFFF"/>
                <w:sz w:val="22"/>
                <w:szCs w:val="22"/>
              </w:rPr>
            </w:pPr>
            <w:r w:rsidRPr="00B0316C">
              <w:rPr>
                <w:b/>
                <w:bCs/>
                <w:color w:val="FFFFFF"/>
                <w:sz w:val="22"/>
                <w:szCs w:val="22"/>
              </w:rPr>
              <w:t>Data Source</w:t>
            </w:r>
          </w:p>
        </w:tc>
        <w:tc>
          <w:tcPr>
            <w:tcW w:w="4050" w:type="dxa"/>
            <w:tcBorders>
              <w:top w:val="single" w:sz="4" w:space="0" w:color="4A66AC"/>
              <w:left w:val="nil"/>
              <w:bottom w:val="single" w:sz="4" w:space="0" w:color="4A66AC"/>
              <w:right w:val="single" w:sz="4" w:space="0" w:color="4A66AC"/>
            </w:tcBorders>
            <w:shd w:val="clear" w:color="auto" w:fill="4A66AC"/>
            <w:hideMark/>
          </w:tcPr>
          <w:p w:rsidR="00627076" w:rsidRPr="00B0316C" w:rsidRDefault="00627076" w:rsidP="003E05A4">
            <w:pPr>
              <w:spacing w:before="0" w:after="0" w:line="240" w:lineRule="auto"/>
              <w:rPr>
                <w:bCs/>
                <w:color w:val="FFFFFF"/>
                <w:sz w:val="22"/>
                <w:szCs w:val="22"/>
              </w:rPr>
            </w:pPr>
            <w:r w:rsidRPr="00B0316C">
              <w:rPr>
                <w:b/>
                <w:bCs/>
                <w:color w:val="FFFFFF"/>
                <w:sz w:val="22"/>
                <w:szCs w:val="22"/>
              </w:rPr>
              <w:t>Number of respondents</w:t>
            </w:r>
          </w:p>
        </w:tc>
      </w:tr>
      <w:tr w:rsidR="00627076" w:rsidRPr="00B0316C" w:rsidTr="003E05A4">
        <w:tc>
          <w:tcPr>
            <w:tcW w:w="5395" w:type="dxa"/>
            <w:tcBorders>
              <w:top w:val="single" w:sz="4" w:space="0" w:color="90A1CF"/>
              <w:left w:val="single" w:sz="4" w:space="0" w:color="90A1CF"/>
              <w:bottom w:val="single" w:sz="4" w:space="0" w:color="90A1CF"/>
              <w:right w:val="nil"/>
            </w:tcBorders>
            <w:shd w:val="clear" w:color="auto" w:fill="D9DFEF"/>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Stakeholder meeting responses April 2015</w:t>
            </w:r>
          </w:p>
        </w:tc>
        <w:tc>
          <w:tcPr>
            <w:tcW w:w="4050" w:type="dxa"/>
            <w:tcBorders>
              <w:top w:val="single" w:sz="4" w:space="0" w:color="90A1CF"/>
              <w:left w:val="nil"/>
              <w:bottom w:val="single" w:sz="4" w:space="0" w:color="90A1CF"/>
              <w:right w:val="single" w:sz="4" w:space="0" w:color="90A1CF"/>
            </w:tcBorders>
            <w:shd w:val="clear" w:color="auto" w:fill="D9DFEF"/>
            <w:hideMark/>
          </w:tcPr>
          <w:p w:rsidR="00627076" w:rsidRPr="00B0316C" w:rsidRDefault="00627076" w:rsidP="003E05A4">
            <w:pPr>
              <w:spacing w:before="0" w:after="0" w:line="240" w:lineRule="auto"/>
              <w:rPr>
                <w:sz w:val="22"/>
                <w:szCs w:val="22"/>
              </w:rPr>
            </w:pPr>
            <w:r w:rsidRPr="00B0316C">
              <w:rPr>
                <w:sz w:val="22"/>
                <w:szCs w:val="22"/>
              </w:rPr>
              <w:t>Northern Nevada N=8</w:t>
            </w:r>
          </w:p>
          <w:p w:rsidR="00627076" w:rsidRPr="00B0316C" w:rsidRDefault="00627076" w:rsidP="003E05A4">
            <w:pPr>
              <w:spacing w:before="0" w:after="0" w:line="240" w:lineRule="auto"/>
              <w:rPr>
                <w:sz w:val="22"/>
                <w:szCs w:val="22"/>
              </w:rPr>
            </w:pPr>
            <w:r w:rsidRPr="00B0316C">
              <w:rPr>
                <w:sz w:val="22"/>
                <w:szCs w:val="22"/>
              </w:rPr>
              <w:t>Southern Nevada N=20</w:t>
            </w:r>
          </w:p>
        </w:tc>
      </w:tr>
      <w:tr w:rsidR="00627076" w:rsidRPr="00B0316C" w:rsidTr="003E05A4">
        <w:tc>
          <w:tcPr>
            <w:tcW w:w="5395" w:type="dxa"/>
            <w:tcBorders>
              <w:top w:val="single" w:sz="4" w:space="0" w:color="90A1CF"/>
              <w:left w:val="single" w:sz="4" w:space="0" w:color="90A1CF"/>
              <w:bottom w:val="single" w:sz="4" w:space="0" w:color="90A1CF"/>
              <w:right w:val="nil"/>
            </w:tcBorders>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 xml:space="preserve">Stakeholder </w:t>
            </w:r>
            <w:r w:rsidR="00E62816">
              <w:rPr>
                <w:b/>
                <w:bCs/>
                <w:sz w:val="22"/>
                <w:szCs w:val="22"/>
              </w:rPr>
              <w:t>m</w:t>
            </w:r>
            <w:r w:rsidRPr="00B0316C">
              <w:rPr>
                <w:b/>
                <w:bCs/>
                <w:sz w:val="22"/>
                <w:szCs w:val="22"/>
              </w:rPr>
              <w:t xml:space="preserve">eeting </w:t>
            </w:r>
            <w:r w:rsidR="00E62816">
              <w:rPr>
                <w:b/>
                <w:bCs/>
                <w:sz w:val="22"/>
                <w:szCs w:val="22"/>
              </w:rPr>
              <w:t>r</w:t>
            </w:r>
            <w:r w:rsidRPr="00B0316C">
              <w:rPr>
                <w:b/>
                <w:bCs/>
                <w:sz w:val="22"/>
                <w:szCs w:val="22"/>
              </w:rPr>
              <w:t>esponses March 2016</w:t>
            </w:r>
          </w:p>
        </w:tc>
        <w:tc>
          <w:tcPr>
            <w:tcW w:w="4050" w:type="dxa"/>
            <w:tcBorders>
              <w:top w:val="single" w:sz="4" w:space="0" w:color="90A1CF"/>
              <w:left w:val="nil"/>
              <w:bottom w:val="single" w:sz="4" w:space="0" w:color="90A1CF"/>
              <w:right w:val="single" w:sz="4" w:space="0" w:color="90A1CF"/>
            </w:tcBorders>
            <w:hideMark/>
          </w:tcPr>
          <w:p w:rsidR="00627076" w:rsidRPr="00B0316C" w:rsidRDefault="00627076" w:rsidP="003E05A4">
            <w:pPr>
              <w:spacing w:before="0" w:after="0" w:line="240" w:lineRule="auto"/>
              <w:rPr>
                <w:sz w:val="22"/>
                <w:szCs w:val="22"/>
              </w:rPr>
            </w:pPr>
            <w:r w:rsidRPr="00B0316C">
              <w:rPr>
                <w:sz w:val="22"/>
                <w:szCs w:val="22"/>
              </w:rPr>
              <w:t>N=41</w:t>
            </w:r>
          </w:p>
        </w:tc>
      </w:tr>
      <w:tr w:rsidR="00627076" w:rsidRPr="00B0316C" w:rsidTr="003E05A4">
        <w:tc>
          <w:tcPr>
            <w:tcW w:w="5395" w:type="dxa"/>
            <w:tcBorders>
              <w:top w:val="single" w:sz="4" w:space="0" w:color="90A1CF"/>
              <w:left w:val="single" w:sz="4" w:space="0" w:color="90A1CF"/>
              <w:bottom w:val="single" w:sz="4" w:space="0" w:color="90A1CF"/>
              <w:right w:val="nil"/>
            </w:tcBorders>
            <w:shd w:val="clear" w:color="auto" w:fill="D9DFEF"/>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 xml:space="preserve">Part A Provider </w:t>
            </w:r>
            <w:r w:rsidR="00801DCA">
              <w:rPr>
                <w:b/>
                <w:bCs/>
                <w:sz w:val="22"/>
                <w:szCs w:val="22"/>
              </w:rPr>
              <w:t>S</w:t>
            </w:r>
            <w:r w:rsidRPr="00B0316C">
              <w:rPr>
                <w:b/>
                <w:bCs/>
                <w:sz w:val="22"/>
                <w:szCs w:val="22"/>
              </w:rPr>
              <w:t>urvey</w:t>
            </w:r>
          </w:p>
        </w:tc>
        <w:tc>
          <w:tcPr>
            <w:tcW w:w="4050" w:type="dxa"/>
            <w:tcBorders>
              <w:top w:val="single" w:sz="4" w:space="0" w:color="90A1CF"/>
              <w:left w:val="nil"/>
              <w:bottom w:val="single" w:sz="4" w:space="0" w:color="90A1CF"/>
              <w:right w:val="single" w:sz="4" w:space="0" w:color="90A1CF"/>
            </w:tcBorders>
            <w:shd w:val="clear" w:color="auto" w:fill="D9DFEF"/>
            <w:hideMark/>
          </w:tcPr>
          <w:p w:rsidR="00627076" w:rsidRPr="00B0316C" w:rsidRDefault="00627076" w:rsidP="003E05A4">
            <w:pPr>
              <w:spacing w:before="0" w:after="0" w:line="240" w:lineRule="auto"/>
              <w:rPr>
                <w:sz w:val="22"/>
                <w:szCs w:val="22"/>
              </w:rPr>
            </w:pPr>
            <w:r w:rsidRPr="00B0316C">
              <w:rPr>
                <w:sz w:val="22"/>
                <w:szCs w:val="22"/>
              </w:rPr>
              <w:t>N= 18</w:t>
            </w:r>
          </w:p>
        </w:tc>
      </w:tr>
      <w:tr w:rsidR="00627076" w:rsidRPr="00B0316C" w:rsidTr="003E05A4">
        <w:tc>
          <w:tcPr>
            <w:tcW w:w="5395" w:type="dxa"/>
            <w:tcBorders>
              <w:top w:val="single" w:sz="4" w:space="0" w:color="90A1CF"/>
              <w:left w:val="single" w:sz="4" w:space="0" w:color="90A1CF"/>
              <w:bottom w:val="single" w:sz="4" w:space="0" w:color="90A1CF"/>
              <w:right w:val="nil"/>
            </w:tcBorders>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 xml:space="preserve">Statewide Provider </w:t>
            </w:r>
            <w:r w:rsidR="00801DCA">
              <w:rPr>
                <w:b/>
                <w:bCs/>
                <w:sz w:val="22"/>
                <w:szCs w:val="22"/>
              </w:rPr>
              <w:t>S</w:t>
            </w:r>
            <w:r w:rsidRPr="00B0316C">
              <w:rPr>
                <w:b/>
                <w:bCs/>
                <w:sz w:val="22"/>
                <w:szCs w:val="22"/>
              </w:rPr>
              <w:t xml:space="preserve">urvey </w:t>
            </w:r>
          </w:p>
        </w:tc>
        <w:tc>
          <w:tcPr>
            <w:tcW w:w="4050" w:type="dxa"/>
            <w:tcBorders>
              <w:top w:val="single" w:sz="4" w:space="0" w:color="90A1CF"/>
              <w:left w:val="nil"/>
              <w:bottom w:val="single" w:sz="4" w:space="0" w:color="90A1CF"/>
              <w:right w:val="single" w:sz="4" w:space="0" w:color="90A1CF"/>
            </w:tcBorders>
            <w:hideMark/>
          </w:tcPr>
          <w:p w:rsidR="00627076" w:rsidRPr="00B0316C" w:rsidRDefault="00627076" w:rsidP="003E05A4">
            <w:pPr>
              <w:spacing w:before="0" w:after="0" w:line="240" w:lineRule="auto"/>
              <w:rPr>
                <w:sz w:val="22"/>
                <w:szCs w:val="22"/>
              </w:rPr>
            </w:pPr>
            <w:r w:rsidRPr="00B0316C">
              <w:rPr>
                <w:sz w:val="22"/>
                <w:szCs w:val="22"/>
              </w:rPr>
              <w:t>N=25</w:t>
            </w:r>
          </w:p>
        </w:tc>
      </w:tr>
      <w:tr w:rsidR="00627076" w:rsidRPr="00B0316C" w:rsidTr="003E05A4">
        <w:tc>
          <w:tcPr>
            <w:tcW w:w="5395" w:type="dxa"/>
            <w:tcBorders>
              <w:top w:val="single" w:sz="4" w:space="0" w:color="90A1CF"/>
              <w:left w:val="single" w:sz="4" w:space="0" w:color="90A1CF"/>
              <w:bottom w:val="single" w:sz="4" w:space="0" w:color="90A1CF"/>
              <w:right w:val="nil"/>
            </w:tcBorders>
            <w:shd w:val="clear" w:color="auto" w:fill="D9DFEF"/>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Statewide Prevention Community Survey</w:t>
            </w:r>
          </w:p>
        </w:tc>
        <w:tc>
          <w:tcPr>
            <w:tcW w:w="4050" w:type="dxa"/>
            <w:tcBorders>
              <w:top w:val="single" w:sz="4" w:space="0" w:color="90A1CF"/>
              <w:left w:val="nil"/>
              <w:bottom w:val="single" w:sz="4" w:space="0" w:color="90A1CF"/>
              <w:right w:val="single" w:sz="4" w:space="0" w:color="90A1CF"/>
            </w:tcBorders>
            <w:shd w:val="clear" w:color="auto" w:fill="D9DFEF"/>
            <w:hideMark/>
          </w:tcPr>
          <w:p w:rsidR="00627076" w:rsidRPr="00B0316C" w:rsidRDefault="00627076" w:rsidP="003E05A4">
            <w:pPr>
              <w:spacing w:before="0" w:after="0" w:line="240" w:lineRule="auto"/>
              <w:rPr>
                <w:sz w:val="22"/>
                <w:szCs w:val="22"/>
              </w:rPr>
            </w:pPr>
            <w:r w:rsidRPr="00B0316C">
              <w:rPr>
                <w:sz w:val="22"/>
                <w:szCs w:val="22"/>
              </w:rPr>
              <w:t>N=1687</w:t>
            </w:r>
          </w:p>
        </w:tc>
      </w:tr>
      <w:tr w:rsidR="00627076" w:rsidRPr="00B0316C" w:rsidTr="003E05A4">
        <w:tc>
          <w:tcPr>
            <w:tcW w:w="5395" w:type="dxa"/>
            <w:tcBorders>
              <w:top w:val="single" w:sz="4" w:space="0" w:color="90A1CF"/>
              <w:left w:val="single" w:sz="4" w:space="0" w:color="90A1CF"/>
              <w:bottom w:val="single" w:sz="4" w:space="0" w:color="90A1CF"/>
              <w:right w:val="nil"/>
            </w:tcBorders>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Statewide Client and Community Focus Groups</w:t>
            </w:r>
          </w:p>
        </w:tc>
        <w:tc>
          <w:tcPr>
            <w:tcW w:w="4050" w:type="dxa"/>
            <w:tcBorders>
              <w:top w:val="single" w:sz="4" w:space="0" w:color="90A1CF"/>
              <w:left w:val="nil"/>
              <w:bottom w:val="single" w:sz="4" w:space="0" w:color="90A1CF"/>
              <w:right w:val="single" w:sz="4" w:space="0" w:color="90A1CF"/>
            </w:tcBorders>
            <w:hideMark/>
          </w:tcPr>
          <w:p w:rsidR="00627076" w:rsidRPr="00B0316C" w:rsidRDefault="00627076" w:rsidP="003E05A4">
            <w:pPr>
              <w:spacing w:before="0" w:after="0" w:line="240" w:lineRule="auto"/>
              <w:rPr>
                <w:sz w:val="22"/>
                <w:szCs w:val="22"/>
              </w:rPr>
            </w:pPr>
            <w:r w:rsidRPr="00B0316C">
              <w:rPr>
                <w:sz w:val="22"/>
                <w:szCs w:val="22"/>
              </w:rPr>
              <w:t xml:space="preserve">20 focus groups </w:t>
            </w:r>
          </w:p>
          <w:p w:rsidR="00627076" w:rsidRPr="00B0316C" w:rsidRDefault="00627076" w:rsidP="003E05A4">
            <w:pPr>
              <w:spacing w:before="0" w:after="0" w:line="240" w:lineRule="auto"/>
              <w:rPr>
                <w:sz w:val="22"/>
                <w:szCs w:val="22"/>
              </w:rPr>
            </w:pPr>
            <w:r w:rsidRPr="00B0316C">
              <w:rPr>
                <w:sz w:val="22"/>
                <w:szCs w:val="22"/>
              </w:rPr>
              <w:t>N=191 participants</w:t>
            </w:r>
          </w:p>
        </w:tc>
      </w:tr>
      <w:tr w:rsidR="00627076" w:rsidRPr="00B0316C" w:rsidTr="003E05A4">
        <w:tc>
          <w:tcPr>
            <w:tcW w:w="5395" w:type="dxa"/>
            <w:tcBorders>
              <w:top w:val="single" w:sz="4" w:space="0" w:color="90A1CF"/>
              <w:left w:val="single" w:sz="4" w:space="0" w:color="90A1CF"/>
              <w:bottom w:val="single" w:sz="4" w:space="0" w:color="90A1CF"/>
              <w:right w:val="nil"/>
            </w:tcBorders>
            <w:shd w:val="clear" w:color="auto" w:fill="D9DFEF"/>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Part A Client Focus Groups</w:t>
            </w:r>
          </w:p>
        </w:tc>
        <w:tc>
          <w:tcPr>
            <w:tcW w:w="4050" w:type="dxa"/>
            <w:tcBorders>
              <w:top w:val="single" w:sz="4" w:space="0" w:color="90A1CF"/>
              <w:left w:val="nil"/>
              <w:bottom w:val="single" w:sz="4" w:space="0" w:color="90A1CF"/>
              <w:right w:val="single" w:sz="4" w:space="0" w:color="90A1CF"/>
            </w:tcBorders>
            <w:shd w:val="clear" w:color="auto" w:fill="D9DFEF"/>
            <w:hideMark/>
          </w:tcPr>
          <w:p w:rsidR="00627076" w:rsidRPr="00B0316C" w:rsidRDefault="00627076" w:rsidP="003E05A4">
            <w:pPr>
              <w:spacing w:before="0" w:after="0" w:line="240" w:lineRule="auto"/>
              <w:rPr>
                <w:sz w:val="22"/>
                <w:szCs w:val="22"/>
              </w:rPr>
            </w:pPr>
            <w:r w:rsidRPr="00B0316C">
              <w:rPr>
                <w:sz w:val="22"/>
                <w:szCs w:val="22"/>
              </w:rPr>
              <w:t xml:space="preserve">6 focus groups </w:t>
            </w:r>
          </w:p>
          <w:p w:rsidR="00627076" w:rsidRPr="00B0316C" w:rsidRDefault="00627076" w:rsidP="003E05A4">
            <w:pPr>
              <w:spacing w:before="0" w:after="0" w:line="240" w:lineRule="auto"/>
              <w:rPr>
                <w:sz w:val="22"/>
                <w:szCs w:val="22"/>
              </w:rPr>
            </w:pPr>
            <w:r w:rsidRPr="00B0316C">
              <w:rPr>
                <w:sz w:val="22"/>
                <w:szCs w:val="22"/>
              </w:rPr>
              <w:t>N=30 participants</w:t>
            </w:r>
          </w:p>
        </w:tc>
      </w:tr>
      <w:tr w:rsidR="00627076" w:rsidRPr="00B0316C" w:rsidTr="003E05A4">
        <w:trPr>
          <w:trHeight w:val="323"/>
        </w:trPr>
        <w:tc>
          <w:tcPr>
            <w:tcW w:w="5395" w:type="dxa"/>
            <w:tcBorders>
              <w:top w:val="single" w:sz="4" w:space="0" w:color="90A1CF"/>
              <w:left w:val="single" w:sz="4" w:space="0" w:color="90A1CF"/>
              <w:bottom w:val="single" w:sz="4" w:space="0" w:color="90A1CF"/>
              <w:right w:val="nil"/>
            </w:tcBorders>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Part A In-Care Client Survey</w:t>
            </w:r>
          </w:p>
        </w:tc>
        <w:tc>
          <w:tcPr>
            <w:tcW w:w="4050" w:type="dxa"/>
            <w:tcBorders>
              <w:top w:val="single" w:sz="4" w:space="0" w:color="90A1CF"/>
              <w:left w:val="nil"/>
              <w:bottom w:val="single" w:sz="4" w:space="0" w:color="90A1CF"/>
              <w:right w:val="single" w:sz="4" w:space="0" w:color="90A1CF"/>
            </w:tcBorders>
            <w:hideMark/>
          </w:tcPr>
          <w:p w:rsidR="00627076" w:rsidRPr="00B0316C" w:rsidRDefault="00627076" w:rsidP="003E05A4">
            <w:pPr>
              <w:spacing w:before="0" w:after="0" w:line="240" w:lineRule="auto"/>
              <w:rPr>
                <w:sz w:val="22"/>
                <w:szCs w:val="22"/>
              </w:rPr>
            </w:pPr>
            <w:r w:rsidRPr="00B0316C">
              <w:rPr>
                <w:sz w:val="22"/>
                <w:szCs w:val="22"/>
              </w:rPr>
              <w:t>N= 273</w:t>
            </w:r>
          </w:p>
        </w:tc>
      </w:tr>
      <w:tr w:rsidR="00627076" w:rsidRPr="00B0316C" w:rsidTr="003E05A4">
        <w:trPr>
          <w:trHeight w:val="332"/>
        </w:trPr>
        <w:tc>
          <w:tcPr>
            <w:tcW w:w="5395" w:type="dxa"/>
            <w:tcBorders>
              <w:top w:val="single" w:sz="4" w:space="0" w:color="90A1CF"/>
              <w:left w:val="single" w:sz="4" w:space="0" w:color="90A1CF"/>
              <w:bottom w:val="single" w:sz="4" w:space="0" w:color="90A1CF"/>
              <w:right w:val="nil"/>
            </w:tcBorders>
            <w:shd w:val="clear" w:color="auto" w:fill="D9DFEF"/>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Part A Out-of-Care Survey</w:t>
            </w:r>
          </w:p>
        </w:tc>
        <w:tc>
          <w:tcPr>
            <w:tcW w:w="4050" w:type="dxa"/>
            <w:tcBorders>
              <w:top w:val="single" w:sz="4" w:space="0" w:color="90A1CF"/>
              <w:left w:val="nil"/>
              <w:bottom w:val="single" w:sz="4" w:space="0" w:color="90A1CF"/>
              <w:right w:val="single" w:sz="4" w:space="0" w:color="90A1CF"/>
            </w:tcBorders>
            <w:shd w:val="clear" w:color="auto" w:fill="D9DFEF"/>
            <w:hideMark/>
          </w:tcPr>
          <w:p w:rsidR="00627076" w:rsidRPr="00B0316C" w:rsidRDefault="00627076" w:rsidP="003E05A4">
            <w:pPr>
              <w:spacing w:before="0" w:after="0" w:line="240" w:lineRule="auto"/>
              <w:rPr>
                <w:sz w:val="22"/>
                <w:szCs w:val="22"/>
              </w:rPr>
            </w:pPr>
            <w:r w:rsidRPr="00B0316C">
              <w:rPr>
                <w:sz w:val="22"/>
                <w:szCs w:val="22"/>
              </w:rPr>
              <w:t>N= 51</w:t>
            </w:r>
          </w:p>
        </w:tc>
      </w:tr>
      <w:tr w:rsidR="00627076" w:rsidRPr="00B0316C" w:rsidTr="003E05A4">
        <w:trPr>
          <w:trHeight w:val="278"/>
        </w:trPr>
        <w:tc>
          <w:tcPr>
            <w:tcW w:w="5395" w:type="dxa"/>
            <w:tcBorders>
              <w:top w:val="single" w:sz="4" w:space="0" w:color="90A1CF"/>
              <w:left w:val="single" w:sz="4" w:space="0" w:color="90A1CF"/>
              <w:bottom w:val="single" w:sz="4" w:space="0" w:color="90A1CF"/>
              <w:right w:val="nil"/>
            </w:tcBorders>
            <w:hideMark/>
          </w:tcPr>
          <w:p w:rsidR="00627076" w:rsidRPr="00B0316C" w:rsidRDefault="00627076" w:rsidP="00E73293">
            <w:pPr>
              <w:pStyle w:val="ListParagraph"/>
              <w:numPr>
                <w:ilvl w:val="0"/>
                <w:numId w:val="8"/>
              </w:numPr>
              <w:spacing w:before="0" w:after="0" w:line="240" w:lineRule="auto"/>
              <w:ind w:left="337"/>
              <w:rPr>
                <w:b/>
                <w:sz w:val="22"/>
                <w:szCs w:val="22"/>
              </w:rPr>
            </w:pPr>
            <w:r w:rsidRPr="00B0316C">
              <w:rPr>
                <w:b/>
                <w:bCs/>
                <w:sz w:val="22"/>
                <w:szCs w:val="22"/>
              </w:rPr>
              <w:t>Part B Client Survey</w:t>
            </w:r>
          </w:p>
        </w:tc>
        <w:tc>
          <w:tcPr>
            <w:tcW w:w="4050" w:type="dxa"/>
            <w:tcBorders>
              <w:top w:val="single" w:sz="4" w:space="0" w:color="90A1CF"/>
              <w:left w:val="nil"/>
              <w:bottom w:val="single" w:sz="4" w:space="0" w:color="90A1CF"/>
              <w:right w:val="single" w:sz="4" w:space="0" w:color="90A1CF"/>
            </w:tcBorders>
            <w:hideMark/>
          </w:tcPr>
          <w:p w:rsidR="00627076" w:rsidRPr="00B0316C" w:rsidRDefault="00627076" w:rsidP="003E05A4">
            <w:pPr>
              <w:spacing w:before="0" w:after="0" w:line="240" w:lineRule="auto"/>
              <w:ind w:left="-23"/>
              <w:rPr>
                <w:sz w:val="22"/>
                <w:szCs w:val="22"/>
              </w:rPr>
            </w:pPr>
            <w:r w:rsidRPr="00B0316C">
              <w:rPr>
                <w:sz w:val="22"/>
                <w:szCs w:val="22"/>
              </w:rPr>
              <w:t>N=177</w:t>
            </w:r>
          </w:p>
        </w:tc>
      </w:tr>
      <w:tr w:rsidR="00627076" w:rsidRPr="00B0316C" w:rsidTr="003E05A4">
        <w:tc>
          <w:tcPr>
            <w:tcW w:w="5395" w:type="dxa"/>
            <w:tcBorders>
              <w:top w:val="single" w:sz="4" w:space="0" w:color="90A1CF"/>
              <w:left w:val="single" w:sz="4" w:space="0" w:color="90A1CF"/>
              <w:bottom w:val="single" w:sz="4" w:space="0" w:color="90A1CF"/>
              <w:right w:val="nil"/>
            </w:tcBorders>
            <w:shd w:val="clear" w:color="auto" w:fill="D9DFEF"/>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Part A Newly Diagnosed Client Survey</w:t>
            </w:r>
          </w:p>
        </w:tc>
        <w:tc>
          <w:tcPr>
            <w:tcW w:w="4050" w:type="dxa"/>
            <w:tcBorders>
              <w:top w:val="single" w:sz="4" w:space="0" w:color="90A1CF"/>
              <w:left w:val="nil"/>
              <w:bottom w:val="single" w:sz="4" w:space="0" w:color="90A1CF"/>
              <w:right w:val="single" w:sz="4" w:space="0" w:color="90A1CF"/>
            </w:tcBorders>
            <w:shd w:val="clear" w:color="auto" w:fill="D9DFEF"/>
            <w:hideMark/>
          </w:tcPr>
          <w:p w:rsidR="00627076" w:rsidRPr="00B0316C" w:rsidRDefault="00627076" w:rsidP="003E05A4">
            <w:pPr>
              <w:spacing w:before="0" w:after="0" w:line="240" w:lineRule="auto"/>
              <w:rPr>
                <w:sz w:val="22"/>
                <w:szCs w:val="22"/>
              </w:rPr>
            </w:pPr>
            <w:r w:rsidRPr="00B0316C">
              <w:rPr>
                <w:sz w:val="22"/>
                <w:szCs w:val="22"/>
              </w:rPr>
              <w:t>N=89</w:t>
            </w:r>
          </w:p>
        </w:tc>
      </w:tr>
      <w:tr w:rsidR="00627076" w:rsidRPr="00B0316C" w:rsidTr="003E05A4">
        <w:tc>
          <w:tcPr>
            <w:tcW w:w="5395" w:type="dxa"/>
            <w:tcBorders>
              <w:top w:val="single" w:sz="4" w:space="0" w:color="90A1CF"/>
              <w:left w:val="single" w:sz="4" w:space="0" w:color="90A1CF"/>
              <w:bottom w:val="single" w:sz="4" w:space="0" w:color="90A1CF"/>
              <w:right w:val="nil"/>
            </w:tcBorders>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Part A Recently Relocated Client Survey</w:t>
            </w:r>
          </w:p>
        </w:tc>
        <w:tc>
          <w:tcPr>
            <w:tcW w:w="4050" w:type="dxa"/>
            <w:tcBorders>
              <w:top w:val="single" w:sz="4" w:space="0" w:color="90A1CF"/>
              <w:left w:val="nil"/>
              <w:bottom w:val="single" w:sz="4" w:space="0" w:color="90A1CF"/>
              <w:right w:val="single" w:sz="4" w:space="0" w:color="90A1CF"/>
            </w:tcBorders>
            <w:hideMark/>
          </w:tcPr>
          <w:p w:rsidR="00627076" w:rsidRPr="00B0316C" w:rsidRDefault="00627076" w:rsidP="003E05A4">
            <w:pPr>
              <w:spacing w:before="0" w:after="0" w:line="240" w:lineRule="auto"/>
              <w:rPr>
                <w:sz w:val="22"/>
                <w:szCs w:val="22"/>
              </w:rPr>
            </w:pPr>
            <w:r w:rsidRPr="00B0316C">
              <w:rPr>
                <w:sz w:val="22"/>
                <w:szCs w:val="22"/>
              </w:rPr>
              <w:t>N=55</w:t>
            </w:r>
          </w:p>
        </w:tc>
      </w:tr>
      <w:tr w:rsidR="00627076" w:rsidRPr="00B0316C" w:rsidTr="003E05A4">
        <w:tc>
          <w:tcPr>
            <w:tcW w:w="5395" w:type="dxa"/>
            <w:tcBorders>
              <w:top w:val="single" w:sz="4" w:space="0" w:color="90A1CF"/>
              <w:left w:val="single" w:sz="4" w:space="0" w:color="90A1CF"/>
              <w:bottom w:val="single" w:sz="4" w:space="0" w:color="90A1CF"/>
              <w:right w:val="nil"/>
            </w:tcBorders>
            <w:shd w:val="clear" w:color="auto" w:fill="D9DFEF"/>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Part A Returned to Care Client Survey</w:t>
            </w:r>
          </w:p>
        </w:tc>
        <w:tc>
          <w:tcPr>
            <w:tcW w:w="4050" w:type="dxa"/>
            <w:tcBorders>
              <w:top w:val="single" w:sz="4" w:space="0" w:color="90A1CF"/>
              <w:left w:val="nil"/>
              <w:bottom w:val="single" w:sz="4" w:space="0" w:color="90A1CF"/>
              <w:right w:val="single" w:sz="4" w:space="0" w:color="90A1CF"/>
            </w:tcBorders>
            <w:shd w:val="clear" w:color="auto" w:fill="D9DFEF"/>
            <w:hideMark/>
          </w:tcPr>
          <w:p w:rsidR="00627076" w:rsidRPr="00B0316C" w:rsidRDefault="00627076" w:rsidP="003E05A4">
            <w:pPr>
              <w:spacing w:before="0" w:after="0" w:line="240" w:lineRule="auto"/>
              <w:rPr>
                <w:sz w:val="22"/>
                <w:szCs w:val="22"/>
              </w:rPr>
            </w:pPr>
            <w:r w:rsidRPr="00B0316C">
              <w:rPr>
                <w:sz w:val="22"/>
                <w:szCs w:val="22"/>
              </w:rPr>
              <w:t>N=61</w:t>
            </w:r>
          </w:p>
        </w:tc>
      </w:tr>
      <w:tr w:rsidR="00627076" w:rsidRPr="00B0316C" w:rsidTr="003E05A4">
        <w:tc>
          <w:tcPr>
            <w:tcW w:w="5395" w:type="dxa"/>
            <w:tcBorders>
              <w:top w:val="single" w:sz="4" w:space="0" w:color="90A1CF"/>
              <w:left w:val="single" w:sz="4" w:space="0" w:color="90A1CF"/>
              <w:bottom w:val="single" w:sz="4" w:space="0" w:color="90A1CF"/>
              <w:right w:val="nil"/>
            </w:tcBorders>
            <w:hideMark/>
          </w:tcPr>
          <w:p w:rsidR="00627076" w:rsidRPr="00B0316C" w:rsidRDefault="00627076" w:rsidP="00E73293">
            <w:pPr>
              <w:pStyle w:val="ListParagraph"/>
              <w:numPr>
                <w:ilvl w:val="0"/>
                <w:numId w:val="8"/>
              </w:numPr>
              <w:spacing w:before="0" w:after="0" w:line="240" w:lineRule="auto"/>
              <w:ind w:left="337"/>
              <w:rPr>
                <w:b/>
                <w:bCs/>
                <w:sz w:val="22"/>
                <w:szCs w:val="22"/>
              </w:rPr>
            </w:pPr>
            <w:r w:rsidRPr="00B0316C">
              <w:rPr>
                <w:b/>
                <w:bCs/>
                <w:sz w:val="22"/>
                <w:szCs w:val="22"/>
              </w:rPr>
              <w:t>Part A Consumer Satisfaction Survey</w:t>
            </w:r>
          </w:p>
        </w:tc>
        <w:tc>
          <w:tcPr>
            <w:tcW w:w="4050" w:type="dxa"/>
            <w:tcBorders>
              <w:top w:val="single" w:sz="4" w:space="0" w:color="90A1CF"/>
              <w:left w:val="nil"/>
              <w:bottom w:val="single" w:sz="4" w:space="0" w:color="90A1CF"/>
              <w:right w:val="single" w:sz="4" w:space="0" w:color="90A1CF"/>
            </w:tcBorders>
            <w:hideMark/>
          </w:tcPr>
          <w:p w:rsidR="00627076" w:rsidRPr="00B0316C" w:rsidRDefault="00627076" w:rsidP="003E05A4">
            <w:pPr>
              <w:spacing w:before="0" w:after="0" w:line="240" w:lineRule="auto"/>
              <w:rPr>
                <w:sz w:val="22"/>
                <w:szCs w:val="22"/>
              </w:rPr>
            </w:pPr>
            <w:r w:rsidRPr="00B0316C">
              <w:rPr>
                <w:sz w:val="22"/>
                <w:szCs w:val="22"/>
              </w:rPr>
              <w:t>N=132</w:t>
            </w:r>
          </w:p>
        </w:tc>
      </w:tr>
    </w:tbl>
    <w:p w:rsidR="00A65217" w:rsidRDefault="00A65217" w:rsidP="00A65217">
      <w:bookmarkStart w:id="46" w:name="_Toc461188589"/>
    </w:p>
    <w:p w:rsidR="00512FE8" w:rsidRPr="00B0316C" w:rsidRDefault="00A51D20" w:rsidP="00A51D20">
      <w:pPr>
        <w:pStyle w:val="Heading3"/>
      </w:pPr>
      <w:r w:rsidRPr="00B0316C">
        <w:lastRenderedPageBreak/>
        <w:t>Data Policies</w:t>
      </w:r>
      <w:bookmarkEnd w:id="46"/>
    </w:p>
    <w:p w:rsidR="00566304" w:rsidRPr="000D1265" w:rsidRDefault="00566304" w:rsidP="00E73293">
      <w:pPr>
        <w:pStyle w:val="ListParagraph"/>
        <w:widowControl w:val="0"/>
        <w:numPr>
          <w:ilvl w:val="0"/>
          <w:numId w:val="59"/>
        </w:numPr>
        <w:tabs>
          <w:tab w:val="left" w:pos="220"/>
          <w:tab w:val="left" w:pos="720"/>
        </w:tabs>
        <w:autoSpaceDE w:val="0"/>
        <w:autoSpaceDN w:val="0"/>
        <w:adjustRightInd w:val="0"/>
        <w:rPr>
          <w:rFonts w:eastAsia="MS Gothic" w:cs="MS Gothic"/>
          <w:i/>
          <w:sz w:val="22"/>
          <w:szCs w:val="22"/>
        </w:rPr>
      </w:pPr>
      <w:r w:rsidRPr="000D1265">
        <w:rPr>
          <w:rFonts w:cs="Calibri Light"/>
          <w:i/>
          <w:sz w:val="22"/>
          <w:szCs w:val="22"/>
        </w:rPr>
        <w:t xml:space="preserve">Describe any data policies that facilitated and/or served as barriers to the conduct of the needs assessment, including the development of the HIV Care Continuum. </w:t>
      </w:r>
      <w:r w:rsidRPr="000D1265">
        <w:rPr>
          <w:rFonts w:ascii="MS Gothic" w:eastAsia="MS Gothic" w:hAnsi="MS Gothic" w:cs="MS Gothic" w:hint="eastAsia"/>
          <w:i/>
          <w:sz w:val="22"/>
          <w:szCs w:val="22"/>
        </w:rPr>
        <w:t> </w:t>
      </w:r>
    </w:p>
    <w:p w:rsidR="00566304" w:rsidRDefault="00566304" w:rsidP="00012F81">
      <w:pPr>
        <w:pStyle w:val="ListParagraph"/>
        <w:widowControl w:val="0"/>
        <w:tabs>
          <w:tab w:val="left" w:pos="220"/>
        </w:tabs>
        <w:autoSpaceDE w:val="0"/>
        <w:autoSpaceDN w:val="0"/>
        <w:adjustRightInd w:val="0"/>
        <w:ind w:left="0"/>
        <w:jc w:val="both"/>
        <w:rPr>
          <w:rFonts w:cs="Calibri Light"/>
          <w:sz w:val="22"/>
          <w:szCs w:val="22"/>
        </w:rPr>
      </w:pPr>
    </w:p>
    <w:p w:rsidR="00512FE8" w:rsidRPr="00CE29AC" w:rsidRDefault="00512FE8" w:rsidP="00E2798A">
      <w:pPr>
        <w:pStyle w:val="ListParagraph"/>
        <w:widowControl w:val="0"/>
        <w:tabs>
          <w:tab w:val="left" w:pos="220"/>
        </w:tabs>
        <w:autoSpaceDE w:val="0"/>
        <w:autoSpaceDN w:val="0"/>
        <w:adjustRightInd w:val="0"/>
        <w:ind w:left="0"/>
        <w:jc w:val="both"/>
        <w:rPr>
          <w:rFonts w:ascii="MS Gothic" w:eastAsia="MS Gothic" w:hAnsi="MS Gothic" w:cs="MS Gothic"/>
          <w:sz w:val="22"/>
          <w:szCs w:val="22"/>
        </w:rPr>
      </w:pPr>
      <w:r w:rsidRPr="00CE29AC">
        <w:rPr>
          <w:rFonts w:cs="Calibri Light"/>
          <w:sz w:val="22"/>
          <w:szCs w:val="22"/>
        </w:rPr>
        <w:t xml:space="preserve">Although it was not in effect in time to provide additional CD4 </w:t>
      </w:r>
      <w:r w:rsidR="000E6F65" w:rsidRPr="00CE29AC">
        <w:rPr>
          <w:rFonts w:cs="Calibri Light"/>
          <w:sz w:val="22"/>
          <w:szCs w:val="22"/>
        </w:rPr>
        <w:t xml:space="preserve">and </w:t>
      </w:r>
      <w:r w:rsidRPr="00CE29AC">
        <w:rPr>
          <w:rFonts w:cs="Calibri Light"/>
          <w:sz w:val="22"/>
          <w:szCs w:val="22"/>
        </w:rPr>
        <w:t xml:space="preserve">viral load data for this current integrated plan, a new data policy regarding reporting of all levels of CD4 </w:t>
      </w:r>
      <w:r w:rsidR="000E6F65" w:rsidRPr="00CE29AC">
        <w:rPr>
          <w:rFonts w:cs="Calibri Light"/>
          <w:sz w:val="22"/>
          <w:szCs w:val="22"/>
        </w:rPr>
        <w:t xml:space="preserve">and viral loads </w:t>
      </w:r>
      <w:r w:rsidRPr="00CE29AC">
        <w:rPr>
          <w:rFonts w:cs="Calibri Light"/>
          <w:sz w:val="22"/>
          <w:szCs w:val="22"/>
        </w:rPr>
        <w:t>was put into effect in September 2015 that will improve the accuracy of HIV data in Nevada for future reports and plans. The Nevada State Board of Health implemented changes to Nevada Administrative Code (NAC) 441A.235. The new regulations state that laboratories shall report the results of any test of any specimen derived from the human body to the health authority if a) the test results confirm the presence of HIV; or b) the test was conducted to monitor the progression of HIV, including, without limitation, all levels of CD4, and both detectable and undetectable viral loads.</w:t>
      </w:r>
    </w:p>
    <w:p w:rsidR="00526310" w:rsidRPr="00CE29AC" w:rsidRDefault="001B146B" w:rsidP="00E2798A">
      <w:pPr>
        <w:jc w:val="both"/>
        <w:rPr>
          <w:sz w:val="22"/>
          <w:szCs w:val="22"/>
        </w:rPr>
      </w:pPr>
      <w:r w:rsidRPr="00CE29AC">
        <w:rPr>
          <w:sz w:val="22"/>
          <w:szCs w:val="22"/>
        </w:rPr>
        <w:t xml:space="preserve">Data collection is a significant barrier to developing a care continuum for the Las Vegas TGA. Both the Ryan White Part A services data and HIV surveillance data have significant limitations. One of the major limitations of the Ryan White Part A services data is that many clients do not receive medical care through a Ryan White provider due to the implementation of the Affordable Care Act, so their medical visit, prescription, and lab information are not documented in CAREWare. </w:t>
      </w:r>
    </w:p>
    <w:p w:rsidR="00526310" w:rsidRPr="00CE29AC" w:rsidRDefault="001B146B" w:rsidP="00E2798A">
      <w:pPr>
        <w:jc w:val="both"/>
        <w:rPr>
          <w:sz w:val="22"/>
          <w:szCs w:val="22"/>
        </w:rPr>
      </w:pPr>
      <w:r w:rsidRPr="00CE29AC">
        <w:rPr>
          <w:sz w:val="22"/>
          <w:szCs w:val="22"/>
        </w:rPr>
        <w:t xml:space="preserve">Las Vegas is also a very transient area, so both the Ryan White and Surveillance program face a great challenge in determining if people truly missed their medical appointments or they have moved out of the area. To address these challenges, the Ryan White Part A program has instituted eligible scope reporting as of CY 2015, and the Nevada Division of Public and Behavioral Health </w:t>
      </w:r>
      <w:r w:rsidR="000E6F65" w:rsidRPr="00CE29AC">
        <w:rPr>
          <w:sz w:val="22"/>
          <w:szCs w:val="22"/>
        </w:rPr>
        <w:t>successfully worked</w:t>
      </w:r>
      <w:r w:rsidRPr="00CE29AC">
        <w:rPr>
          <w:sz w:val="22"/>
          <w:szCs w:val="22"/>
        </w:rPr>
        <w:t xml:space="preserve"> to revise the state administrative code to require mandatory reporting of all CD4 and viral load results to the health authority. These actions </w:t>
      </w:r>
      <w:r w:rsidR="000E6F65" w:rsidRPr="00CE29AC">
        <w:rPr>
          <w:sz w:val="22"/>
          <w:szCs w:val="22"/>
        </w:rPr>
        <w:t xml:space="preserve">will </w:t>
      </w:r>
      <w:r w:rsidRPr="00CE29AC">
        <w:rPr>
          <w:sz w:val="22"/>
          <w:szCs w:val="22"/>
        </w:rPr>
        <w:t xml:space="preserve">improve the accuracy of the continuum of care measures and result in more effective use of the Care Continuum model in the Part A program. Until 2015, service data have been reported under </w:t>
      </w:r>
      <w:r w:rsidR="0020248F" w:rsidRPr="00CE29AC">
        <w:rPr>
          <w:sz w:val="22"/>
          <w:szCs w:val="22"/>
        </w:rPr>
        <w:t>the funded scope guidelines. T</w:t>
      </w:r>
      <w:r w:rsidRPr="00CE29AC">
        <w:rPr>
          <w:sz w:val="22"/>
          <w:szCs w:val="22"/>
        </w:rPr>
        <w:t xml:space="preserve">his has resulted in large gaps in service and lab data, making it difficult to create an accurate continuum. </w:t>
      </w:r>
    </w:p>
    <w:p w:rsidR="001B146B" w:rsidRDefault="001B146B" w:rsidP="00E2798A">
      <w:pPr>
        <w:jc w:val="both"/>
        <w:rPr>
          <w:sz w:val="22"/>
          <w:szCs w:val="22"/>
        </w:rPr>
      </w:pPr>
      <w:r w:rsidRPr="00CE29AC">
        <w:rPr>
          <w:sz w:val="22"/>
          <w:szCs w:val="22"/>
        </w:rPr>
        <w:t>A challenge is also created due to CDC and HRSA not aligning on the definitions of each stage of the continuum. This creates confusion</w:t>
      </w:r>
      <w:r w:rsidR="000E6F65" w:rsidRPr="00CE29AC">
        <w:rPr>
          <w:sz w:val="22"/>
          <w:szCs w:val="22"/>
        </w:rPr>
        <w:t>,</w:t>
      </w:r>
      <w:r w:rsidRPr="00CE29AC">
        <w:rPr>
          <w:sz w:val="22"/>
          <w:szCs w:val="22"/>
        </w:rPr>
        <w:t xml:space="preserve"> and extra time is needed to clarify which description of numerator/denominator is being used. This also creates issues when utilizing the care continuum for other grant related projects, especially when collaborating with other grantees, such as the Integrated HIV Prevention and Care Plan Guidance. Nevada HIV surveillance does not utilize the HRSA definitions and have already built reports according to the CDC definitions.</w:t>
      </w:r>
    </w:p>
    <w:p w:rsidR="00801DCA" w:rsidRDefault="00801DCA" w:rsidP="00E2798A">
      <w:pPr>
        <w:jc w:val="both"/>
        <w:rPr>
          <w:sz w:val="22"/>
          <w:szCs w:val="22"/>
        </w:rPr>
      </w:pPr>
    </w:p>
    <w:p w:rsidR="00006842" w:rsidRDefault="00006842" w:rsidP="00E2798A">
      <w:pPr>
        <w:jc w:val="both"/>
        <w:rPr>
          <w:sz w:val="22"/>
          <w:szCs w:val="22"/>
        </w:rPr>
      </w:pPr>
    </w:p>
    <w:p w:rsidR="00006842" w:rsidRDefault="00006842" w:rsidP="00E2798A">
      <w:pPr>
        <w:jc w:val="both"/>
        <w:rPr>
          <w:sz w:val="22"/>
          <w:szCs w:val="22"/>
        </w:rPr>
      </w:pPr>
    </w:p>
    <w:p w:rsidR="00006842" w:rsidRDefault="00006842" w:rsidP="00E2798A">
      <w:pPr>
        <w:jc w:val="both"/>
        <w:rPr>
          <w:sz w:val="22"/>
          <w:szCs w:val="22"/>
        </w:rPr>
      </w:pPr>
    </w:p>
    <w:p w:rsidR="00512FE8" w:rsidRPr="00B0316C" w:rsidRDefault="00A51D20" w:rsidP="00A51D20">
      <w:pPr>
        <w:pStyle w:val="Heading3"/>
      </w:pPr>
      <w:bookmarkStart w:id="47" w:name="_Toc461188590"/>
      <w:r w:rsidRPr="00B0316C">
        <w:lastRenderedPageBreak/>
        <w:t>Desired Data and Information</w:t>
      </w:r>
      <w:bookmarkEnd w:id="47"/>
    </w:p>
    <w:p w:rsidR="00566304" w:rsidRPr="000D1265" w:rsidRDefault="00566304" w:rsidP="00E73293">
      <w:pPr>
        <w:pStyle w:val="ListParagraph"/>
        <w:widowControl w:val="0"/>
        <w:numPr>
          <w:ilvl w:val="0"/>
          <w:numId w:val="59"/>
        </w:numPr>
        <w:tabs>
          <w:tab w:val="left" w:pos="220"/>
          <w:tab w:val="left" w:pos="720"/>
        </w:tabs>
        <w:autoSpaceDE w:val="0"/>
        <w:autoSpaceDN w:val="0"/>
        <w:adjustRightInd w:val="0"/>
        <w:rPr>
          <w:rFonts w:cs="Calibri Light"/>
          <w:i/>
          <w:sz w:val="22"/>
          <w:szCs w:val="22"/>
        </w:rPr>
      </w:pPr>
      <w:r w:rsidRPr="000D1265">
        <w:rPr>
          <w:rFonts w:cs="Calibri Light"/>
          <w:i/>
          <w:sz w:val="22"/>
          <w:szCs w:val="22"/>
        </w:rPr>
        <w:t xml:space="preserve">Describe any data and/or information that the planning group would like to have used in conducting the needs assessment including developing the HIV Care Continuum and the plan, but that was unavailable. </w:t>
      </w:r>
      <w:r w:rsidRPr="000D1265">
        <w:rPr>
          <w:rFonts w:ascii="MS Gothic" w:eastAsia="MS Gothic" w:hAnsi="MS Gothic" w:cs="MS Gothic" w:hint="eastAsia"/>
          <w:i/>
          <w:sz w:val="22"/>
          <w:szCs w:val="22"/>
        </w:rPr>
        <w:t> </w:t>
      </w:r>
    </w:p>
    <w:p w:rsidR="00566304" w:rsidRDefault="00566304" w:rsidP="00CE29AC">
      <w:pPr>
        <w:pStyle w:val="ListParagraph"/>
        <w:widowControl w:val="0"/>
        <w:tabs>
          <w:tab w:val="left" w:pos="220"/>
        </w:tabs>
        <w:autoSpaceDE w:val="0"/>
        <w:autoSpaceDN w:val="0"/>
        <w:adjustRightInd w:val="0"/>
        <w:ind w:left="0"/>
        <w:jc w:val="both"/>
        <w:rPr>
          <w:rFonts w:cs="Calibri Light"/>
          <w:sz w:val="22"/>
          <w:szCs w:val="22"/>
        </w:rPr>
      </w:pPr>
    </w:p>
    <w:p w:rsidR="00566304" w:rsidRDefault="00512FE8" w:rsidP="00CE29AC">
      <w:pPr>
        <w:pStyle w:val="ListParagraph"/>
        <w:widowControl w:val="0"/>
        <w:tabs>
          <w:tab w:val="left" w:pos="220"/>
        </w:tabs>
        <w:autoSpaceDE w:val="0"/>
        <w:autoSpaceDN w:val="0"/>
        <w:adjustRightInd w:val="0"/>
        <w:ind w:left="0"/>
        <w:jc w:val="both"/>
        <w:rPr>
          <w:rFonts w:cs="Calibri Light"/>
          <w:sz w:val="22"/>
          <w:szCs w:val="22"/>
        </w:rPr>
      </w:pPr>
      <w:r w:rsidRPr="00B0316C">
        <w:rPr>
          <w:rFonts w:cs="Calibri Light"/>
          <w:sz w:val="22"/>
          <w:szCs w:val="22"/>
        </w:rPr>
        <w:t>Data is lacking on PLWH’s use of dental, mental health, and substance abuse services when they access it from non-Ryan White funded providers. Other gaps in information relate to where people are initially diagnosed</w:t>
      </w:r>
      <w:r w:rsidR="000E6F65">
        <w:rPr>
          <w:rFonts w:cs="Calibri Light"/>
          <w:sz w:val="22"/>
          <w:szCs w:val="22"/>
        </w:rPr>
        <w:t>. Information on</w:t>
      </w:r>
      <w:r w:rsidRPr="00B0316C">
        <w:rPr>
          <w:rFonts w:cs="Calibri Light"/>
          <w:sz w:val="22"/>
          <w:szCs w:val="22"/>
        </w:rPr>
        <w:t xml:space="preserve"> people leav</w:t>
      </w:r>
      <w:r w:rsidR="000E6F65">
        <w:rPr>
          <w:rFonts w:cs="Calibri Light"/>
          <w:sz w:val="22"/>
          <w:szCs w:val="22"/>
        </w:rPr>
        <w:t>ing</w:t>
      </w:r>
      <w:r w:rsidRPr="00B0316C">
        <w:rPr>
          <w:rFonts w:cs="Calibri Light"/>
          <w:sz w:val="22"/>
          <w:szCs w:val="22"/>
        </w:rPr>
        <w:t xml:space="preserve"> the area </w:t>
      </w:r>
      <w:r w:rsidR="000E6F65">
        <w:rPr>
          <w:rFonts w:cs="Calibri Light"/>
          <w:sz w:val="22"/>
          <w:szCs w:val="22"/>
        </w:rPr>
        <w:t xml:space="preserve">is also needed as </w:t>
      </w:r>
      <w:r w:rsidR="00E2798A">
        <w:rPr>
          <w:rFonts w:cs="Calibri Light"/>
          <w:sz w:val="22"/>
          <w:szCs w:val="22"/>
        </w:rPr>
        <w:t xml:space="preserve">they </w:t>
      </w:r>
      <w:r w:rsidR="00E2798A" w:rsidRPr="00B0316C">
        <w:rPr>
          <w:rFonts w:cs="Calibri Light"/>
          <w:sz w:val="22"/>
          <w:szCs w:val="22"/>
        </w:rPr>
        <w:t>may</w:t>
      </w:r>
      <w:r w:rsidRPr="00B0316C">
        <w:rPr>
          <w:rFonts w:cs="Calibri Light"/>
          <w:sz w:val="22"/>
          <w:szCs w:val="22"/>
        </w:rPr>
        <w:t xml:space="preserve"> not be actually out of care </w:t>
      </w:r>
      <w:r w:rsidR="00236126">
        <w:rPr>
          <w:rFonts w:cs="Calibri Light"/>
          <w:sz w:val="22"/>
          <w:szCs w:val="22"/>
        </w:rPr>
        <w:t>and</w:t>
      </w:r>
      <w:r w:rsidR="00236126" w:rsidRPr="00B0316C">
        <w:rPr>
          <w:rFonts w:cs="Calibri Light"/>
          <w:sz w:val="22"/>
          <w:szCs w:val="22"/>
        </w:rPr>
        <w:t xml:space="preserve"> </w:t>
      </w:r>
      <w:r w:rsidRPr="00B0316C">
        <w:rPr>
          <w:rFonts w:cs="Calibri Light"/>
          <w:sz w:val="22"/>
          <w:szCs w:val="22"/>
        </w:rPr>
        <w:t xml:space="preserve">the state is </w:t>
      </w:r>
      <w:r w:rsidR="00236126">
        <w:rPr>
          <w:rFonts w:cs="Calibri Light"/>
          <w:sz w:val="22"/>
          <w:szCs w:val="22"/>
        </w:rPr>
        <w:t>unable to determine</w:t>
      </w:r>
      <w:r w:rsidRPr="00B0316C">
        <w:rPr>
          <w:rFonts w:cs="Calibri Light"/>
          <w:sz w:val="22"/>
          <w:szCs w:val="22"/>
        </w:rPr>
        <w:t xml:space="preserve"> their care status. Complete CD4 viral load data was not available for PLWH at the time this plan was written, however, as described above in Section I.E.b., it will be available for future plans.</w:t>
      </w:r>
    </w:p>
    <w:p w:rsidR="00512FE8" w:rsidRDefault="00512FE8" w:rsidP="00CE29AC">
      <w:pPr>
        <w:pStyle w:val="ListParagraph"/>
        <w:widowControl w:val="0"/>
        <w:tabs>
          <w:tab w:val="left" w:pos="220"/>
        </w:tabs>
        <w:autoSpaceDE w:val="0"/>
        <w:autoSpaceDN w:val="0"/>
        <w:adjustRightInd w:val="0"/>
        <w:ind w:left="0"/>
        <w:jc w:val="both"/>
        <w:rPr>
          <w:rFonts w:cs="Calibri Light"/>
          <w:sz w:val="22"/>
          <w:szCs w:val="22"/>
        </w:rPr>
      </w:pPr>
    </w:p>
    <w:p w:rsidR="002810EC" w:rsidRDefault="002810EC" w:rsidP="002810EC">
      <w:pPr>
        <w:pStyle w:val="Heading1"/>
        <w:spacing w:before="0"/>
      </w:pPr>
      <w:bookmarkStart w:id="48" w:name="_Toc461188591"/>
      <w:r>
        <w:t>Section II: Integrated HIV Prevention and Care Plan</w:t>
      </w:r>
      <w:bookmarkEnd w:id="48"/>
      <w:r>
        <w:t xml:space="preserve"> </w:t>
      </w:r>
    </w:p>
    <w:p w:rsidR="002810EC" w:rsidRDefault="002810EC" w:rsidP="00566304">
      <w:pPr>
        <w:pStyle w:val="Heading2"/>
        <w:spacing w:before="240"/>
      </w:pPr>
      <w:bookmarkStart w:id="49" w:name="_Toc461188592"/>
      <w:r>
        <w:t>A. Integrated HIV Prevention and Care Plan</w:t>
      </w:r>
      <w:bookmarkEnd w:id="49"/>
      <w:r>
        <w:t xml:space="preserve"> </w:t>
      </w:r>
    </w:p>
    <w:p w:rsidR="002810EC" w:rsidRPr="00A51D20" w:rsidRDefault="002810EC" w:rsidP="00E73293">
      <w:pPr>
        <w:pStyle w:val="ListParagraph"/>
        <w:widowControl w:val="0"/>
        <w:numPr>
          <w:ilvl w:val="0"/>
          <w:numId w:val="9"/>
        </w:numPr>
        <w:tabs>
          <w:tab w:val="left" w:pos="940"/>
          <w:tab w:val="left" w:pos="1440"/>
        </w:tabs>
        <w:autoSpaceDE w:val="0"/>
        <w:autoSpaceDN w:val="0"/>
        <w:adjustRightInd w:val="0"/>
        <w:spacing w:after="0"/>
        <w:rPr>
          <w:rFonts w:cs="Calibri Light"/>
          <w:i/>
          <w:sz w:val="22"/>
          <w:szCs w:val="22"/>
        </w:rPr>
      </w:pPr>
      <w:r w:rsidRPr="00A51D20">
        <w:rPr>
          <w:rFonts w:cs="Calibri Light"/>
          <w:i/>
          <w:sz w:val="22"/>
          <w:szCs w:val="22"/>
        </w:rPr>
        <w:t xml:space="preserve">Identify at least two objectives (using the SMART format – specific, measurable, </w:t>
      </w:r>
      <w:r w:rsidRPr="00A51D20">
        <w:rPr>
          <w:rFonts w:ascii="MS Gothic" w:eastAsia="MS Gothic" w:hAnsi="MS Gothic" w:cs="MS Gothic" w:hint="eastAsia"/>
          <w:i/>
          <w:sz w:val="22"/>
          <w:szCs w:val="22"/>
        </w:rPr>
        <w:t> </w:t>
      </w:r>
      <w:r w:rsidRPr="00A51D20">
        <w:rPr>
          <w:rFonts w:cs="Calibri Light"/>
          <w:i/>
          <w:sz w:val="22"/>
          <w:szCs w:val="22"/>
        </w:rPr>
        <w:t xml:space="preserve">achievable, realistic, and time-phased) that correspond to each NHAS goal. </w:t>
      </w:r>
      <w:r w:rsidRPr="00A51D20">
        <w:rPr>
          <w:rFonts w:ascii="MS Gothic" w:eastAsia="MS Gothic" w:hAnsi="MS Gothic" w:cs="MS Gothic" w:hint="eastAsia"/>
          <w:i/>
          <w:sz w:val="22"/>
          <w:szCs w:val="22"/>
        </w:rPr>
        <w:t> </w:t>
      </w:r>
    </w:p>
    <w:p w:rsidR="002810EC" w:rsidRPr="00A51D20" w:rsidRDefault="002810EC" w:rsidP="00E73293">
      <w:pPr>
        <w:pStyle w:val="ListParagraph"/>
        <w:widowControl w:val="0"/>
        <w:numPr>
          <w:ilvl w:val="0"/>
          <w:numId w:val="9"/>
        </w:numPr>
        <w:tabs>
          <w:tab w:val="left" w:pos="940"/>
          <w:tab w:val="left" w:pos="1440"/>
        </w:tabs>
        <w:autoSpaceDE w:val="0"/>
        <w:autoSpaceDN w:val="0"/>
        <w:adjustRightInd w:val="0"/>
        <w:spacing w:after="0"/>
        <w:rPr>
          <w:rFonts w:cs="Calibri Light"/>
          <w:i/>
          <w:sz w:val="22"/>
          <w:szCs w:val="22"/>
        </w:rPr>
      </w:pPr>
      <w:r w:rsidRPr="00A51D20">
        <w:rPr>
          <w:rFonts w:cs="Calibri Light"/>
          <w:i/>
          <w:sz w:val="22"/>
          <w:szCs w:val="22"/>
        </w:rPr>
        <w:t xml:space="preserve">For each objective, describe at least three strategies that correspond to each objective. </w:t>
      </w:r>
      <w:r w:rsidRPr="00A51D20">
        <w:rPr>
          <w:rFonts w:ascii="MS Gothic" w:eastAsia="MS Gothic" w:hAnsi="MS Gothic" w:cs="MS Gothic" w:hint="eastAsia"/>
          <w:i/>
          <w:sz w:val="22"/>
          <w:szCs w:val="22"/>
        </w:rPr>
        <w:t> </w:t>
      </w:r>
    </w:p>
    <w:p w:rsidR="002810EC" w:rsidRPr="00A51D20" w:rsidRDefault="002810EC" w:rsidP="00E73293">
      <w:pPr>
        <w:pStyle w:val="ListParagraph"/>
        <w:widowControl w:val="0"/>
        <w:numPr>
          <w:ilvl w:val="0"/>
          <w:numId w:val="9"/>
        </w:numPr>
        <w:tabs>
          <w:tab w:val="left" w:pos="940"/>
          <w:tab w:val="left" w:pos="1440"/>
        </w:tabs>
        <w:autoSpaceDE w:val="0"/>
        <w:autoSpaceDN w:val="0"/>
        <w:adjustRightInd w:val="0"/>
        <w:spacing w:after="0"/>
        <w:rPr>
          <w:rFonts w:cs="Calibri Light"/>
          <w:i/>
          <w:sz w:val="22"/>
          <w:szCs w:val="22"/>
        </w:rPr>
      </w:pPr>
      <w:r w:rsidRPr="00A51D20">
        <w:rPr>
          <w:rFonts w:cs="Calibri Light"/>
          <w:i/>
          <w:sz w:val="22"/>
          <w:szCs w:val="22"/>
        </w:rPr>
        <w:t xml:space="preserve">For each strategy, describe the activities/interventions, targeted populations, responsible parties, and time-phased, resources needed to implement the activity. Identify any activities specifically aimed at addressing gaps along the HIV Care Continuum. </w:t>
      </w:r>
      <w:r w:rsidRPr="00A51D20">
        <w:rPr>
          <w:rFonts w:ascii="MS Gothic" w:eastAsia="MS Gothic" w:hAnsi="MS Gothic" w:cs="MS Gothic" w:hint="eastAsia"/>
          <w:i/>
          <w:sz w:val="22"/>
          <w:szCs w:val="22"/>
        </w:rPr>
        <w:t> </w:t>
      </w:r>
    </w:p>
    <w:p w:rsidR="002810EC" w:rsidRPr="00A51D20" w:rsidRDefault="002810EC" w:rsidP="00E73293">
      <w:pPr>
        <w:pStyle w:val="ListParagraph"/>
        <w:widowControl w:val="0"/>
        <w:numPr>
          <w:ilvl w:val="0"/>
          <w:numId w:val="9"/>
        </w:numPr>
        <w:tabs>
          <w:tab w:val="left" w:pos="940"/>
          <w:tab w:val="left" w:pos="1440"/>
        </w:tabs>
        <w:autoSpaceDE w:val="0"/>
        <w:autoSpaceDN w:val="0"/>
        <w:adjustRightInd w:val="0"/>
        <w:spacing w:after="0"/>
        <w:rPr>
          <w:rFonts w:cs="Calibri Light"/>
          <w:i/>
          <w:sz w:val="22"/>
          <w:szCs w:val="22"/>
        </w:rPr>
      </w:pPr>
      <w:r w:rsidRPr="00A51D20">
        <w:rPr>
          <w:rFonts w:cs="Calibri Light"/>
          <w:i/>
          <w:sz w:val="22"/>
          <w:szCs w:val="22"/>
        </w:rPr>
        <w:t xml:space="preserve">Describe the metrics (e.g., number of HIV tests performed, medical visits, mental health screenings, HIV positivity rate, etc.) that will be used to monitor progress in achieving each goal outlined in the plan. Metrics should be consistent with the most current HHS Core Indicators and the NHAS Indicators. </w:t>
      </w:r>
      <w:r w:rsidRPr="00A51D20">
        <w:rPr>
          <w:rFonts w:ascii="MS Gothic" w:eastAsia="MS Gothic" w:hAnsi="MS Gothic" w:cs="MS Gothic" w:hint="eastAsia"/>
          <w:i/>
          <w:sz w:val="22"/>
          <w:szCs w:val="22"/>
        </w:rPr>
        <w:t> </w:t>
      </w:r>
    </w:p>
    <w:p w:rsidR="002810EC" w:rsidRPr="00A51D20" w:rsidRDefault="002810EC" w:rsidP="00E73293">
      <w:pPr>
        <w:pStyle w:val="ListParagraph"/>
        <w:widowControl w:val="0"/>
        <w:numPr>
          <w:ilvl w:val="0"/>
          <w:numId w:val="9"/>
        </w:numPr>
        <w:tabs>
          <w:tab w:val="left" w:pos="940"/>
          <w:tab w:val="left" w:pos="1440"/>
        </w:tabs>
        <w:autoSpaceDE w:val="0"/>
        <w:autoSpaceDN w:val="0"/>
        <w:adjustRightInd w:val="0"/>
        <w:spacing w:after="0"/>
        <w:rPr>
          <w:rFonts w:cs="Calibri Light"/>
          <w:i/>
          <w:sz w:val="22"/>
          <w:szCs w:val="22"/>
        </w:rPr>
      </w:pPr>
      <w:r w:rsidRPr="00A51D20">
        <w:rPr>
          <w:rFonts w:cs="Calibri Light"/>
          <w:i/>
          <w:sz w:val="22"/>
          <w:szCs w:val="22"/>
        </w:rPr>
        <w:t xml:space="preserve">Describe any anticipated challenges or barriers in implementing the plan. </w:t>
      </w:r>
      <w:r w:rsidRPr="00A51D20">
        <w:rPr>
          <w:rFonts w:ascii="MS Gothic" w:eastAsia="MS Gothic" w:hAnsi="MS Gothic" w:cs="MS Gothic" w:hint="eastAsia"/>
          <w:i/>
          <w:sz w:val="22"/>
          <w:szCs w:val="22"/>
        </w:rPr>
        <w:t> </w:t>
      </w:r>
    </w:p>
    <w:p w:rsidR="002810EC" w:rsidRDefault="002810EC" w:rsidP="00A51D20">
      <w:pPr>
        <w:pStyle w:val="Heading3"/>
        <w:spacing w:before="200"/>
      </w:pPr>
      <w:bookmarkStart w:id="50" w:name="_Toc461188593"/>
      <w:r>
        <w:t>Overview of Nevada’s Goals, Objectives, and Strategies for 2017-2021</w:t>
      </w:r>
      <w:bookmarkEnd w:id="50"/>
    </w:p>
    <w:p w:rsidR="002810EC" w:rsidRDefault="002810EC" w:rsidP="002810EC">
      <w:pPr>
        <w:spacing w:before="0" w:after="0"/>
        <w:rPr>
          <w:b/>
        </w:rPr>
      </w:pPr>
    </w:p>
    <w:p w:rsidR="00C844C9" w:rsidRDefault="00C844C9" w:rsidP="00C844C9">
      <w:pPr>
        <w:widowControl w:val="0"/>
        <w:tabs>
          <w:tab w:val="left" w:pos="220"/>
          <w:tab w:val="left" w:pos="720"/>
        </w:tabs>
        <w:autoSpaceDE w:val="0"/>
        <w:autoSpaceDN w:val="0"/>
        <w:adjustRightInd w:val="0"/>
        <w:jc w:val="both"/>
        <w:rPr>
          <w:rFonts w:cs="MS Gothic"/>
          <w:sz w:val="22"/>
          <w:szCs w:val="22"/>
        </w:rPr>
      </w:pPr>
      <w:r w:rsidRPr="00C844C9">
        <w:rPr>
          <w:sz w:val="22"/>
        </w:rPr>
        <w:t>Nevada’s Goals and Objectives align with the</w:t>
      </w:r>
      <w:r>
        <w:rPr>
          <w:sz w:val="22"/>
        </w:rPr>
        <w:t xml:space="preserve"> National HIV/AIDS Strategy goals. </w:t>
      </w:r>
      <w:r>
        <w:rPr>
          <w:rFonts w:cs="MS Gothic"/>
          <w:sz w:val="22"/>
          <w:szCs w:val="22"/>
        </w:rPr>
        <w:t>From two to five objectives were developed for each goal along with three strategies for each objective. Tables in this</w:t>
      </w:r>
      <w:r w:rsidR="00801DCA">
        <w:rPr>
          <w:rFonts w:cs="MS Gothic"/>
          <w:sz w:val="22"/>
          <w:szCs w:val="22"/>
        </w:rPr>
        <w:t xml:space="preserve"> section</w:t>
      </w:r>
      <w:r>
        <w:rPr>
          <w:rFonts w:cs="MS Gothic"/>
          <w:sz w:val="22"/>
          <w:szCs w:val="22"/>
        </w:rPr>
        <w:t xml:space="preserve"> of the plan detail the timelines, responsible parties, activities/interventions, target populations, resources needed and metrics. </w:t>
      </w:r>
    </w:p>
    <w:p w:rsidR="00506112" w:rsidRPr="00A51D20" w:rsidRDefault="00506112" w:rsidP="00506112">
      <w:pPr>
        <w:spacing w:before="0" w:after="0"/>
        <w:rPr>
          <w:b/>
          <w:sz w:val="22"/>
          <w:szCs w:val="22"/>
        </w:rPr>
      </w:pPr>
      <w:r w:rsidRPr="00A51D20">
        <w:rPr>
          <w:b/>
          <w:sz w:val="22"/>
          <w:szCs w:val="22"/>
        </w:rPr>
        <w:t>Goal 1: Reducing new HIV infections</w:t>
      </w:r>
    </w:p>
    <w:p w:rsidR="00506112" w:rsidRPr="00A51D20" w:rsidRDefault="00506112" w:rsidP="00506112">
      <w:pPr>
        <w:spacing w:before="0" w:after="0"/>
        <w:ind w:firstLine="720"/>
        <w:rPr>
          <w:b/>
          <w:sz w:val="22"/>
          <w:szCs w:val="22"/>
        </w:rPr>
      </w:pPr>
      <w:r w:rsidRPr="00A51D20">
        <w:rPr>
          <w:b/>
          <w:sz w:val="22"/>
          <w:szCs w:val="22"/>
        </w:rPr>
        <w:t>Objective 1a. By 2021, 90% of people living with HIV will know their serostatus.</w:t>
      </w:r>
    </w:p>
    <w:p w:rsidR="00506112" w:rsidRPr="00324B41" w:rsidRDefault="00506112" w:rsidP="00506112">
      <w:pPr>
        <w:spacing w:before="0" w:after="0" w:line="240" w:lineRule="auto"/>
        <w:ind w:left="720" w:firstLine="720"/>
        <w:rPr>
          <w:rFonts w:eastAsia="Times New Roman" w:cs="Tahoma"/>
          <w:bCs/>
          <w:color w:val="000000"/>
          <w:sz w:val="22"/>
          <w:szCs w:val="22"/>
        </w:rPr>
      </w:pPr>
      <w:r w:rsidRPr="00324B41">
        <w:rPr>
          <w:rFonts w:eastAsia="Times New Roman" w:cs="Tahoma"/>
          <w:bCs/>
          <w:color w:val="000000"/>
          <w:sz w:val="22"/>
          <w:szCs w:val="22"/>
        </w:rPr>
        <w:t>O1a. Strategy 1: Increase number of high risk people tested in Nevada, based on data</w:t>
      </w:r>
    </w:p>
    <w:p w:rsidR="00506112" w:rsidRPr="00324B41" w:rsidRDefault="00506112" w:rsidP="00506112">
      <w:pPr>
        <w:tabs>
          <w:tab w:val="left" w:pos="2970"/>
        </w:tabs>
        <w:spacing w:before="0" w:after="0" w:line="240" w:lineRule="auto"/>
        <w:ind w:left="1890" w:hanging="450"/>
        <w:rPr>
          <w:rFonts w:eastAsia="Times New Roman" w:cs="Tahoma"/>
          <w:color w:val="000000"/>
          <w:sz w:val="22"/>
          <w:szCs w:val="22"/>
        </w:rPr>
      </w:pPr>
      <w:r w:rsidRPr="00324B41">
        <w:rPr>
          <w:rFonts w:eastAsia="Times New Roman" w:cs="Tahoma"/>
          <w:bCs/>
          <w:color w:val="000000"/>
          <w:sz w:val="22"/>
          <w:szCs w:val="22"/>
        </w:rPr>
        <w:t>O1a. Strategy 2: Increase community awareness of the importance of HIV testing, including awareness of testing sites</w:t>
      </w:r>
    </w:p>
    <w:p w:rsidR="00506112" w:rsidRPr="00324B41" w:rsidRDefault="00506112" w:rsidP="00506112">
      <w:pPr>
        <w:spacing w:before="0" w:after="0"/>
        <w:ind w:left="1440"/>
        <w:rPr>
          <w:rFonts w:eastAsia="Times New Roman" w:cs="Tahoma"/>
          <w:bCs/>
          <w:color w:val="000000"/>
          <w:sz w:val="22"/>
          <w:szCs w:val="22"/>
        </w:rPr>
      </w:pPr>
      <w:r w:rsidRPr="00324B41">
        <w:rPr>
          <w:rFonts w:eastAsia="Times New Roman" w:cs="Tahoma"/>
          <w:bCs/>
          <w:color w:val="000000"/>
          <w:sz w:val="22"/>
          <w:szCs w:val="22"/>
        </w:rPr>
        <w:lastRenderedPageBreak/>
        <w:t>O1a. Strategy 3: Increase the number of rapid HIV testing locations available in Nevada</w:t>
      </w:r>
    </w:p>
    <w:p w:rsidR="00506112" w:rsidRPr="00A51D20" w:rsidRDefault="00506112" w:rsidP="00506112">
      <w:pPr>
        <w:spacing w:before="0" w:after="0" w:line="240" w:lineRule="auto"/>
        <w:ind w:firstLine="720"/>
        <w:rPr>
          <w:rFonts w:eastAsia="Times New Roman" w:cs="Tahoma"/>
          <w:color w:val="000000"/>
          <w:sz w:val="22"/>
          <w:szCs w:val="22"/>
        </w:rPr>
      </w:pPr>
      <w:r w:rsidRPr="00A51D20">
        <w:rPr>
          <w:rFonts w:eastAsia="Times New Roman" w:cs="Tahoma"/>
          <w:b/>
          <w:bCs/>
          <w:color w:val="000000"/>
          <w:sz w:val="22"/>
          <w:szCs w:val="22"/>
        </w:rPr>
        <w:t>Objective 1b. By 2021, reduce by 25% the number of new HIV diagnoses.</w:t>
      </w:r>
    </w:p>
    <w:p w:rsidR="00506112" w:rsidRPr="00324B41" w:rsidRDefault="00506112" w:rsidP="00506112">
      <w:pPr>
        <w:spacing w:before="0" w:after="0"/>
        <w:ind w:left="720" w:firstLine="720"/>
        <w:rPr>
          <w:rFonts w:eastAsia="Times New Roman" w:cs="Tahoma"/>
          <w:bCs/>
          <w:color w:val="000000"/>
          <w:sz w:val="22"/>
          <w:szCs w:val="22"/>
        </w:rPr>
      </w:pPr>
      <w:r w:rsidRPr="00324B41">
        <w:rPr>
          <w:rFonts w:eastAsia="Times New Roman" w:cs="Tahoma"/>
          <w:bCs/>
          <w:color w:val="000000"/>
          <w:sz w:val="22"/>
          <w:szCs w:val="22"/>
        </w:rPr>
        <w:t xml:space="preserve">O1b. Strategy 1: Increase education and access to PrEP and PEP </w:t>
      </w:r>
    </w:p>
    <w:p w:rsidR="00506112" w:rsidRPr="00324B41" w:rsidRDefault="00506112" w:rsidP="00506112">
      <w:pPr>
        <w:tabs>
          <w:tab w:val="left" w:pos="1890"/>
        </w:tabs>
        <w:spacing w:before="0" w:after="0" w:line="240" w:lineRule="auto"/>
        <w:ind w:left="1980" w:hanging="540"/>
        <w:rPr>
          <w:rFonts w:eastAsia="Times New Roman" w:cs="Tahoma"/>
          <w:color w:val="000000"/>
          <w:sz w:val="22"/>
          <w:szCs w:val="22"/>
        </w:rPr>
      </w:pPr>
      <w:r w:rsidRPr="00324B41">
        <w:rPr>
          <w:rFonts w:eastAsia="Times New Roman" w:cs="Tahoma"/>
          <w:bCs/>
          <w:color w:val="000000"/>
          <w:sz w:val="22"/>
          <w:szCs w:val="22"/>
        </w:rPr>
        <w:t>O1b</w:t>
      </w:r>
      <w:r>
        <w:rPr>
          <w:rFonts w:eastAsia="Times New Roman" w:cs="Tahoma"/>
          <w:bCs/>
          <w:color w:val="000000"/>
          <w:sz w:val="22"/>
          <w:szCs w:val="22"/>
        </w:rPr>
        <w:t>.</w:t>
      </w:r>
      <w:r w:rsidRPr="00324B41">
        <w:rPr>
          <w:rFonts w:eastAsia="Times New Roman" w:cs="Tahoma"/>
          <w:bCs/>
          <w:color w:val="000000"/>
          <w:sz w:val="22"/>
          <w:szCs w:val="22"/>
        </w:rPr>
        <w:t xml:space="preserve"> Strategy 2: Increase community education of HIV/AIDS through comprehensive sexual health education</w:t>
      </w:r>
    </w:p>
    <w:p w:rsidR="00506112" w:rsidRPr="00324B41" w:rsidRDefault="00506112" w:rsidP="00506112">
      <w:pPr>
        <w:spacing w:before="0" w:after="0" w:line="240" w:lineRule="auto"/>
        <w:ind w:left="1980" w:hanging="540"/>
        <w:rPr>
          <w:rFonts w:eastAsia="Times New Roman" w:cs="Tahoma"/>
          <w:bCs/>
          <w:color w:val="000000"/>
          <w:sz w:val="22"/>
          <w:szCs w:val="22"/>
        </w:rPr>
      </w:pPr>
      <w:r w:rsidRPr="00324B41">
        <w:rPr>
          <w:rFonts w:eastAsia="Times New Roman" w:cs="Tahoma"/>
          <w:bCs/>
          <w:color w:val="000000"/>
          <w:sz w:val="22"/>
          <w:szCs w:val="22"/>
        </w:rPr>
        <w:t>O1b</w:t>
      </w:r>
      <w:r>
        <w:rPr>
          <w:rFonts w:eastAsia="Times New Roman" w:cs="Tahoma"/>
          <w:bCs/>
          <w:color w:val="000000"/>
          <w:sz w:val="22"/>
          <w:szCs w:val="22"/>
        </w:rPr>
        <w:t>.</w:t>
      </w:r>
      <w:r w:rsidRPr="00324B41">
        <w:rPr>
          <w:rFonts w:eastAsia="Times New Roman" w:cs="Tahoma"/>
          <w:bCs/>
          <w:color w:val="000000"/>
          <w:sz w:val="22"/>
          <w:szCs w:val="22"/>
        </w:rPr>
        <w:t xml:space="preserve"> Strategy 3: Provide community-wide harm reduction strategies, including condoms and other harm reduction materials availability and utilization </w:t>
      </w:r>
    </w:p>
    <w:p w:rsidR="00506112" w:rsidRPr="00A51D20" w:rsidRDefault="00506112" w:rsidP="00506112">
      <w:pPr>
        <w:spacing w:before="0" w:after="0"/>
        <w:rPr>
          <w:rFonts w:cs="Calibri Light"/>
          <w:b/>
          <w:bCs/>
          <w:sz w:val="22"/>
          <w:szCs w:val="22"/>
        </w:rPr>
      </w:pPr>
    </w:p>
    <w:p w:rsidR="00506112" w:rsidRPr="00A51D20" w:rsidRDefault="00506112" w:rsidP="00506112">
      <w:pPr>
        <w:spacing w:before="0" w:after="0"/>
        <w:rPr>
          <w:b/>
          <w:sz w:val="22"/>
          <w:szCs w:val="22"/>
        </w:rPr>
      </w:pPr>
      <w:r w:rsidRPr="00A51D20">
        <w:rPr>
          <w:b/>
          <w:sz w:val="22"/>
          <w:szCs w:val="22"/>
        </w:rPr>
        <w:t>Goal 2: Increasing access to care and improving health outcomes for PLWH</w:t>
      </w:r>
    </w:p>
    <w:p w:rsidR="00506112" w:rsidRDefault="00506112" w:rsidP="00506112">
      <w:pPr>
        <w:spacing w:before="0" w:after="0"/>
        <w:ind w:left="1980" w:hanging="1260"/>
        <w:rPr>
          <w:b/>
          <w:sz w:val="22"/>
          <w:szCs w:val="22"/>
        </w:rPr>
      </w:pPr>
      <w:r w:rsidRPr="00A51D20">
        <w:rPr>
          <w:b/>
          <w:sz w:val="22"/>
          <w:szCs w:val="22"/>
        </w:rPr>
        <w:t>Objective 2a. By 2021, increase to 85% the percentage of people newly diagnosed with HIV who have been linked to a provider within the first 30 days.</w:t>
      </w:r>
    </w:p>
    <w:p w:rsidR="00506112" w:rsidRPr="00324B41" w:rsidRDefault="00506112" w:rsidP="00506112">
      <w:pPr>
        <w:spacing w:before="0" w:after="0"/>
        <w:ind w:left="1440"/>
        <w:rPr>
          <w:sz w:val="22"/>
          <w:szCs w:val="22"/>
        </w:rPr>
      </w:pPr>
      <w:r w:rsidRPr="00324B41">
        <w:rPr>
          <w:sz w:val="22"/>
          <w:szCs w:val="22"/>
        </w:rPr>
        <w:t>O2a. Strategy 1: Improved communication between organizations</w:t>
      </w:r>
    </w:p>
    <w:p w:rsidR="00506112" w:rsidRPr="00324B41" w:rsidRDefault="00506112" w:rsidP="00506112">
      <w:pPr>
        <w:spacing w:before="0" w:after="0"/>
        <w:ind w:left="1440"/>
        <w:rPr>
          <w:sz w:val="22"/>
          <w:szCs w:val="22"/>
        </w:rPr>
      </w:pPr>
      <w:r w:rsidRPr="00324B41">
        <w:rPr>
          <w:sz w:val="22"/>
          <w:szCs w:val="22"/>
        </w:rPr>
        <w:t xml:space="preserve">O2a Strategy 2: Link hard-to reach populations </w:t>
      </w:r>
      <w:r w:rsidR="000D1265">
        <w:rPr>
          <w:sz w:val="22"/>
          <w:szCs w:val="22"/>
        </w:rPr>
        <w:t xml:space="preserve">to </w:t>
      </w:r>
      <w:r w:rsidRPr="00324B41">
        <w:rPr>
          <w:sz w:val="22"/>
          <w:szCs w:val="22"/>
        </w:rPr>
        <w:t>providers to provide continuity of care for PLWH</w:t>
      </w:r>
    </w:p>
    <w:p w:rsidR="00506112" w:rsidRPr="00324B41" w:rsidRDefault="00506112" w:rsidP="00506112">
      <w:pPr>
        <w:spacing w:before="0" w:after="0"/>
        <w:ind w:left="1440"/>
        <w:rPr>
          <w:sz w:val="22"/>
          <w:szCs w:val="22"/>
        </w:rPr>
      </w:pPr>
      <w:r w:rsidRPr="00324B41">
        <w:rPr>
          <w:sz w:val="22"/>
          <w:szCs w:val="22"/>
        </w:rPr>
        <w:t>O2a Strategy 3: Facilitate patient readiness to participate in their care and management of HIV</w:t>
      </w:r>
    </w:p>
    <w:p w:rsidR="00506112" w:rsidRDefault="00506112" w:rsidP="00506112">
      <w:pPr>
        <w:spacing w:before="0" w:after="0"/>
        <w:ind w:left="1980" w:hanging="1260"/>
        <w:rPr>
          <w:b/>
          <w:sz w:val="22"/>
          <w:szCs w:val="22"/>
        </w:rPr>
      </w:pPr>
      <w:r w:rsidRPr="00A51D20">
        <w:rPr>
          <w:b/>
          <w:sz w:val="22"/>
          <w:szCs w:val="22"/>
        </w:rPr>
        <w:t>Objective 2b. By 2021, increase by 20% the percentage of clients in care needing mental and/or behavioral health services who went to their first appointment.</w:t>
      </w:r>
    </w:p>
    <w:p w:rsidR="00506112" w:rsidRPr="00324B41" w:rsidRDefault="00506112" w:rsidP="00506112">
      <w:pPr>
        <w:spacing w:before="0" w:after="0"/>
        <w:ind w:left="2880" w:hanging="1440"/>
        <w:rPr>
          <w:sz w:val="22"/>
          <w:szCs w:val="22"/>
        </w:rPr>
      </w:pPr>
      <w:r w:rsidRPr="00324B41">
        <w:rPr>
          <w:sz w:val="22"/>
          <w:szCs w:val="22"/>
        </w:rPr>
        <w:t>O2b. Strategy 1: Improve communication among organizations and between clients and organizations</w:t>
      </w:r>
    </w:p>
    <w:p w:rsidR="00506112" w:rsidRPr="00324B41" w:rsidRDefault="00506112" w:rsidP="00506112">
      <w:pPr>
        <w:spacing w:before="0" w:after="0"/>
        <w:ind w:left="1440"/>
        <w:rPr>
          <w:sz w:val="22"/>
          <w:szCs w:val="22"/>
        </w:rPr>
      </w:pPr>
      <w:r w:rsidRPr="00324B41">
        <w:rPr>
          <w:sz w:val="22"/>
          <w:szCs w:val="22"/>
        </w:rPr>
        <w:t>O2b. Strategy 2: Recruit more mental/behavioral health providers</w:t>
      </w:r>
    </w:p>
    <w:p w:rsidR="00506112" w:rsidRPr="00324B41" w:rsidRDefault="00506112" w:rsidP="00506112">
      <w:pPr>
        <w:spacing w:before="0" w:after="0"/>
        <w:ind w:left="1440"/>
        <w:rPr>
          <w:sz w:val="22"/>
          <w:szCs w:val="22"/>
        </w:rPr>
      </w:pPr>
      <w:r w:rsidRPr="00324B41">
        <w:rPr>
          <w:sz w:val="22"/>
          <w:szCs w:val="22"/>
        </w:rPr>
        <w:t>O2b. Strategy 3: Professional Development activities</w:t>
      </w:r>
      <w:r w:rsidRPr="00324B41">
        <w:rPr>
          <w:sz w:val="22"/>
          <w:szCs w:val="22"/>
        </w:rPr>
        <w:tab/>
      </w:r>
    </w:p>
    <w:p w:rsidR="00506112" w:rsidRPr="00A51D20" w:rsidRDefault="00506112" w:rsidP="00506112">
      <w:pPr>
        <w:spacing w:before="0" w:after="0"/>
        <w:ind w:left="1980" w:hanging="1260"/>
        <w:rPr>
          <w:b/>
          <w:sz w:val="22"/>
          <w:szCs w:val="22"/>
        </w:rPr>
      </w:pPr>
      <w:r w:rsidRPr="00A51D20">
        <w:rPr>
          <w:b/>
          <w:sz w:val="22"/>
          <w:szCs w:val="22"/>
        </w:rPr>
        <w:t>Objective 2c.</w:t>
      </w:r>
      <w:r>
        <w:rPr>
          <w:b/>
          <w:sz w:val="22"/>
          <w:szCs w:val="22"/>
        </w:rPr>
        <w:t xml:space="preserve"> </w:t>
      </w:r>
      <w:r w:rsidRPr="00A51D20">
        <w:rPr>
          <w:b/>
          <w:sz w:val="22"/>
          <w:szCs w:val="22"/>
        </w:rPr>
        <w:t xml:space="preserve">By 2021, 80% of people diagnosed with HIV, who have had a medical visit each year for the past two years, will be virally suppressed (VL &lt;200)   </w:t>
      </w:r>
    </w:p>
    <w:p w:rsidR="00506112" w:rsidRPr="00A51D20" w:rsidRDefault="00506112" w:rsidP="00506112">
      <w:pPr>
        <w:tabs>
          <w:tab w:val="left" w:pos="2970"/>
        </w:tabs>
        <w:spacing w:before="0" w:after="0"/>
        <w:ind w:left="2970" w:hanging="1530"/>
        <w:rPr>
          <w:sz w:val="22"/>
          <w:szCs w:val="22"/>
        </w:rPr>
      </w:pPr>
      <w:r w:rsidRPr="00A51D20">
        <w:rPr>
          <w:sz w:val="22"/>
          <w:szCs w:val="22"/>
        </w:rPr>
        <w:t>O2c. Strategy 1</w:t>
      </w:r>
      <w:r>
        <w:rPr>
          <w:sz w:val="22"/>
          <w:szCs w:val="22"/>
        </w:rPr>
        <w:t>:</w:t>
      </w:r>
      <w:r w:rsidRPr="00A51D20">
        <w:rPr>
          <w:sz w:val="22"/>
          <w:szCs w:val="22"/>
        </w:rPr>
        <w:t xml:space="preserve">  Address treatment adherence of PLWH through educational strategies and evaluation</w:t>
      </w:r>
    </w:p>
    <w:p w:rsidR="00506112" w:rsidRPr="00A51D20" w:rsidRDefault="00506112" w:rsidP="00506112">
      <w:pPr>
        <w:tabs>
          <w:tab w:val="left" w:pos="2970"/>
        </w:tabs>
        <w:spacing w:before="0" w:after="0"/>
        <w:ind w:left="2970" w:hanging="1530"/>
        <w:rPr>
          <w:sz w:val="22"/>
          <w:szCs w:val="22"/>
        </w:rPr>
      </w:pPr>
      <w:r w:rsidRPr="00A51D20">
        <w:rPr>
          <w:sz w:val="22"/>
          <w:szCs w:val="22"/>
        </w:rPr>
        <w:t>O2c. Strategy 2</w:t>
      </w:r>
      <w:r>
        <w:rPr>
          <w:sz w:val="22"/>
          <w:szCs w:val="22"/>
        </w:rPr>
        <w:t>:</w:t>
      </w:r>
      <w:r w:rsidRPr="00A51D20">
        <w:rPr>
          <w:sz w:val="22"/>
          <w:szCs w:val="22"/>
        </w:rPr>
        <w:t xml:space="preserve">   Provide education and information regarding uninterrupted access to and proper use of medication</w:t>
      </w:r>
    </w:p>
    <w:p w:rsidR="00506112" w:rsidRPr="00A51D20" w:rsidRDefault="00506112" w:rsidP="00506112">
      <w:pPr>
        <w:tabs>
          <w:tab w:val="left" w:pos="2970"/>
        </w:tabs>
        <w:spacing w:before="0" w:after="0"/>
        <w:ind w:left="2970" w:hanging="1530"/>
        <w:rPr>
          <w:sz w:val="22"/>
          <w:szCs w:val="22"/>
        </w:rPr>
      </w:pPr>
      <w:r w:rsidRPr="00A51D20">
        <w:rPr>
          <w:sz w:val="22"/>
          <w:szCs w:val="22"/>
        </w:rPr>
        <w:t>O2c. Strategy 3</w:t>
      </w:r>
      <w:r>
        <w:rPr>
          <w:sz w:val="22"/>
          <w:szCs w:val="22"/>
        </w:rPr>
        <w:t>:</w:t>
      </w:r>
      <w:r w:rsidRPr="00A51D20">
        <w:rPr>
          <w:sz w:val="22"/>
          <w:szCs w:val="22"/>
        </w:rPr>
        <w:t xml:space="preserve">   Educate both client and provider stakeholders regarding the importance of routine viral load testing and tracking of viral load data</w:t>
      </w:r>
    </w:p>
    <w:p w:rsidR="00506112" w:rsidRPr="00A51D20" w:rsidRDefault="00506112" w:rsidP="00506112">
      <w:pPr>
        <w:spacing w:before="0" w:after="0"/>
        <w:ind w:left="720"/>
        <w:rPr>
          <w:b/>
          <w:sz w:val="22"/>
          <w:szCs w:val="22"/>
        </w:rPr>
      </w:pPr>
      <w:r w:rsidRPr="00A51D20">
        <w:rPr>
          <w:b/>
          <w:sz w:val="22"/>
          <w:szCs w:val="22"/>
        </w:rPr>
        <w:t>Objective 2d. By 2021, reduce to 20% the incidence of STIs in HIV infected persons in care.</w:t>
      </w:r>
    </w:p>
    <w:p w:rsidR="00506112" w:rsidRPr="00A51D20" w:rsidRDefault="00506112" w:rsidP="00506112">
      <w:pPr>
        <w:spacing w:before="0" w:after="0"/>
        <w:ind w:left="2970" w:hanging="1530"/>
        <w:rPr>
          <w:sz w:val="22"/>
          <w:szCs w:val="22"/>
        </w:rPr>
      </w:pPr>
      <w:r w:rsidRPr="00A51D20">
        <w:rPr>
          <w:sz w:val="22"/>
          <w:szCs w:val="22"/>
        </w:rPr>
        <w:t>O2d. Strategy 1</w:t>
      </w:r>
      <w:r>
        <w:rPr>
          <w:sz w:val="22"/>
          <w:szCs w:val="22"/>
        </w:rPr>
        <w:t>:  Conduct p</w:t>
      </w:r>
      <w:r w:rsidRPr="00A51D20">
        <w:rPr>
          <w:sz w:val="22"/>
          <w:szCs w:val="22"/>
        </w:rPr>
        <w:t>rovider education and disseminate recommendations regarding routine screenings for STIs</w:t>
      </w:r>
    </w:p>
    <w:p w:rsidR="00506112" w:rsidRPr="00A51D20" w:rsidRDefault="00506112" w:rsidP="00506112">
      <w:pPr>
        <w:spacing w:before="0" w:after="0"/>
        <w:ind w:left="2970" w:hanging="1530"/>
        <w:rPr>
          <w:sz w:val="22"/>
          <w:szCs w:val="22"/>
        </w:rPr>
      </w:pPr>
      <w:r w:rsidRPr="00A51D20">
        <w:rPr>
          <w:sz w:val="22"/>
          <w:szCs w:val="22"/>
        </w:rPr>
        <w:t>O2d. Strategy 2</w:t>
      </w:r>
      <w:r>
        <w:rPr>
          <w:sz w:val="22"/>
          <w:szCs w:val="22"/>
        </w:rPr>
        <w:t>:</w:t>
      </w:r>
      <w:r w:rsidRPr="00A51D20">
        <w:rPr>
          <w:sz w:val="22"/>
          <w:szCs w:val="22"/>
        </w:rPr>
        <w:t xml:space="preserve">  Conduct </w:t>
      </w:r>
      <w:r>
        <w:rPr>
          <w:sz w:val="22"/>
          <w:szCs w:val="22"/>
        </w:rPr>
        <w:t>p</w:t>
      </w:r>
      <w:r w:rsidRPr="00A51D20">
        <w:rPr>
          <w:sz w:val="22"/>
          <w:szCs w:val="22"/>
        </w:rPr>
        <w:t>ublic and individual education for PLWH and newly diagnosed regarding STI s</w:t>
      </w:r>
    </w:p>
    <w:p w:rsidR="00506112" w:rsidRPr="00A51D20" w:rsidRDefault="00506112" w:rsidP="00506112">
      <w:pPr>
        <w:spacing w:before="0" w:after="0"/>
        <w:ind w:left="2970" w:hanging="1530"/>
        <w:rPr>
          <w:sz w:val="22"/>
          <w:szCs w:val="22"/>
        </w:rPr>
      </w:pPr>
      <w:r w:rsidRPr="00A51D20">
        <w:rPr>
          <w:sz w:val="22"/>
          <w:szCs w:val="22"/>
        </w:rPr>
        <w:t>O2d. Strategy 3</w:t>
      </w:r>
      <w:r>
        <w:rPr>
          <w:sz w:val="22"/>
          <w:szCs w:val="22"/>
        </w:rPr>
        <w:t>:</w:t>
      </w:r>
      <w:r w:rsidRPr="00A51D20">
        <w:rPr>
          <w:sz w:val="22"/>
          <w:szCs w:val="22"/>
        </w:rPr>
        <w:t xml:space="preserve">   Develop quality control measures to improve clinical care and outcomes </w:t>
      </w:r>
    </w:p>
    <w:p w:rsidR="00506112" w:rsidRPr="00A51D20" w:rsidRDefault="00506112" w:rsidP="00506112">
      <w:pPr>
        <w:spacing w:before="0" w:after="0"/>
        <w:ind w:left="1980" w:hanging="1260"/>
        <w:rPr>
          <w:b/>
          <w:sz w:val="22"/>
          <w:szCs w:val="22"/>
        </w:rPr>
      </w:pPr>
      <w:r w:rsidRPr="00A51D20">
        <w:rPr>
          <w:b/>
          <w:sz w:val="22"/>
          <w:szCs w:val="22"/>
        </w:rPr>
        <w:t xml:space="preserve">Objective 2e. By 2021, increase number of clinics screening for HIV associated comorbidities by 20%. </w:t>
      </w:r>
    </w:p>
    <w:p w:rsidR="00506112" w:rsidRPr="00A51D20" w:rsidRDefault="00506112" w:rsidP="00506112">
      <w:pPr>
        <w:spacing w:before="0" w:after="0"/>
        <w:ind w:left="2970" w:hanging="1530"/>
        <w:rPr>
          <w:sz w:val="22"/>
          <w:szCs w:val="22"/>
        </w:rPr>
      </w:pPr>
      <w:r w:rsidRPr="00A51D20">
        <w:rPr>
          <w:sz w:val="22"/>
          <w:szCs w:val="22"/>
        </w:rPr>
        <w:t>O2e. Strategy 1</w:t>
      </w:r>
      <w:r>
        <w:rPr>
          <w:sz w:val="22"/>
          <w:szCs w:val="22"/>
        </w:rPr>
        <w:t>:</w:t>
      </w:r>
      <w:r w:rsidRPr="00A51D20">
        <w:rPr>
          <w:sz w:val="22"/>
          <w:szCs w:val="22"/>
        </w:rPr>
        <w:t xml:space="preserve">   Conduct </w:t>
      </w:r>
      <w:r>
        <w:rPr>
          <w:sz w:val="22"/>
          <w:szCs w:val="22"/>
        </w:rPr>
        <w:t>p</w:t>
      </w:r>
      <w:r w:rsidRPr="00A51D20">
        <w:rPr>
          <w:sz w:val="22"/>
          <w:szCs w:val="22"/>
        </w:rPr>
        <w:t>rovider education and recommendations regarding routine screenings for comorbidities</w:t>
      </w:r>
    </w:p>
    <w:p w:rsidR="00506112" w:rsidRPr="00A51D20" w:rsidRDefault="00506112" w:rsidP="00506112">
      <w:pPr>
        <w:spacing w:before="0" w:after="0"/>
        <w:ind w:left="2970" w:hanging="1530"/>
        <w:rPr>
          <w:sz w:val="22"/>
          <w:szCs w:val="22"/>
        </w:rPr>
      </w:pPr>
      <w:r w:rsidRPr="00A51D20">
        <w:rPr>
          <w:sz w:val="22"/>
          <w:szCs w:val="22"/>
        </w:rPr>
        <w:lastRenderedPageBreak/>
        <w:t>O2e. Strategy 2</w:t>
      </w:r>
      <w:r>
        <w:rPr>
          <w:sz w:val="22"/>
          <w:szCs w:val="22"/>
        </w:rPr>
        <w:t>:</w:t>
      </w:r>
      <w:r w:rsidRPr="00A51D20">
        <w:rPr>
          <w:sz w:val="22"/>
          <w:szCs w:val="22"/>
        </w:rPr>
        <w:t xml:space="preserve">   Conduct </w:t>
      </w:r>
      <w:r>
        <w:rPr>
          <w:sz w:val="22"/>
          <w:szCs w:val="22"/>
        </w:rPr>
        <w:t>p</w:t>
      </w:r>
      <w:r w:rsidRPr="00A51D20">
        <w:rPr>
          <w:sz w:val="22"/>
          <w:szCs w:val="22"/>
        </w:rPr>
        <w:t>ublic and individual education for PLWH and newly diagnosed regarding common HIV comorbidities</w:t>
      </w:r>
    </w:p>
    <w:p w:rsidR="00506112" w:rsidRPr="00A51D20" w:rsidRDefault="00506112" w:rsidP="00506112">
      <w:pPr>
        <w:spacing w:before="0" w:after="0"/>
        <w:ind w:left="2970" w:hanging="1530"/>
        <w:rPr>
          <w:sz w:val="22"/>
          <w:szCs w:val="22"/>
        </w:rPr>
      </w:pPr>
      <w:r w:rsidRPr="00A51D20">
        <w:rPr>
          <w:sz w:val="22"/>
          <w:szCs w:val="22"/>
        </w:rPr>
        <w:t>O2e. Strategy 3</w:t>
      </w:r>
      <w:r>
        <w:rPr>
          <w:sz w:val="22"/>
          <w:szCs w:val="22"/>
        </w:rPr>
        <w:t>:</w:t>
      </w:r>
      <w:r w:rsidRPr="00A51D20">
        <w:rPr>
          <w:sz w:val="22"/>
          <w:szCs w:val="22"/>
        </w:rPr>
        <w:t xml:space="preserve">   Develop quality control measures to improve clinical care and outcomes </w:t>
      </w:r>
    </w:p>
    <w:p w:rsidR="00506112" w:rsidRPr="00B94CA9" w:rsidRDefault="00506112" w:rsidP="00506112">
      <w:pPr>
        <w:spacing w:before="240" w:after="0"/>
        <w:rPr>
          <w:b/>
          <w:sz w:val="22"/>
          <w:szCs w:val="22"/>
        </w:rPr>
      </w:pPr>
      <w:r w:rsidRPr="00B94CA9">
        <w:rPr>
          <w:b/>
          <w:sz w:val="22"/>
          <w:szCs w:val="22"/>
        </w:rPr>
        <w:t>Goal 3: Reducing HIV related disparities and health inequities</w:t>
      </w:r>
    </w:p>
    <w:p w:rsidR="00506112" w:rsidRPr="00B94CA9" w:rsidRDefault="00506112" w:rsidP="00506112">
      <w:pPr>
        <w:spacing w:before="0" w:after="0"/>
        <w:ind w:left="720"/>
        <w:jc w:val="both"/>
        <w:rPr>
          <w:b/>
          <w:sz w:val="22"/>
          <w:szCs w:val="22"/>
        </w:rPr>
      </w:pPr>
      <w:r w:rsidRPr="00B94CA9">
        <w:rPr>
          <w:b/>
          <w:sz w:val="22"/>
          <w:szCs w:val="22"/>
        </w:rPr>
        <w:t>Objective 3a. By 2021, reduce disparities in the rate of new diagnoses by at least 15 percent among Nevada’s priority populations.</w:t>
      </w:r>
    </w:p>
    <w:p w:rsidR="00506112" w:rsidRPr="00B94CA9" w:rsidRDefault="00506112" w:rsidP="00506112">
      <w:pPr>
        <w:spacing w:before="0" w:after="0"/>
        <w:ind w:left="2970" w:hanging="1530"/>
        <w:rPr>
          <w:sz w:val="22"/>
          <w:szCs w:val="22"/>
        </w:rPr>
      </w:pPr>
      <w:r w:rsidRPr="00B94CA9">
        <w:rPr>
          <w:sz w:val="22"/>
          <w:szCs w:val="22"/>
        </w:rPr>
        <w:t>O3a. Strategy 1</w:t>
      </w:r>
      <w:r>
        <w:rPr>
          <w:sz w:val="22"/>
          <w:szCs w:val="22"/>
        </w:rPr>
        <w:t>:</w:t>
      </w:r>
      <w:r w:rsidRPr="00B94CA9">
        <w:rPr>
          <w:sz w:val="22"/>
          <w:szCs w:val="22"/>
        </w:rPr>
        <w:t xml:space="preserve">  Engage the community in order to find out how to best reach priority populations</w:t>
      </w:r>
    </w:p>
    <w:p w:rsidR="00506112" w:rsidRPr="00B94CA9" w:rsidRDefault="00506112" w:rsidP="00506112">
      <w:pPr>
        <w:spacing w:before="0" w:after="0"/>
        <w:ind w:left="2970" w:hanging="1530"/>
        <w:rPr>
          <w:sz w:val="22"/>
          <w:szCs w:val="22"/>
        </w:rPr>
      </w:pPr>
      <w:r w:rsidRPr="00B94CA9">
        <w:rPr>
          <w:sz w:val="22"/>
          <w:szCs w:val="22"/>
        </w:rPr>
        <w:t>O3a. Strategy 2:  Implement HIV prevention public education through media campaigns and social network st</w:t>
      </w:r>
      <w:r>
        <w:rPr>
          <w:sz w:val="22"/>
          <w:szCs w:val="22"/>
        </w:rPr>
        <w:t>rategies to target populations</w:t>
      </w:r>
    </w:p>
    <w:p w:rsidR="00506112" w:rsidRPr="00B94CA9" w:rsidRDefault="00506112" w:rsidP="00506112">
      <w:pPr>
        <w:spacing w:before="0" w:after="0"/>
        <w:ind w:left="2970" w:hanging="1530"/>
        <w:rPr>
          <w:sz w:val="22"/>
          <w:szCs w:val="22"/>
        </w:rPr>
      </w:pPr>
      <w:r w:rsidRPr="00B94CA9">
        <w:rPr>
          <w:sz w:val="22"/>
          <w:szCs w:val="22"/>
        </w:rPr>
        <w:t>O3a. Strategy 3:  Increase provider and organization capacity to test at sites in their communities</w:t>
      </w:r>
    </w:p>
    <w:p w:rsidR="00506112" w:rsidRPr="00B94CA9" w:rsidRDefault="00506112" w:rsidP="00506112">
      <w:pPr>
        <w:spacing w:before="0" w:after="0"/>
        <w:ind w:left="720"/>
        <w:jc w:val="both"/>
        <w:rPr>
          <w:b/>
          <w:sz w:val="22"/>
          <w:szCs w:val="22"/>
        </w:rPr>
      </w:pPr>
      <w:r w:rsidRPr="00B94CA9">
        <w:rPr>
          <w:b/>
          <w:sz w:val="22"/>
          <w:szCs w:val="22"/>
        </w:rPr>
        <w:t>Objective 3b. By 20</w:t>
      </w:r>
      <w:r w:rsidR="007F2D44">
        <w:rPr>
          <w:b/>
          <w:sz w:val="22"/>
          <w:szCs w:val="22"/>
        </w:rPr>
        <w:t>21</w:t>
      </w:r>
      <w:r w:rsidRPr="00B94CA9">
        <w:rPr>
          <w:b/>
          <w:sz w:val="22"/>
          <w:szCs w:val="22"/>
        </w:rPr>
        <w:t>, increase to 85% the percentage of newly diagnosed with HIV among Nevada’s priority populations who have been linked to a provider within the first 30 days.</w:t>
      </w:r>
    </w:p>
    <w:p w:rsidR="00506112" w:rsidRPr="00B94CA9" w:rsidRDefault="00506112" w:rsidP="00506112">
      <w:pPr>
        <w:spacing w:before="0" w:after="0"/>
        <w:ind w:left="2970" w:hanging="1530"/>
        <w:rPr>
          <w:sz w:val="22"/>
          <w:szCs w:val="22"/>
        </w:rPr>
      </w:pPr>
      <w:r w:rsidRPr="00B94CA9">
        <w:rPr>
          <w:sz w:val="22"/>
          <w:szCs w:val="22"/>
        </w:rPr>
        <w:t>O3b. Strategy 1: Improve first contact and point of access to care for PLWH who experience multiple “layers” of stigma (e</w:t>
      </w:r>
      <w:r>
        <w:rPr>
          <w:sz w:val="22"/>
          <w:szCs w:val="22"/>
        </w:rPr>
        <w:t>.</w:t>
      </w:r>
      <w:r w:rsidRPr="00B94CA9">
        <w:rPr>
          <w:sz w:val="22"/>
          <w:szCs w:val="22"/>
        </w:rPr>
        <w:t>g</w:t>
      </w:r>
      <w:r>
        <w:rPr>
          <w:sz w:val="22"/>
          <w:szCs w:val="22"/>
        </w:rPr>
        <w:t xml:space="preserve">., </w:t>
      </w:r>
      <w:r w:rsidRPr="00B94CA9">
        <w:rPr>
          <w:sz w:val="22"/>
          <w:szCs w:val="22"/>
        </w:rPr>
        <w:t xml:space="preserve">HIV infected, gay, minority, female, transgender, IV drug user, etc.) </w:t>
      </w:r>
    </w:p>
    <w:p w:rsidR="00506112" w:rsidRPr="00B94CA9" w:rsidRDefault="00506112" w:rsidP="00506112">
      <w:pPr>
        <w:spacing w:before="0" w:after="0"/>
        <w:ind w:left="2970" w:hanging="1530"/>
        <w:rPr>
          <w:sz w:val="22"/>
          <w:szCs w:val="22"/>
        </w:rPr>
      </w:pPr>
      <w:r w:rsidRPr="00B94CA9">
        <w:rPr>
          <w:sz w:val="22"/>
          <w:szCs w:val="22"/>
        </w:rPr>
        <w:t>O3b. Strategy 2: Improve the ability of PLWH in underserved or high risk groups to navigate the HIV syst</w:t>
      </w:r>
      <w:r>
        <w:rPr>
          <w:sz w:val="22"/>
          <w:szCs w:val="22"/>
        </w:rPr>
        <w:t>em of care</w:t>
      </w:r>
    </w:p>
    <w:p w:rsidR="00506112" w:rsidRPr="00B94CA9" w:rsidRDefault="00506112" w:rsidP="00506112">
      <w:pPr>
        <w:spacing w:before="0" w:after="0"/>
        <w:ind w:left="2970" w:hanging="1530"/>
        <w:rPr>
          <w:sz w:val="22"/>
          <w:szCs w:val="22"/>
        </w:rPr>
      </w:pPr>
      <w:r w:rsidRPr="00B94CA9">
        <w:rPr>
          <w:sz w:val="22"/>
          <w:szCs w:val="22"/>
        </w:rPr>
        <w:t xml:space="preserve">O3b. Strategy 3: Improve the accessibility of information for PLWH in </w:t>
      </w:r>
      <w:r>
        <w:rPr>
          <w:sz w:val="22"/>
          <w:szCs w:val="22"/>
        </w:rPr>
        <w:t>underserved or high risk groups</w:t>
      </w:r>
    </w:p>
    <w:p w:rsidR="00506112" w:rsidRDefault="00506112" w:rsidP="00C844C9">
      <w:pPr>
        <w:widowControl w:val="0"/>
        <w:tabs>
          <w:tab w:val="left" w:pos="220"/>
          <w:tab w:val="left" w:pos="720"/>
        </w:tabs>
        <w:autoSpaceDE w:val="0"/>
        <w:autoSpaceDN w:val="0"/>
        <w:adjustRightInd w:val="0"/>
        <w:jc w:val="both"/>
        <w:rPr>
          <w:rFonts w:cs="MS Gothic"/>
          <w:sz w:val="22"/>
          <w:szCs w:val="22"/>
        </w:rPr>
      </w:pPr>
    </w:p>
    <w:p w:rsidR="00801DCA" w:rsidRDefault="00801DCA" w:rsidP="00C844C9">
      <w:pPr>
        <w:widowControl w:val="0"/>
        <w:tabs>
          <w:tab w:val="left" w:pos="220"/>
          <w:tab w:val="left" w:pos="720"/>
        </w:tabs>
        <w:autoSpaceDE w:val="0"/>
        <w:autoSpaceDN w:val="0"/>
        <w:adjustRightInd w:val="0"/>
        <w:jc w:val="both"/>
        <w:rPr>
          <w:rFonts w:cs="MS Gothic"/>
          <w:sz w:val="22"/>
          <w:szCs w:val="22"/>
        </w:rPr>
      </w:pPr>
    </w:p>
    <w:p w:rsidR="00E2798A" w:rsidRDefault="00E2798A" w:rsidP="00C844C9">
      <w:pPr>
        <w:widowControl w:val="0"/>
        <w:tabs>
          <w:tab w:val="left" w:pos="220"/>
          <w:tab w:val="left" w:pos="720"/>
        </w:tabs>
        <w:autoSpaceDE w:val="0"/>
        <w:autoSpaceDN w:val="0"/>
        <w:adjustRightInd w:val="0"/>
        <w:jc w:val="both"/>
        <w:rPr>
          <w:rFonts w:cs="MS Gothic"/>
          <w:sz w:val="22"/>
          <w:szCs w:val="22"/>
        </w:rPr>
      </w:pPr>
    </w:p>
    <w:p w:rsidR="002810EC" w:rsidRPr="00A51D20" w:rsidRDefault="002810EC" w:rsidP="002810EC">
      <w:pPr>
        <w:spacing w:before="0" w:after="0"/>
        <w:ind w:left="1980" w:hanging="1260"/>
        <w:rPr>
          <w:rFonts w:cs="Calibri Light"/>
          <w:b/>
          <w:bCs/>
          <w:sz w:val="22"/>
          <w:szCs w:val="22"/>
        </w:rPr>
        <w:sectPr w:rsidR="002810EC" w:rsidRPr="00A51D20" w:rsidSect="009B63AA">
          <w:footerReference w:type="even" r:id="rId41"/>
          <w:footerReference w:type="default" r:id="rId42"/>
          <w:endnotePr>
            <w:numFmt w:val="decimal"/>
          </w:endnotePr>
          <w:type w:val="nextColumn"/>
          <w:pgSz w:w="12240" w:h="15840" w:code="1"/>
          <w:pgMar w:top="1440" w:right="1440" w:bottom="1440" w:left="1440" w:header="720" w:footer="720" w:gutter="0"/>
          <w:cols w:space="720"/>
          <w:titlePg/>
          <w:docGrid w:linePitch="272"/>
        </w:sectPr>
      </w:pPr>
    </w:p>
    <w:p w:rsidR="002810EC" w:rsidRPr="00105FF2" w:rsidRDefault="002810EC" w:rsidP="00FA62BB">
      <w:pPr>
        <w:pStyle w:val="Heading3"/>
      </w:pPr>
      <w:bookmarkStart w:id="51" w:name="_Toc461188594"/>
      <w:r w:rsidRPr="00105FF2">
        <w:lastRenderedPageBreak/>
        <w:t>Goal 1: Reducing new HIV infections</w:t>
      </w:r>
      <w:bookmarkEnd w:id="51"/>
    </w:p>
    <w:p w:rsidR="00DA78EE" w:rsidRDefault="00DA78EE" w:rsidP="002810EC">
      <w:pPr>
        <w:spacing w:before="0" w:after="0"/>
        <w:rPr>
          <w:b/>
          <w:szCs w:val="22"/>
        </w:rPr>
      </w:pPr>
    </w:p>
    <w:p w:rsidR="00DA78EE" w:rsidRDefault="00DA78EE" w:rsidP="00E84531">
      <w:pPr>
        <w:spacing w:before="0" w:after="0"/>
        <w:jc w:val="both"/>
        <w:rPr>
          <w:rFonts w:eastAsia="Times New Roman" w:cs="Tahoma"/>
          <w:color w:val="000000"/>
          <w:sz w:val="22"/>
          <w:szCs w:val="22"/>
        </w:rPr>
      </w:pPr>
      <w:r>
        <w:rPr>
          <w:rFonts w:eastAsia="Times New Roman" w:cs="Tahoma"/>
          <w:color w:val="000000"/>
          <w:sz w:val="22"/>
          <w:szCs w:val="22"/>
        </w:rPr>
        <w:t>T</w:t>
      </w:r>
      <w:r w:rsidR="00B85F74">
        <w:rPr>
          <w:rFonts w:eastAsia="Times New Roman" w:cs="Tahoma"/>
          <w:color w:val="000000"/>
          <w:sz w:val="22"/>
          <w:szCs w:val="22"/>
        </w:rPr>
        <w:t xml:space="preserve">wo objectives were created to </w:t>
      </w:r>
      <w:r>
        <w:rPr>
          <w:rFonts w:eastAsia="Times New Roman" w:cs="Tahoma"/>
          <w:color w:val="000000"/>
          <w:sz w:val="22"/>
          <w:szCs w:val="22"/>
        </w:rPr>
        <w:t>address Goal 1</w:t>
      </w:r>
      <w:r w:rsidR="00B85F74">
        <w:rPr>
          <w:rFonts w:eastAsia="Times New Roman" w:cs="Tahoma"/>
          <w:color w:val="000000"/>
          <w:sz w:val="22"/>
          <w:szCs w:val="22"/>
        </w:rPr>
        <w:t xml:space="preserve"> Reducing new HIV infections. Strategies for Objectives 1a. “By 2021, 90% of the people living with HIV will know their serostatus” focus on testing targeted to highest risk groups based on epidemiological data; launching campaigns to increase public awareness of the importance of HIV testing; and, increasing rapid HIV testing sites which will reduce the number of people tested who do not receive their results. </w:t>
      </w:r>
      <w:r w:rsidR="008F29A9">
        <w:rPr>
          <w:rFonts w:eastAsia="Times New Roman" w:cs="Tahoma"/>
          <w:color w:val="000000"/>
          <w:sz w:val="22"/>
          <w:szCs w:val="22"/>
        </w:rPr>
        <w:t xml:space="preserve">Both focus group and survey respondents emphasized the role of stigma in preventing individuals from getting tested. </w:t>
      </w:r>
      <w:r w:rsidR="00B85F74">
        <w:rPr>
          <w:rFonts w:eastAsia="Times New Roman" w:cs="Tahoma"/>
          <w:color w:val="000000"/>
          <w:sz w:val="22"/>
          <w:szCs w:val="22"/>
        </w:rPr>
        <w:t xml:space="preserve">Community survey respondents indicated that the internet and health care providers were the most preferred ways to receive information about HIV/AIDS. The proposed activities include plans for delivering messages through a variety of methods in order to reach </w:t>
      </w:r>
      <w:r w:rsidR="008F29A9">
        <w:rPr>
          <w:rFonts w:eastAsia="Times New Roman" w:cs="Tahoma"/>
          <w:color w:val="000000"/>
          <w:sz w:val="22"/>
          <w:szCs w:val="22"/>
        </w:rPr>
        <w:t>the various priority populations</w:t>
      </w:r>
      <w:r w:rsidR="00B85F74">
        <w:rPr>
          <w:rFonts w:eastAsia="Times New Roman" w:cs="Tahoma"/>
          <w:color w:val="000000"/>
          <w:sz w:val="22"/>
          <w:szCs w:val="22"/>
        </w:rPr>
        <w:t xml:space="preserve">. </w:t>
      </w:r>
      <w:r w:rsidR="008F29A9">
        <w:rPr>
          <w:rFonts w:eastAsia="Times New Roman" w:cs="Tahoma"/>
          <w:color w:val="000000"/>
          <w:sz w:val="22"/>
          <w:szCs w:val="22"/>
        </w:rPr>
        <w:t xml:space="preserve">Increased messaging about the importance of HIV also may help to reduce stigma related to HIV testing. </w:t>
      </w:r>
    </w:p>
    <w:p w:rsidR="00B85F74" w:rsidRDefault="00B85F74" w:rsidP="00B85F74">
      <w:pPr>
        <w:spacing w:before="0" w:after="0"/>
        <w:rPr>
          <w:rFonts w:eastAsia="Times New Roman" w:cs="Tahoma"/>
          <w:color w:val="000000"/>
          <w:sz w:val="22"/>
          <w:szCs w:val="22"/>
        </w:rPr>
      </w:pPr>
    </w:p>
    <w:p w:rsidR="008F29A9" w:rsidRDefault="008F29A9" w:rsidP="00E84531">
      <w:pPr>
        <w:spacing w:before="0" w:after="0"/>
        <w:jc w:val="both"/>
        <w:rPr>
          <w:rFonts w:eastAsia="Times New Roman" w:cs="Tahoma"/>
          <w:bCs/>
          <w:color w:val="000000"/>
          <w:sz w:val="22"/>
          <w:szCs w:val="22"/>
        </w:rPr>
      </w:pPr>
      <w:r>
        <w:rPr>
          <w:rFonts w:eastAsia="Times New Roman" w:cs="Tahoma"/>
          <w:color w:val="000000"/>
          <w:sz w:val="22"/>
          <w:szCs w:val="22"/>
        </w:rPr>
        <w:t xml:space="preserve">Three strategies were created to achieve Objective </w:t>
      </w:r>
      <w:r w:rsidRPr="008F29A9">
        <w:rPr>
          <w:rFonts w:eastAsia="Times New Roman" w:cs="Tahoma"/>
          <w:color w:val="000000"/>
          <w:sz w:val="22"/>
          <w:szCs w:val="22"/>
        </w:rPr>
        <w:t xml:space="preserve">1b. </w:t>
      </w:r>
      <w:r>
        <w:rPr>
          <w:rFonts w:eastAsia="Times New Roman" w:cs="Tahoma"/>
          <w:color w:val="000000"/>
          <w:sz w:val="22"/>
          <w:szCs w:val="22"/>
        </w:rPr>
        <w:t>“</w:t>
      </w:r>
      <w:r w:rsidRPr="008F29A9">
        <w:rPr>
          <w:rFonts w:eastAsia="Times New Roman" w:cs="Tahoma"/>
          <w:bCs/>
          <w:color w:val="000000"/>
          <w:sz w:val="22"/>
          <w:szCs w:val="22"/>
        </w:rPr>
        <w:t>By 2021, reduce by 25% the number of new HIV diagnoses</w:t>
      </w:r>
      <w:r>
        <w:rPr>
          <w:rFonts w:eastAsia="Times New Roman" w:cs="Tahoma"/>
          <w:bCs/>
          <w:color w:val="000000"/>
          <w:sz w:val="22"/>
          <w:szCs w:val="22"/>
        </w:rPr>
        <w:t>.” Strategy 1 relates to awareness and access to PrEP and PEP. Needs assessment results indicate low levels of awareness of PrEP and PEP both among HIV positive individuals and community members at higher risk for HIV infection. Access to PrEP and PEP has been limited in Nevada with f</w:t>
      </w:r>
      <w:r w:rsidR="00E84531">
        <w:rPr>
          <w:rFonts w:eastAsia="Times New Roman" w:cs="Tahoma"/>
          <w:bCs/>
          <w:color w:val="000000"/>
          <w:sz w:val="22"/>
          <w:szCs w:val="22"/>
        </w:rPr>
        <w:t xml:space="preserve">ew providers who offer it, lack of awareness of which providers offer it, challenges with insurance companies covering it, and the high cost associated with it. A common theme in focus group and survey responses was the importance of educating youth about basic HIV information. While sexual health education does occur in Nevada schools, the stakeholders involved in creating Nevada’s plan emphasized the need for more comprehensive sexual health programs in the schools. Finally, to reduce the spread of HIV in Nevada expanded harm reduction activities are planned, including condom distribution, syringe services programs and other strategies to reach individuals at higher risk of HIV infection. </w:t>
      </w:r>
    </w:p>
    <w:p w:rsidR="008F29A9" w:rsidRDefault="008F29A9" w:rsidP="00B85F74">
      <w:pPr>
        <w:spacing w:before="0" w:after="0"/>
        <w:rPr>
          <w:rFonts w:eastAsia="Times New Roman" w:cs="Tahoma"/>
          <w:color w:val="000000"/>
          <w:sz w:val="22"/>
          <w:szCs w:val="22"/>
        </w:rPr>
      </w:pPr>
    </w:p>
    <w:p w:rsidR="00DA78EE" w:rsidRPr="00CE29AC" w:rsidRDefault="00E84531" w:rsidP="00E97785">
      <w:pPr>
        <w:spacing w:before="0" w:after="0"/>
        <w:jc w:val="both"/>
        <w:rPr>
          <w:rFonts w:eastAsia="Times New Roman" w:cs="Tahoma"/>
          <w:color w:val="000000"/>
          <w:sz w:val="22"/>
          <w:szCs w:val="22"/>
        </w:rPr>
      </w:pPr>
      <w:r>
        <w:rPr>
          <w:rFonts w:eastAsia="Times New Roman" w:cs="Tahoma"/>
          <w:color w:val="000000"/>
          <w:sz w:val="22"/>
          <w:szCs w:val="22"/>
        </w:rPr>
        <w:t xml:space="preserve">Some anticipated </w:t>
      </w:r>
      <w:r w:rsidR="00DA78EE" w:rsidRPr="00CE29AC">
        <w:rPr>
          <w:rFonts w:eastAsia="Times New Roman" w:cs="Tahoma"/>
          <w:color w:val="000000"/>
          <w:sz w:val="22"/>
          <w:szCs w:val="22"/>
        </w:rPr>
        <w:t xml:space="preserve">challenges or barriers </w:t>
      </w:r>
      <w:r>
        <w:rPr>
          <w:rFonts w:eastAsia="Times New Roman" w:cs="Tahoma"/>
          <w:color w:val="000000"/>
          <w:sz w:val="22"/>
          <w:szCs w:val="22"/>
        </w:rPr>
        <w:t xml:space="preserve">to implementing the plan for Goal 1 include the difficulties involved in </w:t>
      </w:r>
      <w:r w:rsidR="00E97785">
        <w:rPr>
          <w:rFonts w:eastAsia="Times New Roman" w:cs="Tahoma"/>
          <w:color w:val="000000"/>
          <w:sz w:val="22"/>
          <w:szCs w:val="22"/>
        </w:rPr>
        <w:t xml:space="preserve">changing state policy to require </w:t>
      </w:r>
      <w:r w:rsidR="00DA78EE" w:rsidRPr="00CE29AC">
        <w:rPr>
          <w:rFonts w:eastAsia="Times New Roman" w:cs="Tahoma"/>
          <w:color w:val="000000"/>
          <w:sz w:val="22"/>
          <w:szCs w:val="22"/>
        </w:rPr>
        <w:t>comprehensive sexual health education programs</w:t>
      </w:r>
      <w:r w:rsidR="00E97785">
        <w:rPr>
          <w:rFonts w:eastAsia="Times New Roman" w:cs="Tahoma"/>
          <w:color w:val="000000"/>
          <w:sz w:val="22"/>
          <w:szCs w:val="22"/>
        </w:rPr>
        <w:t xml:space="preserve"> in schools and funding such programs if passed.  Finding funding for syringe services programs can also be difficult. Addressing stigma that is a barrier to people to get tested for HIV is a large challenge that is not easily solved. </w:t>
      </w:r>
    </w:p>
    <w:p w:rsidR="00DA78EE" w:rsidRDefault="00DA78EE" w:rsidP="002810EC">
      <w:pPr>
        <w:spacing w:before="0" w:after="0"/>
        <w:rPr>
          <w:b/>
          <w:szCs w:val="22"/>
        </w:rPr>
      </w:pPr>
    </w:p>
    <w:p w:rsidR="00DA78EE" w:rsidRPr="00A834DE" w:rsidRDefault="00DA78EE" w:rsidP="002810EC">
      <w:pPr>
        <w:spacing w:before="0" w:after="0"/>
        <w:rPr>
          <w:b/>
          <w:szCs w:val="22"/>
        </w:rPr>
      </w:pPr>
    </w:p>
    <w:p w:rsidR="00C844C9" w:rsidRDefault="00C844C9">
      <w:pPr>
        <w:rPr>
          <w:b/>
          <w:sz w:val="22"/>
          <w:szCs w:val="22"/>
        </w:rPr>
      </w:pPr>
      <w:r>
        <w:rPr>
          <w:b/>
          <w:sz w:val="22"/>
          <w:szCs w:val="22"/>
        </w:rPr>
        <w:br w:type="page"/>
      </w:r>
    </w:p>
    <w:p w:rsidR="002810EC" w:rsidRPr="00C844C9" w:rsidRDefault="002810EC" w:rsidP="002810EC">
      <w:pPr>
        <w:spacing w:before="0" w:after="0"/>
        <w:rPr>
          <w:b/>
          <w:sz w:val="22"/>
          <w:szCs w:val="22"/>
        </w:rPr>
      </w:pPr>
      <w:r w:rsidRPr="00C844C9">
        <w:rPr>
          <w:b/>
          <w:sz w:val="22"/>
          <w:szCs w:val="22"/>
        </w:rPr>
        <w:lastRenderedPageBreak/>
        <w:t>Objective 1a. By 2021, 90% of people living with HIV will know their serostatus</w:t>
      </w:r>
    </w:p>
    <w:p w:rsidR="002810EC" w:rsidRPr="00C844C9" w:rsidRDefault="002810EC" w:rsidP="002810EC">
      <w:pPr>
        <w:spacing w:before="0" w:after="0" w:line="240" w:lineRule="auto"/>
        <w:rPr>
          <w:rFonts w:eastAsia="Times New Roman" w:cs="Tahoma"/>
          <w:b/>
          <w:bCs/>
          <w:color w:val="000000"/>
          <w:sz w:val="22"/>
          <w:szCs w:val="22"/>
        </w:rPr>
      </w:pPr>
      <w:r w:rsidRPr="00C844C9">
        <w:rPr>
          <w:rFonts w:eastAsia="Times New Roman" w:cs="Tahoma"/>
          <w:b/>
          <w:bCs/>
          <w:color w:val="000000"/>
          <w:sz w:val="22"/>
          <w:szCs w:val="22"/>
        </w:rPr>
        <w:t>O1a. Strategy 1: Increase number of high risk people tested in Nevada, based on data</w:t>
      </w:r>
    </w:p>
    <w:tbl>
      <w:tblPr>
        <w:tblStyle w:val="GridTable4-Accent4"/>
        <w:tblW w:w="0" w:type="auto"/>
        <w:tblLayout w:type="fixed"/>
        <w:tblLook w:val="04A0" w:firstRow="1" w:lastRow="0" w:firstColumn="1" w:lastColumn="0" w:noHBand="0" w:noVBand="1"/>
      </w:tblPr>
      <w:tblGrid>
        <w:gridCol w:w="1129"/>
        <w:gridCol w:w="1218"/>
        <w:gridCol w:w="1878"/>
        <w:gridCol w:w="1530"/>
        <w:gridCol w:w="1260"/>
        <w:gridCol w:w="2335"/>
      </w:tblGrid>
      <w:tr w:rsidR="002810EC" w:rsidRPr="00F86F1A" w:rsidTr="009272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Pr>
          <w:p w:rsidR="002810EC" w:rsidRPr="00F86F1A" w:rsidRDefault="002810EC" w:rsidP="002810EC">
            <w:pPr>
              <w:spacing w:before="0"/>
            </w:pPr>
            <w:r w:rsidRPr="00F86F1A">
              <w:t>Timeframe</w:t>
            </w:r>
          </w:p>
        </w:tc>
        <w:tc>
          <w:tcPr>
            <w:tcW w:w="1218"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878" w:type="dxa"/>
          </w:tcPr>
          <w:p w:rsidR="009272D6"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Intervention</w:t>
            </w:r>
          </w:p>
        </w:tc>
        <w:tc>
          <w:tcPr>
            <w:tcW w:w="153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26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2335"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HPPG</w:t>
            </w:r>
          </w:p>
        </w:tc>
        <w:tc>
          <w:tcPr>
            <w:tcW w:w="1878"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Develop statewide targeted testing workgroup</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1530" w:type="dxa"/>
          </w:tcPr>
          <w:p w:rsidR="002810EC"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HPPG</w:t>
            </w:r>
            <w:r w:rsidR="002810EC" w:rsidRPr="00F86F1A">
              <w:rPr>
                <w:rFonts w:eastAsia="Times New Roman" w:cs="Tahoma"/>
                <w:color w:val="000000"/>
              </w:rPr>
              <w:t>s</w:t>
            </w:r>
          </w:p>
          <w:p w:rsidR="002810EC" w:rsidRPr="00F86F1A" w:rsidRDefault="002810EC" w:rsidP="00FA62BB">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Epi staff</w:t>
            </w:r>
          </w:p>
        </w:tc>
        <w:tc>
          <w:tcPr>
            <w:tcW w:w="126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HIV Testing Data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Recruitment of volunteers</w:t>
            </w:r>
          </w:p>
        </w:tc>
        <w:tc>
          <w:tcPr>
            <w:tcW w:w="233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Workgroups formed to include members of </w:t>
            </w:r>
            <w:r w:rsidR="002019C8">
              <w:rPr>
                <w:rFonts w:eastAsia="Times New Roman" w:cs="Tahoma"/>
                <w:color w:val="000000"/>
              </w:rPr>
              <w:t>HPPG</w:t>
            </w:r>
            <w:r w:rsidRPr="00F86F1A">
              <w:rPr>
                <w:rFonts w:eastAsia="Times New Roman" w:cs="Tahoma"/>
                <w:color w:val="000000"/>
              </w:rPr>
              <w:t>s and Local Health Districts</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29"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w:t>
            </w:r>
          </w:p>
        </w:tc>
        <w:tc>
          <w:tcPr>
            <w:tcW w:w="1218" w:type="dxa"/>
          </w:tcPr>
          <w:p w:rsidR="00B57288" w:rsidRPr="00F86F1A" w:rsidRDefault="00E73293" w:rsidP="00B5728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B57288" w:rsidRPr="00F86F1A" w:rsidRDefault="00B57288" w:rsidP="00B5728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B57288" w:rsidRPr="00F86F1A" w:rsidRDefault="00B57288" w:rsidP="00B5728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019C8" w:rsidP="00B5728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HPPG</w:t>
            </w:r>
          </w:p>
        </w:tc>
        <w:tc>
          <w:tcPr>
            <w:tcW w:w="1878"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Recruit substance abuse and mental health representatives to workgroup</w:t>
            </w:r>
          </w:p>
        </w:tc>
        <w:tc>
          <w:tcPr>
            <w:tcW w:w="153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Substance abuse and mental health representatives</w:t>
            </w:r>
          </w:p>
        </w:tc>
        <w:tc>
          <w:tcPr>
            <w:tcW w:w="1260"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Contact information</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233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 of representatives recruited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218"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HPPG</w:t>
            </w:r>
            <w:r w:rsidR="002810EC" w:rsidRPr="00F86F1A">
              <w:rPr>
                <w:rFonts w:eastAsia="Times New Roman" w:cs="Tahoma"/>
                <w:color w:val="000000"/>
              </w:rPr>
              <w:t>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Targeted Testing Workgroup</w:t>
            </w:r>
          </w:p>
        </w:tc>
        <w:tc>
          <w:tcPr>
            <w:tcW w:w="1878"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Review available HIV testing data (where testing is conducted and where the positives are being found)</w:t>
            </w:r>
          </w:p>
        </w:tc>
        <w:tc>
          <w:tcPr>
            <w:tcW w:w="153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HBGs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Workgroup</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126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Testing data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233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Statewide testing data compiled and analyzed</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29"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w:t>
            </w:r>
          </w:p>
        </w:tc>
        <w:tc>
          <w:tcPr>
            <w:tcW w:w="1218"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019C8"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HPPG</w:t>
            </w:r>
            <w:r w:rsidR="002810EC" w:rsidRPr="00F86F1A">
              <w:rPr>
                <w:rFonts w:eastAsia="Times New Roman" w:cs="Tahoma"/>
                <w:color w:val="000000"/>
              </w:rPr>
              <w:t>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Targeted Testing Workgroup</w:t>
            </w:r>
          </w:p>
        </w:tc>
        <w:tc>
          <w:tcPr>
            <w:tcW w:w="1878"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Establish baseline for testing among priority populations</w:t>
            </w:r>
          </w:p>
        </w:tc>
        <w:tc>
          <w:tcPr>
            <w:tcW w:w="153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Priority populations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1260"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Baseline data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233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Baseline data compiled and analyzed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2018</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tc>
        <w:tc>
          <w:tcPr>
            <w:tcW w:w="1218"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HPPG</w:t>
            </w:r>
            <w:r w:rsidR="002810EC" w:rsidRPr="00F86F1A">
              <w:rPr>
                <w:rFonts w:eastAsia="Times New Roman" w:cs="Tahoma"/>
                <w:color w:val="000000"/>
              </w:rPr>
              <w:t>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Targeted Testing Workgroup</w:t>
            </w:r>
          </w:p>
        </w:tc>
        <w:tc>
          <w:tcPr>
            <w:tcW w:w="1878"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Development of a targeted testing strategy based on data results</w:t>
            </w:r>
          </w:p>
        </w:tc>
        <w:tc>
          <w:tcPr>
            <w:tcW w:w="153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Priority populations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MH &amp; SA populations</w:t>
            </w:r>
          </w:p>
        </w:tc>
        <w:tc>
          <w:tcPr>
            <w:tcW w:w="126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tc>
        <w:tc>
          <w:tcPr>
            <w:tcW w:w="233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Nevada targeted testing strategy developed and adopted</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29"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2019-2020</w:t>
            </w:r>
          </w:p>
        </w:tc>
        <w:tc>
          <w:tcPr>
            <w:tcW w:w="1218"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019C8"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HPPG</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CBOs</w:t>
            </w:r>
          </w:p>
        </w:tc>
        <w:tc>
          <w:tcPr>
            <w:tcW w:w="1878"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Targeted testing strategy implemented</w:t>
            </w:r>
          </w:p>
        </w:tc>
        <w:tc>
          <w:tcPr>
            <w:tcW w:w="153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NV residents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MH &amp; SA populations</w:t>
            </w:r>
          </w:p>
        </w:tc>
        <w:tc>
          <w:tcPr>
            <w:tcW w:w="1260" w:type="dxa"/>
          </w:tcPr>
          <w:p w:rsidR="00B57288" w:rsidRDefault="00B57288"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Test kits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Training resources</w:t>
            </w:r>
          </w:p>
          <w:p w:rsidR="002810EC" w:rsidRPr="00F86F1A" w:rsidRDefault="002810EC" w:rsidP="00B5728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tc>
        <w:tc>
          <w:tcPr>
            <w:tcW w:w="233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Testing among priority populations to increase 10% over baseline each year implemented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2021</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Epi Staff</w:t>
            </w:r>
          </w:p>
        </w:tc>
        <w:tc>
          <w:tcPr>
            <w:tcW w:w="1878"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Strategy and testing campaign evaluated for effectiveness</w:t>
            </w:r>
          </w:p>
        </w:tc>
        <w:tc>
          <w:tcPr>
            <w:tcW w:w="153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NV residents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26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Funding</w:t>
            </w:r>
          </w:p>
          <w:p w:rsidR="002810EC" w:rsidRPr="00F86F1A" w:rsidRDefault="002810EC" w:rsidP="00FA62BB">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tc>
        <w:tc>
          <w:tcPr>
            <w:tcW w:w="233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Summary report </w:t>
            </w:r>
            <w:r w:rsidR="009272D6">
              <w:rPr>
                <w:rFonts w:eastAsia="Times New Roman" w:cs="Tahoma"/>
                <w:color w:val="000000"/>
              </w:rPr>
              <w:t xml:space="preserve">with </w:t>
            </w:r>
            <w:r w:rsidRPr="00F86F1A">
              <w:rPr>
                <w:rFonts w:eastAsia="Times New Roman" w:cs="Tahoma"/>
                <w:color w:val="000000"/>
              </w:rPr>
              <w:t>numbers tested, numbers testing positive, and percentage receiving test results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Distribution of report</w:t>
            </w:r>
          </w:p>
        </w:tc>
      </w:tr>
    </w:tbl>
    <w:p w:rsidR="002810EC" w:rsidRPr="00F86F1A" w:rsidRDefault="002810EC" w:rsidP="002810EC">
      <w:pPr>
        <w:spacing w:before="0" w:after="0" w:line="240" w:lineRule="auto"/>
        <w:rPr>
          <w:rFonts w:eastAsia="Times New Roman" w:cs="Tahoma"/>
          <w:b/>
          <w:bCs/>
          <w:color w:val="000000"/>
        </w:rPr>
      </w:pPr>
    </w:p>
    <w:p w:rsidR="002810EC" w:rsidRPr="00F86F1A" w:rsidRDefault="002810EC" w:rsidP="002810EC">
      <w:pPr>
        <w:spacing w:before="0" w:after="0" w:line="240" w:lineRule="auto"/>
        <w:rPr>
          <w:rFonts w:eastAsia="Times New Roman" w:cs="Tahoma"/>
          <w:b/>
          <w:bCs/>
          <w:color w:val="000000"/>
        </w:rPr>
      </w:pPr>
    </w:p>
    <w:p w:rsidR="002810EC" w:rsidRPr="00FA62BB" w:rsidRDefault="002810EC" w:rsidP="002810EC">
      <w:pPr>
        <w:spacing w:before="0" w:after="0" w:line="240" w:lineRule="auto"/>
        <w:rPr>
          <w:rFonts w:eastAsia="Times New Roman" w:cs="Tahoma"/>
          <w:color w:val="000000"/>
          <w:sz w:val="22"/>
        </w:rPr>
      </w:pPr>
      <w:r w:rsidRPr="00FA62BB">
        <w:rPr>
          <w:rFonts w:eastAsia="Times New Roman" w:cs="Tahoma"/>
          <w:b/>
          <w:bCs/>
          <w:color w:val="000000"/>
          <w:sz w:val="22"/>
        </w:rPr>
        <w:t>O1a. Strategy 2: Increase community awareness of the importance of HIV testing, including awareness of testing sites</w:t>
      </w:r>
    </w:p>
    <w:tbl>
      <w:tblPr>
        <w:tblStyle w:val="GridTable4-Accent4"/>
        <w:tblW w:w="0" w:type="auto"/>
        <w:tblLook w:val="04A0" w:firstRow="1" w:lastRow="0" w:firstColumn="1" w:lastColumn="0" w:noHBand="0" w:noVBand="1"/>
      </w:tblPr>
      <w:tblGrid>
        <w:gridCol w:w="1136"/>
        <w:gridCol w:w="1441"/>
        <w:gridCol w:w="2389"/>
        <w:gridCol w:w="1341"/>
        <w:gridCol w:w="1572"/>
        <w:gridCol w:w="1471"/>
      </w:tblGrid>
      <w:tr w:rsidR="002810EC" w:rsidRPr="00F86F1A" w:rsidTr="00DB13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5" w:type="dxa"/>
          </w:tcPr>
          <w:p w:rsidR="002810EC" w:rsidRPr="00F86F1A" w:rsidRDefault="002810EC" w:rsidP="002810EC">
            <w:pPr>
              <w:spacing w:before="0"/>
            </w:pPr>
            <w:r w:rsidRPr="00F86F1A">
              <w:t>Timeframe</w:t>
            </w:r>
          </w:p>
        </w:tc>
        <w:tc>
          <w:tcPr>
            <w:tcW w:w="198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3401"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1729"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252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2155"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tc>
        <w:tc>
          <w:tcPr>
            <w:tcW w:w="1980" w:type="dxa"/>
          </w:tcPr>
          <w:p w:rsidR="002810EC"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HPPG</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340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Collect data from the population on baseline knowledge of importance and availability of HIV testing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p>
        </w:tc>
        <w:tc>
          <w:tcPr>
            <w:tcW w:w="172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NV residents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252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Data collection tools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FA62BB">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Funding</w:t>
            </w:r>
          </w:p>
        </w:tc>
        <w:tc>
          <w:tcPr>
            <w:tcW w:w="215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Report of the results</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2018</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tc>
        <w:tc>
          <w:tcPr>
            <w:tcW w:w="1980"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3401"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Develop comprehensive statewide media and marketing campaign across multiple platforms</w:t>
            </w:r>
          </w:p>
        </w:tc>
        <w:tc>
          <w:tcPr>
            <w:tcW w:w="172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NV residents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HIV+ and partners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252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Funding</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Community Advisory Board to test market campaign materials to key populations</w:t>
            </w:r>
          </w:p>
        </w:tc>
        <w:tc>
          <w:tcPr>
            <w:tcW w:w="215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Campaign developed and approved by the CAB</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lang w:val="es-US"/>
              </w:rPr>
            </w:pPr>
            <w:r w:rsidRPr="00A33BB7">
              <w:rPr>
                <w:rFonts w:eastAsia="Times New Roman" w:cs="Tahoma"/>
                <w:b w:val="0"/>
                <w:color w:val="000000"/>
                <w:lang w:val="es-US"/>
              </w:rPr>
              <w:t>2019-2020</w:t>
            </w:r>
          </w:p>
        </w:tc>
        <w:tc>
          <w:tcPr>
            <w:tcW w:w="1980"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p>
        </w:tc>
        <w:tc>
          <w:tcPr>
            <w:tcW w:w="340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Media buys and placement across multiple platforms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Website/phone app with updated testing information available</w:t>
            </w:r>
          </w:p>
        </w:tc>
        <w:tc>
          <w:tcPr>
            <w:tcW w:w="172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NV residents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252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Funding</w:t>
            </w:r>
          </w:p>
          <w:p w:rsidR="00B56801" w:rsidRPr="00F86F1A" w:rsidRDefault="00B56801"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215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At least 5,000,000 duplicated impressions throughout the state of NV</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2021</w:t>
            </w:r>
          </w:p>
        </w:tc>
        <w:tc>
          <w:tcPr>
            <w:tcW w:w="198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tc>
        <w:tc>
          <w:tcPr>
            <w:tcW w:w="3401"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Evaluate the effectiveness of the campaign to key populations </w:t>
            </w:r>
          </w:p>
        </w:tc>
        <w:tc>
          <w:tcPr>
            <w:tcW w:w="172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NV residents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Priority populations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252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Data Collection Tools</w:t>
            </w:r>
          </w:p>
          <w:p w:rsidR="00FA62BB" w:rsidRDefault="00FA62BB" w:rsidP="00FA62BB">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FA62BB">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Funding</w:t>
            </w:r>
          </w:p>
        </w:tc>
        <w:tc>
          <w:tcPr>
            <w:tcW w:w="215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Report of results</w:t>
            </w:r>
          </w:p>
        </w:tc>
      </w:tr>
    </w:tbl>
    <w:p w:rsidR="002810EC" w:rsidRPr="00F86F1A" w:rsidRDefault="002810EC" w:rsidP="002810EC">
      <w:pPr>
        <w:spacing w:before="0" w:after="0" w:line="240" w:lineRule="auto"/>
        <w:rPr>
          <w:rFonts w:eastAsia="Times New Roman" w:cs="Tahoma"/>
          <w:color w:val="000000"/>
        </w:rPr>
      </w:pPr>
    </w:p>
    <w:p w:rsidR="009272D6" w:rsidRDefault="009272D6">
      <w:pPr>
        <w:rPr>
          <w:rFonts w:eastAsia="Times New Roman" w:cs="Tahoma"/>
          <w:b/>
          <w:bCs/>
          <w:color w:val="000000"/>
          <w:sz w:val="22"/>
        </w:rPr>
      </w:pPr>
      <w:r>
        <w:rPr>
          <w:rFonts w:eastAsia="Times New Roman" w:cs="Tahoma"/>
          <w:b/>
          <w:bCs/>
          <w:color w:val="000000"/>
          <w:sz w:val="22"/>
        </w:rPr>
        <w:br w:type="page"/>
      </w:r>
    </w:p>
    <w:p w:rsidR="002810EC" w:rsidRPr="00C844C9" w:rsidRDefault="002810EC" w:rsidP="002810EC">
      <w:pPr>
        <w:spacing w:before="0" w:after="0" w:line="240" w:lineRule="auto"/>
        <w:rPr>
          <w:rFonts w:eastAsia="Times New Roman" w:cs="Tahoma"/>
          <w:b/>
          <w:bCs/>
          <w:color w:val="000000"/>
          <w:sz w:val="22"/>
        </w:rPr>
      </w:pPr>
      <w:r w:rsidRPr="00C844C9">
        <w:rPr>
          <w:rFonts w:eastAsia="Times New Roman" w:cs="Tahoma"/>
          <w:b/>
          <w:bCs/>
          <w:color w:val="000000"/>
          <w:sz w:val="22"/>
        </w:rPr>
        <w:lastRenderedPageBreak/>
        <w:t>O1a. Strategy 3: Increase the number of rapid HIV testing locations available in Nevada</w:t>
      </w:r>
    </w:p>
    <w:tbl>
      <w:tblPr>
        <w:tblStyle w:val="GridTable4-Accent4"/>
        <w:tblW w:w="0" w:type="auto"/>
        <w:tblLook w:val="04A0" w:firstRow="1" w:lastRow="0" w:firstColumn="1" w:lastColumn="0" w:noHBand="0" w:noVBand="1"/>
      </w:tblPr>
      <w:tblGrid>
        <w:gridCol w:w="1135"/>
        <w:gridCol w:w="1415"/>
        <w:gridCol w:w="2334"/>
        <w:gridCol w:w="1329"/>
        <w:gridCol w:w="1695"/>
        <w:gridCol w:w="1442"/>
      </w:tblGrid>
      <w:tr w:rsidR="002810EC" w:rsidRPr="00F86F1A" w:rsidTr="009272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5" w:type="dxa"/>
          </w:tcPr>
          <w:p w:rsidR="002810EC" w:rsidRPr="00F86F1A" w:rsidRDefault="002810EC" w:rsidP="002810EC">
            <w:pPr>
              <w:spacing w:before="0"/>
            </w:pPr>
            <w:r w:rsidRPr="00F86F1A">
              <w:t>Timeframe</w:t>
            </w:r>
          </w:p>
        </w:tc>
        <w:tc>
          <w:tcPr>
            <w:tcW w:w="198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3377"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1753"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252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2155"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980"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NVPHTC</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AETC</w:t>
            </w:r>
          </w:p>
        </w:tc>
        <w:tc>
          <w:tcPr>
            <w:tcW w:w="337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Enhance, develop and evaluate  state training and certificatio</w:t>
            </w:r>
            <w:r>
              <w:rPr>
                <w:rFonts w:eastAsia="Times New Roman" w:cs="Tahoma"/>
                <w:color w:val="000000"/>
              </w:rPr>
              <w:t>n process for new testing sites</w:t>
            </w:r>
          </w:p>
        </w:tc>
        <w:tc>
          <w:tcPr>
            <w:tcW w:w="1753"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Providers and health clinics</w:t>
            </w:r>
          </w:p>
        </w:tc>
        <w:tc>
          <w:tcPr>
            <w:tcW w:w="252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Funding for administration and management of training</w:t>
            </w:r>
          </w:p>
        </w:tc>
        <w:tc>
          <w:tcPr>
            <w:tcW w:w="215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State certification for HIV testing adopted</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2017-2018</w:t>
            </w:r>
          </w:p>
        </w:tc>
        <w:tc>
          <w:tcPr>
            <w:tcW w:w="1980"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NVPHTC</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AETC</w:t>
            </w:r>
          </w:p>
        </w:tc>
        <w:tc>
          <w:tcPr>
            <w:tcW w:w="337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Develop and administer train the trainer </w:t>
            </w:r>
          </w:p>
        </w:tc>
        <w:tc>
          <w:tcPr>
            <w:tcW w:w="1753"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 and health clinics</w:t>
            </w:r>
          </w:p>
        </w:tc>
        <w:tc>
          <w:tcPr>
            <w:tcW w:w="2520"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Training materials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215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trainers trained</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2018-2019</w:t>
            </w:r>
          </w:p>
        </w:tc>
        <w:tc>
          <w:tcPr>
            <w:tcW w:w="1980"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NVPHTC</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AETC</w:t>
            </w:r>
          </w:p>
        </w:tc>
        <w:tc>
          <w:tcPr>
            <w:tcW w:w="337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Certify and train location staff to provide rapid testing to high risk populations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p>
        </w:tc>
        <w:tc>
          <w:tcPr>
            <w:tcW w:w="1753"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Providers and health clinics</w:t>
            </w:r>
          </w:p>
        </w:tc>
        <w:tc>
          <w:tcPr>
            <w:tcW w:w="252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FA62BB">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Funding for administration and management of training</w:t>
            </w:r>
          </w:p>
        </w:tc>
        <w:tc>
          <w:tcPr>
            <w:tcW w:w="215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At least 10 new rapid testing locations certified</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2018-2021</w:t>
            </w:r>
          </w:p>
        </w:tc>
        <w:tc>
          <w:tcPr>
            <w:tcW w:w="198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 and health clinics</w:t>
            </w:r>
          </w:p>
        </w:tc>
        <w:tc>
          <w:tcPr>
            <w:tcW w:w="337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Increase number of rapid tests conducted in Nevada by certified agencies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1753"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Priority</w:t>
            </w:r>
            <w:r w:rsidRPr="00F86F1A" w:rsidDel="00331E92">
              <w:rPr>
                <w:rFonts w:eastAsia="Times New Roman" w:cs="Tahoma"/>
                <w:color w:val="000000"/>
              </w:rPr>
              <w:t xml:space="preserve"> </w:t>
            </w:r>
            <w:r w:rsidRPr="00F86F1A">
              <w:rPr>
                <w:rFonts w:eastAsia="Times New Roman" w:cs="Tahoma"/>
                <w:color w:val="000000"/>
              </w:rPr>
              <w:t>populations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w:t>
            </w:r>
          </w:p>
        </w:tc>
        <w:tc>
          <w:tcPr>
            <w:tcW w:w="252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Tests Kits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Funding</w:t>
            </w:r>
          </w:p>
        </w:tc>
        <w:tc>
          <w:tcPr>
            <w:tcW w:w="215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Increase number of rapid tests performed in the state by 10% above baseline each year</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Del="00331E92"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980"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tc>
        <w:tc>
          <w:tcPr>
            <w:tcW w:w="337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Promote rapid testing</w:t>
            </w:r>
          </w:p>
        </w:tc>
        <w:tc>
          <w:tcPr>
            <w:tcW w:w="1753"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252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Promotional materials</w:t>
            </w:r>
          </w:p>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Funding</w:t>
            </w:r>
          </w:p>
        </w:tc>
        <w:tc>
          <w:tcPr>
            <w:tcW w:w="215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rapid testing sites</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1165" w:type="dxa"/>
          </w:tcPr>
          <w:p w:rsidR="002810EC" w:rsidRPr="00A33BB7" w:rsidDel="00331E92"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980"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RWPA</w:t>
            </w:r>
          </w:p>
        </w:tc>
        <w:tc>
          <w:tcPr>
            <w:tcW w:w="337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Put rapid testing locations on HIV websites</w:t>
            </w:r>
          </w:p>
        </w:tc>
        <w:tc>
          <w:tcPr>
            <w:tcW w:w="1753"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252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215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Website statistics</w:t>
            </w:r>
          </w:p>
        </w:tc>
      </w:tr>
    </w:tbl>
    <w:p w:rsidR="002810EC" w:rsidRPr="00F86F1A" w:rsidRDefault="002810EC" w:rsidP="002810EC">
      <w:pPr>
        <w:spacing w:before="0" w:after="0" w:line="240" w:lineRule="auto"/>
        <w:rPr>
          <w:rFonts w:eastAsia="Times New Roman" w:cs="Tahoma"/>
          <w:b/>
          <w:bCs/>
          <w:color w:val="000000"/>
        </w:rPr>
      </w:pPr>
    </w:p>
    <w:p w:rsidR="006E4517" w:rsidRDefault="006E4517" w:rsidP="002810EC">
      <w:pPr>
        <w:spacing w:before="0" w:after="0" w:line="240" w:lineRule="auto"/>
        <w:rPr>
          <w:rFonts w:eastAsia="Times New Roman" w:cs="Tahoma"/>
          <w:b/>
          <w:bCs/>
          <w:color w:val="000000"/>
          <w:sz w:val="22"/>
        </w:rPr>
      </w:pPr>
    </w:p>
    <w:p w:rsidR="009272D6" w:rsidRDefault="009272D6">
      <w:pPr>
        <w:rPr>
          <w:rFonts w:eastAsia="Times New Roman" w:cs="Tahoma"/>
          <w:b/>
          <w:bCs/>
          <w:color w:val="000000"/>
          <w:sz w:val="22"/>
        </w:rPr>
      </w:pPr>
      <w:r>
        <w:rPr>
          <w:rFonts w:eastAsia="Times New Roman" w:cs="Tahoma"/>
          <w:b/>
          <w:bCs/>
          <w:color w:val="000000"/>
          <w:sz w:val="22"/>
        </w:rPr>
        <w:br w:type="page"/>
      </w:r>
    </w:p>
    <w:p w:rsidR="002810EC" w:rsidRPr="005B7B76" w:rsidRDefault="002810EC" w:rsidP="002810EC">
      <w:pPr>
        <w:spacing w:before="0" w:after="0" w:line="240" w:lineRule="auto"/>
        <w:rPr>
          <w:rFonts w:eastAsia="Times New Roman" w:cs="Tahoma"/>
          <w:color w:val="000000"/>
          <w:sz w:val="22"/>
        </w:rPr>
      </w:pPr>
      <w:r w:rsidRPr="005B7B76">
        <w:rPr>
          <w:rFonts w:eastAsia="Times New Roman" w:cs="Tahoma"/>
          <w:b/>
          <w:bCs/>
          <w:color w:val="000000"/>
          <w:sz w:val="22"/>
        </w:rPr>
        <w:lastRenderedPageBreak/>
        <w:t>Objective 1b. By 2021, reduce by 25% the number of new HIV diagnoses.</w:t>
      </w:r>
    </w:p>
    <w:p w:rsidR="002810EC" w:rsidRPr="005B7B76" w:rsidRDefault="002810EC" w:rsidP="002810EC">
      <w:pPr>
        <w:spacing w:before="0" w:after="0"/>
        <w:rPr>
          <w:rFonts w:eastAsia="Times New Roman" w:cs="Tahoma"/>
          <w:b/>
          <w:bCs/>
          <w:color w:val="000000"/>
          <w:sz w:val="22"/>
        </w:rPr>
      </w:pPr>
      <w:r w:rsidRPr="005B7B76">
        <w:rPr>
          <w:rFonts w:eastAsia="Times New Roman" w:cs="Tahoma"/>
          <w:b/>
          <w:bCs/>
          <w:color w:val="000000"/>
          <w:sz w:val="22"/>
        </w:rPr>
        <w:t xml:space="preserve">O1b. Strategy 1: Increase education and access to PrEP and PEP </w:t>
      </w:r>
    </w:p>
    <w:tbl>
      <w:tblPr>
        <w:tblStyle w:val="GridTable4-Accent4"/>
        <w:tblW w:w="0" w:type="auto"/>
        <w:tblLook w:val="04A0" w:firstRow="1" w:lastRow="0" w:firstColumn="1" w:lastColumn="0" w:noHBand="0" w:noVBand="1"/>
      </w:tblPr>
      <w:tblGrid>
        <w:gridCol w:w="1136"/>
        <w:gridCol w:w="1289"/>
        <w:gridCol w:w="3229"/>
        <w:gridCol w:w="1181"/>
        <w:gridCol w:w="1170"/>
        <w:gridCol w:w="1345"/>
      </w:tblGrid>
      <w:tr w:rsidR="002810EC" w:rsidRPr="00F86F1A" w:rsidTr="009272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6" w:type="dxa"/>
          </w:tcPr>
          <w:p w:rsidR="002810EC" w:rsidRPr="00F86F1A" w:rsidRDefault="002810EC" w:rsidP="002810EC">
            <w:pPr>
              <w:spacing w:before="0"/>
            </w:pPr>
            <w:r w:rsidRPr="00F86F1A">
              <w:t>Timeframe</w:t>
            </w:r>
          </w:p>
        </w:tc>
        <w:tc>
          <w:tcPr>
            <w:tcW w:w="1289"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3229"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1181"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17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1345"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tc>
        <w:tc>
          <w:tcPr>
            <w:tcW w:w="1289" w:type="dxa"/>
          </w:tcPr>
          <w:p w:rsidR="002810EC" w:rsidRPr="00F86F1A" w:rsidRDefault="009272D6"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Obtain provider and community buy-in for education</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118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117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Curriculum</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tc>
        <w:tc>
          <w:tcPr>
            <w:tcW w:w="134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 of providers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of partners</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A369BC" w:rsidP="002810EC">
            <w:pPr>
              <w:spacing w:before="0"/>
              <w:rPr>
                <w:rFonts w:eastAsia="Times New Roman" w:cs="Tahoma"/>
                <w:b w:val="0"/>
                <w:color w:val="000000"/>
              </w:rPr>
            </w:pPr>
            <w:r w:rsidRPr="00A33BB7">
              <w:rPr>
                <w:rFonts w:eastAsia="Times New Roman" w:cs="Tahoma"/>
                <w:b w:val="0"/>
                <w:color w:val="000000"/>
              </w:rPr>
              <w:t>2017</w:t>
            </w:r>
          </w:p>
        </w:tc>
        <w:tc>
          <w:tcPr>
            <w:tcW w:w="1289" w:type="dxa"/>
          </w:tcPr>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p>
        </w:tc>
        <w:tc>
          <w:tcPr>
            <w:tcW w:w="322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Identify other partners, agencies, and organizations that can collaborate to fund and/or deliver trainings</w:t>
            </w:r>
          </w:p>
        </w:tc>
        <w:tc>
          <w:tcPr>
            <w:tcW w:w="1181"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1170"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134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agencies and partners</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A369BC" w:rsidP="002810EC">
            <w:pPr>
              <w:spacing w:before="0"/>
              <w:rPr>
                <w:rFonts w:eastAsia="Times New Roman" w:cs="Tahoma"/>
                <w:b w:val="0"/>
                <w:color w:val="000000"/>
              </w:rPr>
            </w:pPr>
            <w:r w:rsidRPr="00A33BB7">
              <w:rPr>
                <w:rFonts w:eastAsia="Times New Roman" w:cs="Tahoma"/>
                <w:b w:val="0"/>
                <w:color w:val="000000"/>
              </w:rPr>
              <w:t>2017-</w:t>
            </w:r>
            <w:r w:rsidR="002810EC" w:rsidRPr="00A33BB7">
              <w:rPr>
                <w:rFonts w:eastAsia="Times New Roman" w:cs="Tahoma"/>
                <w:b w:val="0"/>
                <w:color w:val="000000"/>
              </w:rPr>
              <w:t>2018</w:t>
            </w:r>
          </w:p>
        </w:tc>
        <w:tc>
          <w:tcPr>
            <w:tcW w:w="1289" w:type="dxa"/>
          </w:tcPr>
          <w:p w:rsidR="002810EC" w:rsidRPr="00F86F1A" w:rsidRDefault="009272D6"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p>
        </w:tc>
        <w:tc>
          <w:tcPr>
            <w:tcW w:w="322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Initiate provider and Community education and training on PrEP &amp; PEP</w:t>
            </w:r>
          </w:p>
        </w:tc>
        <w:tc>
          <w:tcPr>
            <w:tcW w:w="118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117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Curriculum</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4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trainings</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A369BC" w:rsidP="002810EC">
            <w:pPr>
              <w:spacing w:before="0"/>
              <w:rPr>
                <w:rFonts w:eastAsia="Times New Roman" w:cs="Tahoma"/>
                <w:b w:val="0"/>
                <w:color w:val="000000"/>
              </w:rPr>
            </w:pPr>
            <w:r w:rsidRPr="00A33BB7">
              <w:rPr>
                <w:rFonts w:eastAsia="Times New Roman" w:cs="Tahoma"/>
                <w:b w:val="0"/>
                <w:color w:val="000000"/>
              </w:rPr>
              <w:t>2017-</w:t>
            </w:r>
            <w:r w:rsidR="002810EC" w:rsidRPr="00A33BB7">
              <w:rPr>
                <w:rFonts w:eastAsia="Times New Roman" w:cs="Tahoma"/>
                <w:b w:val="0"/>
                <w:color w:val="000000"/>
              </w:rPr>
              <w:t>2018</w:t>
            </w:r>
          </w:p>
        </w:tc>
        <w:tc>
          <w:tcPr>
            <w:tcW w:w="1289" w:type="dxa"/>
          </w:tcPr>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Training provider and staff on </w:t>
            </w:r>
            <w:r w:rsidR="00A369BC" w:rsidRPr="00F86F1A">
              <w:rPr>
                <w:rFonts w:eastAsia="Times New Roman" w:cs="Tahoma"/>
                <w:color w:val="000000"/>
              </w:rPr>
              <w:t>PrEP</w:t>
            </w:r>
            <w:r>
              <w:rPr>
                <w:rFonts w:eastAsia="Times New Roman" w:cs="Tahoma"/>
                <w:color w:val="000000"/>
              </w:rPr>
              <w:t xml:space="preserve"> &amp; PEP</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1181"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1170"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Curriculum</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4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providers and staff trained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A369BC" w:rsidP="002810EC">
            <w:pPr>
              <w:spacing w:before="0"/>
              <w:rPr>
                <w:rFonts w:eastAsia="Times New Roman" w:cs="Tahoma"/>
                <w:b w:val="0"/>
                <w:color w:val="000000"/>
              </w:rPr>
            </w:pPr>
            <w:r w:rsidRPr="00A33BB7">
              <w:rPr>
                <w:rFonts w:eastAsia="Times New Roman" w:cs="Tahoma"/>
                <w:b w:val="0"/>
                <w:color w:val="000000"/>
              </w:rPr>
              <w:t>2017-2018</w:t>
            </w:r>
          </w:p>
        </w:tc>
        <w:tc>
          <w:tcPr>
            <w:tcW w:w="1289" w:type="dxa"/>
          </w:tcPr>
          <w:p w:rsidR="002810EC" w:rsidRPr="00F86F1A" w:rsidRDefault="009272D6"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Community education program on PrEP &amp; PEP</w:t>
            </w:r>
          </w:p>
        </w:tc>
        <w:tc>
          <w:tcPr>
            <w:tcW w:w="118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17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Curriculum</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4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programs implemented</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r w:rsidR="00A369BC" w:rsidRPr="00A33BB7">
              <w:rPr>
                <w:rFonts w:eastAsia="Times New Roman" w:cs="Tahoma"/>
                <w:b w:val="0"/>
                <w:color w:val="000000"/>
              </w:rPr>
              <w:t>2017-2018</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tc>
        <w:tc>
          <w:tcPr>
            <w:tcW w:w="1289" w:type="dxa"/>
          </w:tcPr>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Peer to peer education on PrEP &amp; PEP program</w:t>
            </w:r>
          </w:p>
        </w:tc>
        <w:tc>
          <w:tcPr>
            <w:tcW w:w="1181"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Priority populations</w:t>
            </w:r>
          </w:p>
        </w:tc>
        <w:tc>
          <w:tcPr>
            <w:tcW w:w="1170"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w:t>
            </w:r>
            <w:r>
              <w:rPr>
                <w:rFonts w:eastAsia="Times New Roman" w:cs="Tahoma"/>
                <w:color w:val="000000"/>
              </w:rPr>
              <w:t>Curriculum</w:t>
            </w:r>
          </w:p>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Peer educators</w:t>
            </w:r>
          </w:p>
        </w:tc>
        <w:tc>
          <w:tcPr>
            <w:tcW w:w="1345"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of targeted community members trained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A369BC" w:rsidP="00A369BC">
            <w:pPr>
              <w:spacing w:before="0"/>
              <w:rPr>
                <w:rFonts w:eastAsia="Times New Roman" w:cs="Tahoma"/>
                <w:b w:val="0"/>
                <w:color w:val="000000"/>
              </w:rPr>
            </w:pPr>
            <w:r w:rsidRPr="00A33BB7">
              <w:rPr>
                <w:rFonts w:eastAsia="Times New Roman" w:cs="Tahoma"/>
                <w:b w:val="0"/>
                <w:color w:val="000000"/>
              </w:rPr>
              <w:t>2018</w:t>
            </w:r>
            <w:r w:rsidR="002810EC" w:rsidRPr="00A33BB7">
              <w:rPr>
                <w:rFonts w:eastAsia="Times New Roman" w:cs="Tahoma"/>
                <w:b w:val="0"/>
                <w:color w:val="000000"/>
              </w:rPr>
              <w:t>-20</w:t>
            </w:r>
            <w:r w:rsidRPr="00A33BB7">
              <w:rPr>
                <w:rFonts w:eastAsia="Times New Roman" w:cs="Tahoma"/>
                <w:b w:val="0"/>
                <w:color w:val="000000"/>
              </w:rPr>
              <w:t>19</w:t>
            </w:r>
          </w:p>
        </w:tc>
        <w:tc>
          <w:tcPr>
            <w:tcW w:w="1289"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r w:rsidR="009272D6">
              <w:rPr>
                <w:rFonts w:eastAsia="Times New Roman" w:cs="Tahoma"/>
                <w:color w:val="000000"/>
              </w:rPr>
              <w:t>, RWPA</w:t>
            </w:r>
            <w:r w:rsidR="002810EC" w:rsidRPr="00F86F1A">
              <w:rPr>
                <w:rFonts w:eastAsia="Times New Roman" w:cs="Tahoma"/>
                <w:color w:val="000000"/>
              </w:rPr>
              <w:br/>
              <w:t>Local health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Implement pilot project for PrEP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118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17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PrEP 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45" w:type="dxa"/>
          </w:tcPr>
          <w:p w:rsidR="002810EC" w:rsidRPr="00F86F1A" w:rsidDel="00F05B72"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Pilot project implemented</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2810EC" w:rsidP="00A369BC">
            <w:pPr>
              <w:spacing w:before="0"/>
              <w:rPr>
                <w:rFonts w:eastAsia="Times New Roman" w:cs="Tahoma"/>
                <w:b w:val="0"/>
                <w:color w:val="000000"/>
              </w:rPr>
            </w:pPr>
            <w:r w:rsidRPr="00A33BB7">
              <w:rPr>
                <w:rFonts w:eastAsia="Times New Roman" w:cs="Tahoma"/>
                <w:b w:val="0"/>
                <w:color w:val="000000"/>
              </w:rPr>
              <w:t>20</w:t>
            </w:r>
            <w:r w:rsidR="00A369BC" w:rsidRPr="00A33BB7">
              <w:rPr>
                <w:rFonts w:eastAsia="Times New Roman" w:cs="Tahoma"/>
                <w:b w:val="0"/>
                <w:color w:val="000000"/>
              </w:rPr>
              <w:t>19-2020</w:t>
            </w:r>
          </w:p>
        </w:tc>
        <w:tc>
          <w:tcPr>
            <w:tcW w:w="1289" w:type="dxa"/>
          </w:tcPr>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RWPA</w:t>
            </w:r>
            <w:r w:rsidR="002810EC" w:rsidRPr="00F86F1A">
              <w:rPr>
                <w:rFonts w:eastAsia="Times New Roman" w:cs="Tahoma"/>
                <w:color w:val="000000"/>
              </w:rPr>
              <w:br/>
              <w:t>Local health districts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Develop process for developing a </w:t>
            </w:r>
            <w:r>
              <w:rPr>
                <w:rFonts w:eastAsia="Times New Roman" w:cs="Tahoma"/>
                <w:color w:val="000000"/>
              </w:rPr>
              <w:t>PrEP</w:t>
            </w:r>
            <w:r w:rsidRPr="00F86F1A">
              <w:rPr>
                <w:rFonts w:eastAsia="Times New Roman" w:cs="Tahoma"/>
                <w:color w:val="000000"/>
              </w:rPr>
              <w:t xml:space="preserve"> clinic</w:t>
            </w:r>
          </w:p>
        </w:tc>
        <w:tc>
          <w:tcPr>
            <w:tcW w:w="1181"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117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45" w:type="dxa"/>
          </w:tcPr>
          <w:p w:rsidR="002810EC" w:rsidRPr="00F86F1A" w:rsidDel="00F05B72"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Process developed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A369BC" w:rsidP="002810EC">
            <w:pPr>
              <w:spacing w:before="0"/>
              <w:rPr>
                <w:rFonts w:eastAsia="Times New Roman" w:cs="Tahoma"/>
                <w:b w:val="0"/>
                <w:color w:val="000000"/>
              </w:rPr>
            </w:pPr>
            <w:r w:rsidRPr="00A33BB7">
              <w:rPr>
                <w:rFonts w:eastAsia="Times New Roman" w:cs="Tahoma"/>
                <w:b w:val="0"/>
                <w:color w:val="000000"/>
              </w:rPr>
              <w:t>2018-</w:t>
            </w:r>
            <w:r w:rsidR="002810EC" w:rsidRPr="00A33BB7">
              <w:rPr>
                <w:rFonts w:eastAsia="Times New Roman" w:cs="Tahoma"/>
                <w:b w:val="0"/>
                <w:color w:val="000000"/>
              </w:rPr>
              <w:t>2021</w:t>
            </w:r>
          </w:p>
        </w:tc>
        <w:tc>
          <w:tcPr>
            <w:tcW w:w="1289" w:type="dxa"/>
          </w:tcPr>
          <w:p w:rsidR="002810EC" w:rsidRPr="00F86F1A" w:rsidRDefault="009272D6"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9" w:type="dxa"/>
          </w:tcPr>
          <w:p w:rsidR="002810EC" w:rsidRPr="00F86F1A" w:rsidDel="00F05B72"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Evaluate of the pilot project</w:t>
            </w:r>
          </w:p>
        </w:tc>
        <w:tc>
          <w:tcPr>
            <w:tcW w:w="118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170"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Evaluation tools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45" w:type="dxa"/>
          </w:tcPr>
          <w:p w:rsidR="002810EC" w:rsidRPr="00F86F1A" w:rsidDel="00F05B72"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Evaluation report</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2018-2019</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w:t>
            </w:r>
          </w:p>
        </w:tc>
        <w:tc>
          <w:tcPr>
            <w:tcW w:w="1289" w:type="dxa"/>
          </w:tcPr>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tc>
        <w:tc>
          <w:tcPr>
            <w:tcW w:w="322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Enhance and support clinics to offer PrEP</w:t>
            </w:r>
          </w:p>
        </w:tc>
        <w:tc>
          <w:tcPr>
            <w:tcW w:w="1181"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Providers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1170"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w:t>
            </w:r>
            <w:r>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1345"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 of clinics providing PrEP</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 of clinics supported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289" w:type="dxa"/>
          </w:tcPr>
          <w:p w:rsidR="002810EC" w:rsidRPr="00F86F1A" w:rsidRDefault="009272D6"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RWPA</w:t>
            </w:r>
          </w:p>
        </w:tc>
        <w:tc>
          <w:tcPr>
            <w:tcW w:w="322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Develop a resource list of pharmacies where PrEP is available</w:t>
            </w:r>
          </w:p>
        </w:tc>
        <w:tc>
          <w:tcPr>
            <w:tcW w:w="1181"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17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45"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Resource list</w:t>
            </w:r>
          </w:p>
        </w:tc>
      </w:tr>
    </w:tbl>
    <w:p w:rsidR="002810EC" w:rsidRPr="00F86F1A" w:rsidRDefault="002810EC" w:rsidP="002810EC">
      <w:pPr>
        <w:spacing w:before="0" w:after="0" w:line="240" w:lineRule="auto"/>
        <w:rPr>
          <w:rFonts w:eastAsia="Times New Roman" w:cs="Tahoma"/>
          <w:b/>
          <w:bCs/>
          <w:color w:val="000000"/>
        </w:rPr>
      </w:pPr>
    </w:p>
    <w:p w:rsidR="00C659A9" w:rsidRDefault="00C659A9" w:rsidP="002810EC">
      <w:pPr>
        <w:spacing w:before="0" w:after="0" w:line="240" w:lineRule="auto"/>
        <w:rPr>
          <w:rFonts w:eastAsia="Times New Roman" w:cs="Tahoma"/>
          <w:b/>
          <w:bCs/>
          <w:color w:val="000000"/>
          <w:sz w:val="22"/>
        </w:rPr>
      </w:pPr>
    </w:p>
    <w:p w:rsidR="002810EC" w:rsidRPr="005B7B76" w:rsidRDefault="002810EC" w:rsidP="002810EC">
      <w:pPr>
        <w:spacing w:before="0" w:after="0" w:line="240" w:lineRule="auto"/>
        <w:rPr>
          <w:rFonts w:eastAsia="Times New Roman" w:cs="Tahoma"/>
          <w:color w:val="000000"/>
          <w:sz w:val="22"/>
        </w:rPr>
      </w:pPr>
      <w:r w:rsidRPr="005B7B76">
        <w:rPr>
          <w:rFonts w:eastAsia="Times New Roman" w:cs="Tahoma"/>
          <w:b/>
          <w:bCs/>
          <w:color w:val="000000"/>
          <w:sz w:val="22"/>
        </w:rPr>
        <w:lastRenderedPageBreak/>
        <w:t>O1b  Strategy 2: Increase community education of HIV/AIDS through comprehensive sexual health education</w:t>
      </w:r>
    </w:p>
    <w:tbl>
      <w:tblPr>
        <w:tblStyle w:val="GridTable4-Accent4"/>
        <w:tblW w:w="0" w:type="auto"/>
        <w:tblLook w:val="04A0" w:firstRow="1" w:lastRow="0" w:firstColumn="1" w:lastColumn="0" w:noHBand="0" w:noVBand="1"/>
      </w:tblPr>
      <w:tblGrid>
        <w:gridCol w:w="1134"/>
        <w:gridCol w:w="1384"/>
        <w:gridCol w:w="2787"/>
        <w:gridCol w:w="1169"/>
        <w:gridCol w:w="1410"/>
        <w:gridCol w:w="1466"/>
      </w:tblGrid>
      <w:tr w:rsidR="002810EC" w:rsidRPr="00F86F1A" w:rsidTr="009272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rsidR="002810EC" w:rsidRPr="00F86F1A" w:rsidRDefault="002810EC" w:rsidP="002810EC">
            <w:pPr>
              <w:spacing w:before="0"/>
            </w:pPr>
            <w:r w:rsidRPr="00F86F1A">
              <w:t>Timeframe</w:t>
            </w:r>
          </w:p>
        </w:tc>
        <w:tc>
          <w:tcPr>
            <w:tcW w:w="1384"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2787"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1169"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410"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1466"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2017-2018</w:t>
            </w:r>
          </w:p>
        </w:tc>
        <w:tc>
          <w:tcPr>
            <w:tcW w:w="1384"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r w:rsidR="002019C8">
              <w:rPr>
                <w:rFonts w:eastAsia="Times New Roman" w:cs="Tahoma"/>
                <w:color w:val="000000"/>
              </w:rPr>
              <w:t>HPPG</w:t>
            </w:r>
            <w:r w:rsidRPr="00F86F1A">
              <w:rPr>
                <w:rFonts w:eastAsia="Times New Roman" w:cs="Tahoma"/>
                <w:color w:val="000000"/>
              </w:rPr>
              <w: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NPHF</w:t>
            </w:r>
          </w:p>
        </w:tc>
        <w:tc>
          <w:tcPr>
            <w:tcW w:w="278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Develop a workgroup for policy development and lobbying policy change for </w:t>
            </w:r>
            <w:r w:rsidR="00B56801">
              <w:rPr>
                <w:rFonts w:eastAsia="Times New Roman" w:cs="Tahoma"/>
                <w:color w:val="000000"/>
              </w:rPr>
              <w:t xml:space="preserve">comprehensive, medically accurate sexual health </w:t>
            </w:r>
            <w:r w:rsidRPr="00F86F1A">
              <w:rPr>
                <w:rFonts w:eastAsia="Times New Roman" w:cs="Tahoma"/>
                <w:color w:val="000000"/>
              </w:rPr>
              <w:t>education in schools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Include recommended best practices/curricula in the policy</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Write in Opt-out policy into bill </w:t>
            </w:r>
          </w:p>
        </w:tc>
        <w:tc>
          <w:tcPr>
            <w:tcW w:w="116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State legislature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School Districts</w:t>
            </w:r>
          </w:p>
        </w:tc>
        <w:tc>
          <w:tcPr>
            <w:tcW w:w="141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Policy development training</w:t>
            </w:r>
          </w:p>
        </w:tc>
        <w:tc>
          <w:tcPr>
            <w:tcW w:w="1466"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Legislative bill outcome</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4"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2019-2021</w:t>
            </w:r>
          </w:p>
        </w:tc>
        <w:tc>
          <w:tcPr>
            <w:tcW w:w="1384"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State Board of Education</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Local School Districts</w:t>
            </w:r>
          </w:p>
        </w:tc>
        <w:tc>
          <w:tcPr>
            <w:tcW w:w="278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Collaborate with State Board of Education and local school districts to implement Comprehensive SH education in schools </w:t>
            </w:r>
          </w:p>
        </w:tc>
        <w:tc>
          <w:tcPr>
            <w:tcW w:w="116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Youth</w:t>
            </w:r>
          </w:p>
        </w:tc>
        <w:tc>
          <w:tcPr>
            <w:tcW w:w="141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recommended Curriculum and best practices</w:t>
            </w:r>
          </w:p>
        </w:tc>
        <w:tc>
          <w:tcPr>
            <w:tcW w:w="1466"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of students receiving comprehensive SH education</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2019- 2020</w:t>
            </w:r>
          </w:p>
        </w:tc>
        <w:tc>
          <w:tcPr>
            <w:tcW w:w="1384" w:type="dxa"/>
          </w:tcPr>
          <w:p w:rsidR="002810EC" w:rsidRPr="00F86F1A" w:rsidRDefault="009272D6"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p w:rsidR="002810EC"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HPPG</w:t>
            </w:r>
            <w:r w:rsidR="002810EC" w:rsidRPr="00F86F1A">
              <w:rPr>
                <w:rFonts w:eastAsia="Times New Roman" w:cs="Tahoma"/>
                <w:color w:val="000000"/>
              </w:rPr>
              <w: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School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tc>
        <w:tc>
          <w:tcPr>
            <w:tcW w:w="278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Explore the development of school-based clinics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116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Youth</w:t>
            </w:r>
          </w:p>
        </w:tc>
        <w:tc>
          <w:tcPr>
            <w:tcW w:w="141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tc>
        <w:tc>
          <w:tcPr>
            <w:tcW w:w="1466"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Findings of the exploration</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4"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2019-2020</w:t>
            </w:r>
          </w:p>
        </w:tc>
        <w:tc>
          <w:tcPr>
            <w:tcW w:w="1384" w:type="dxa"/>
          </w:tcPr>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tc>
        <w:tc>
          <w:tcPr>
            <w:tcW w:w="278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Develop a standardized curriculum for HIV/STD 101 </w:t>
            </w:r>
          </w:p>
        </w:tc>
        <w:tc>
          <w:tcPr>
            <w:tcW w:w="116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Community members and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tc>
        <w:tc>
          <w:tcPr>
            <w:tcW w:w="141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Curriculum development resources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tc>
        <w:tc>
          <w:tcPr>
            <w:tcW w:w="1466"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Curriculum developed</w:t>
            </w:r>
          </w:p>
        </w:tc>
      </w:tr>
      <w:tr w:rsidR="002810EC" w:rsidRPr="00F86F1A" w:rsidTr="0092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2019-2020</w:t>
            </w:r>
          </w:p>
        </w:tc>
        <w:tc>
          <w:tcPr>
            <w:tcW w:w="1384" w:type="dxa"/>
          </w:tcPr>
          <w:p w:rsidR="002810EC" w:rsidRPr="00F86F1A" w:rsidRDefault="009272D6"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tc>
        <w:tc>
          <w:tcPr>
            <w:tcW w:w="278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Make curriculum available to community partners statewide online</w:t>
            </w:r>
          </w:p>
        </w:tc>
        <w:tc>
          <w:tcPr>
            <w:tcW w:w="116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Community members and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tc>
        <w:tc>
          <w:tcPr>
            <w:tcW w:w="1410"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Training resources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RWPB and RWPA training</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tc>
        <w:tc>
          <w:tcPr>
            <w:tcW w:w="1466"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of trainers trained</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of providers trained</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of people educated</w:t>
            </w:r>
          </w:p>
        </w:tc>
      </w:tr>
      <w:tr w:rsidR="002810EC" w:rsidRPr="00F86F1A" w:rsidTr="009272D6">
        <w:tc>
          <w:tcPr>
            <w:cnfStyle w:val="001000000000" w:firstRow="0" w:lastRow="0" w:firstColumn="1" w:lastColumn="0" w:oddVBand="0" w:evenVBand="0" w:oddHBand="0" w:evenHBand="0" w:firstRowFirstColumn="0" w:firstRowLastColumn="0" w:lastRowFirstColumn="0" w:lastRowLastColumn="0"/>
            <w:tcW w:w="1134"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2019-2020</w:t>
            </w:r>
          </w:p>
        </w:tc>
        <w:tc>
          <w:tcPr>
            <w:tcW w:w="1384" w:type="dxa"/>
          </w:tcPr>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RWPA</w:t>
            </w:r>
            <w:r w:rsidRPr="00F86F1A">
              <w:rPr>
                <w:rFonts w:eastAsia="Times New Roman" w:cs="Tahoma"/>
                <w:color w:val="000000"/>
              </w:rPr>
              <w:t xml:space="preserve"> </w:t>
            </w:r>
            <w:r w:rsidR="002810EC" w:rsidRPr="00F86F1A">
              <w:rPr>
                <w:rFonts w:eastAsia="Times New Roman" w:cs="Tahoma"/>
                <w:color w:val="000000"/>
              </w:rPr>
              <w:t>Local Health districts</w:t>
            </w:r>
          </w:p>
        </w:tc>
        <w:tc>
          <w:tcPr>
            <w:tcW w:w="278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Evaluate curriculum </w:t>
            </w:r>
          </w:p>
        </w:tc>
        <w:tc>
          <w:tcPr>
            <w:tcW w:w="116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Community members and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Providers</w:t>
            </w:r>
          </w:p>
        </w:tc>
        <w:tc>
          <w:tcPr>
            <w:tcW w:w="1410"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Evaluation tools</w:t>
            </w:r>
          </w:p>
        </w:tc>
        <w:tc>
          <w:tcPr>
            <w:tcW w:w="1466"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Evaluation report</w:t>
            </w:r>
          </w:p>
        </w:tc>
      </w:tr>
    </w:tbl>
    <w:p w:rsidR="002810EC" w:rsidRPr="00F86F1A" w:rsidRDefault="002810EC" w:rsidP="002810EC">
      <w:pPr>
        <w:spacing w:before="0" w:after="0" w:line="240" w:lineRule="auto"/>
        <w:rPr>
          <w:rFonts w:eastAsia="Times New Roman" w:cs="Tahoma"/>
          <w:color w:val="000000"/>
        </w:rPr>
      </w:pPr>
    </w:p>
    <w:p w:rsidR="00C659A9" w:rsidRDefault="002810EC" w:rsidP="002810EC">
      <w:pPr>
        <w:spacing w:before="0" w:after="0" w:line="240" w:lineRule="auto"/>
        <w:rPr>
          <w:rFonts w:eastAsia="Times New Roman" w:cs="Tahoma"/>
          <w:b/>
          <w:bCs/>
          <w:color w:val="000000"/>
          <w:sz w:val="24"/>
        </w:rPr>
      </w:pPr>
      <w:r w:rsidRPr="00F86F1A">
        <w:rPr>
          <w:rFonts w:eastAsia="Times New Roman" w:cs="Tahoma"/>
          <w:b/>
          <w:bCs/>
          <w:color w:val="000000"/>
          <w:sz w:val="24"/>
        </w:rPr>
        <w:t> </w:t>
      </w:r>
    </w:p>
    <w:p w:rsidR="009272D6" w:rsidRDefault="009272D6" w:rsidP="002810EC">
      <w:pPr>
        <w:spacing w:before="0" w:after="0" w:line="240" w:lineRule="auto"/>
        <w:rPr>
          <w:rFonts w:eastAsia="Times New Roman" w:cs="Tahoma"/>
          <w:b/>
          <w:bCs/>
          <w:color w:val="000000"/>
          <w:sz w:val="22"/>
        </w:rPr>
      </w:pPr>
    </w:p>
    <w:p w:rsidR="009272D6" w:rsidRDefault="009272D6" w:rsidP="002810EC">
      <w:pPr>
        <w:spacing w:before="0" w:after="0" w:line="240" w:lineRule="auto"/>
        <w:rPr>
          <w:rFonts w:eastAsia="Times New Roman" w:cs="Tahoma"/>
          <w:b/>
          <w:bCs/>
          <w:color w:val="000000"/>
          <w:sz w:val="22"/>
        </w:rPr>
      </w:pPr>
    </w:p>
    <w:p w:rsidR="009272D6" w:rsidRDefault="009272D6" w:rsidP="002810EC">
      <w:pPr>
        <w:spacing w:before="0" w:after="0" w:line="240" w:lineRule="auto"/>
        <w:rPr>
          <w:rFonts w:eastAsia="Times New Roman" w:cs="Tahoma"/>
          <w:b/>
          <w:bCs/>
          <w:color w:val="000000"/>
          <w:sz w:val="22"/>
        </w:rPr>
      </w:pPr>
    </w:p>
    <w:p w:rsidR="009272D6" w:rsidRDefault="009272D6" w:rsidP="002810EC">
      <w:pPr>
        <w:spacing w:before="0" w:after="0" w:line="240" w:lineRule="auto"/>
        <w:rPr>
          <w:rFonts w:eastAsia="Times New Roman" w:cs="Tahoma"/>
          <w:b/>
          <w:bCs/>
          <w:color w:val="000000"/>
          <w:sz w:val="22"/>
        </w:rPr>
      </w:pPr>
    </w:p>
    <w:p w:rsidR="002810EC" w:rsidRPr="005B7B76" w:rsidRDefault="002810EC" w:rsidP="002810EC">
      <w:pPr>
        <w:spacing w:before="0" w:after="0" w:line="240" w:lineRule="auto"/>
        <w:rPr>
          <w:rFonts w:eastAsia="Times New Roman" w:cs="Tahoma"/>
          <w:b/>
          <w:bCs/>
          <w:color w:val="000000"/>
          <w:sz w:val="22"/>
        </w:rPr>
      </w:pPr>
      <w:r w:rsidRPr="005B7B76">
        <w:rPr>
          <w:rFonts w:eastAsia="Times New Roman" w:cs="Tahoma"/>
          <w:b/>
          <w:bCs/>
          <w:color w:val="000000"/>
          <w:sz w:val="22"/>
        </w:rPr>
        <w:lastRenderedPageBreak/>
        <w:t>O1b  Strategy 3: Provide community-wide harm reduction strategies, including condoms and other harm reduction materials availability and utilization </w:t>
      </w:r>
    </w:p>
    <w:tbl>
      <w:tblPr>
        <w:tblStyle w:val="GridTable4-Accent4"/>
        <w:tblW w:w="0" w:type="auto"/>
        <w:tblLook w:val="04A0" w:firstRow="1" w:lastRow="0" w:firstColumn="1" w:lastColumn="0" w:noHBand="0" w:noVBand="1"/>
      </w:tblPr>
      <w:tblGrid>
        <w:gridCol w:w="1129"/>
        <w:gridCol w:w="1218"/>
        <w:gridCol w:w="2929"/>
        <w:gridCol w:w="1413"/>
        <w:gridCol w:w="1333"/>
        <w:gridCol w:w="1328"/>
      </w:tblGrid>
      <w:tr w:rsidR="002810EC" w:rsidRPr="00F86F1A" w:rsidTr="00A63A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0" w:type="dxa"/>
          </w:tcPr>
          <w:p w:rsidR="002810EC" w:rsidRPr="00F86F1A" w:rsidRDefault="002810EC" w:rsidP="002810EC">
            <w:pPr>
              <w:spacing w:before="0"/>
            </w:pPr>
            <w:r w:rsidRPr="00F86F1A">
              <w:t>Timeframe</w:t>
            </w:r>
          </w:p>
        </w:tc>
        <w:tc>
          <w:tcPr>
            <w:tcW w:w="1218"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3227"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1102"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39"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1334" w:type="dxa"/>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322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Explore condom need in community for priority populations</w:t>
            </w:r>
          </w:p>
        </w:tc>
        <w:tc>
          <w:tcPr>
            <w:tcW w:w="1102"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33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Condoms</w:t>
            </w:r>
          </w:p>
          <w:p w:rsidR="002810EC" w:rsidRPr="00F86F1A" w:rsidRDefault="00B56801"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Community p</w:t>
            </w:r>
            <w:r w:rsidR="002810EC" w:rsidRPr="00F86F1A">
              <w:rPr>
                <w:rFonts w:eastAsia="Times New Roman" w:cs="Tahoma"/>
                <w:color w:val="000000"/>
              </w:rPr>
              <w:t>artners for distribution</w:t>
            </w:r>
          </w:p>
        </w:tc>
        <w:tc>
          <w:tcPr>
            <w:tcW w:w="1334"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and locations distributed</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218"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Identify places where free condoms are most needed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p>
        </w:tc>
        <w:tc>
          <w:tcPr>
            <w:tcW w:w="1102"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339"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p w:rsidR="00B56801" w:rsidRPr="00F86F1A" w:rsidRDefault="00B56801"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Community partners, businesses</w:t>
            </w:r>
          </w:p>
        </w:tc>
        <w:tc>
          <w:tcPr>
            <w:tcW w:w="1334"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and locations distributed</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2017-2018</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Identify where people can buy condoms</w:t>
            </w:r>
          </w:p>
        </w:tc>
        <w:tc>
          <w:tcPr>
            <w:tcW w:w="1102"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339"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Website</w:t>
            </w:r>
          </w:p>
        </w:tc>
        <w:tc>
          <w:tcPr>
            <w:tcW w:w="1334"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Resource guide posted on website</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2017-2019</w:t>
            </w:r>
          </w:p>
        </w:tc>
        <w:tc>
          <w:tcPr>
            <w:tcW w:w="1218"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Explore different pathways to acquiring condoms (i.e. working with manufacturers to get cheaper condoms for people to buy)</w:t>
            </w:r>
          </w:p>
        </w:tc>
        <w:tc>
          <w:tcPr>
            <w:tcW w:w="1102"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Condom manufacturers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Priority populations</w:t>
            </w:r>
          </w:p>
        </w:tc>
        <w:tc>
          <w:tcPr>
            <w:tcW w:w="1339"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Collaborators</w:t>
            </w:r>
          </w:p>
        </w:tc>
        <w:tc>
          <w:tcPr>
            <w:tcW w:w="1334" w:type="dxa"/>
          </w:tcPr>
          <w:p w:rsidR="002810EC" w:rsidRPr="00F86F1A" w:rsidRDefault="00A63A7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Pathways noted</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2017-2021</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w:t>
            </w:r>
          </w:p>
        </w:tc>
        <w:tc>
          <w:tcPr>
            <w:tcW w:w="322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Awareness campaign about ability to get condoms through Medicaid</w:t>
            </w:r>
          </w:p>
        </w:tc>
        <w:tc>
          <w:tcPr>
            <w:tcW w:w="1102"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Medicaid clients</w:t>
            </w:r>
          </w:p>
        </w:tc>
        <w:tc>
          <w:tcPr>
            <w:tcW w:w="1339"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Materials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34"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Distribution information regarding reach of campaign</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2017-2018</w:t>
            </w:r>
          </w:p>
        </w:tc>
        <w:tc>
          <w:tcPr>
            <w:tcW w:w="1218"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w:t>
            </w:r>
            <w:r w:rsidR="00E73293">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322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Increase accessibility by creating an online application to map free and purchased condom locations in Nevada</w:t>
            </w:r>
          </w:p>
        </w:tc>
        <w:tc>
          <w:tcPr>
            <w:tcW w:w="1102"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Priority populations</w:t>
            </w:r>
          </w:p>
        </w:tc>
        <w:tc>
          <w:tcPr>
            <w:tcW w:w="1339"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App developer</w:t>
            </w:r>
          </w:p>
        </w:tc>
        <w:tc>
          <w:tcPr>
            <w:tcW w:w="1334"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App created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of app users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 2017-2018</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3227"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Provide capacity building assistance for the implementati</w:t>
            </w:r>
            <w:r>
              <w:rPr>
                <w:rFonts w:eastAsia="Times New Roman" w:cs="Tahoma"/>
                <w:color w:val="000000"/>
              </w:rPr>
              <w:t>on of syringe services programs</w:t>
            </w:r>
            <w:r w:rsidR="00A41CB7">
              <w:rPr>
                <w:rFonts w:eastAsia="Times New Roman" w:cs="Tahoma"/>
                <w:color w:val="000000"/>
              </w:rPr>
              <w:t xml:space="preserve"> (SSP)</w:t>
            </w:r>
          </w:p>
        </w:tc>
        <w:tc>
          <w:tcPr>
            <w:tcW w:w="1102"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IDU</w:t>
            </w:r>
          </w:p>
        </w:tc>
        <w:tc>
          <w:tcPr>
            <w:tcW w:w="133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w:t>
            </w:r>
            <w:r>
              <w:rPr>
                <w:rFonts w:eastAsia="Times New Roman" w:cs="Tahoma"/>
                <w:color w:val="000000"/>
              </w:rPr>
              <w:t>Staff time</w:t>
            </w:r>
          </w:p>
        </w:tc>
        <w:tc>
          <w:tcPr>
            <w:tcW w:w="1334"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 of CBOs trained; SSP launched in Southern Nevada</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2018-2019</w:t>
            </w:r>
          </w:p>
        </w:tc>
        <w:tc>
          <w:tcPr>
            <w:tcW w:w="1218"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322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Pilot of syringe exchange machines in Southern Nevada</w:t>
            </w:r>
          </w:p>
        </w:tc>
        <w:tc>
          <w:tcPr>
            <w:tcW w:w="1102"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IDU</w:t>
            </w:r>
          </w:p>
        </w:tc>
        <w:tc>
          <w:tcPr>
            <w:tcW w:w="1339"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Funding</w:t>
            </w:r>
          </w:p>
          <w:p w:rsidR="002810EC" w:rsidRPr="00F86F1A" w:rsidRDefault="009272D6"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Syringe exchange machines</w:t>
            </w:r>
          </w:p>
        </w:tc>
        <w:tc>
          <w:tcPr>
            <w:tcW w:w="1334"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 of machines placed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 of syringes exchanged</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2018-2020</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3227" w:type="dxa"/>
          </w:tcPr>
          <w:p w:rsidR="002810EC" w:rsidRPr="00F86F1A" w:rsidRDefault="002810EC" w:rsidP="00A41CB7">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Develop buy-in from community organizations and businesses that would be impacted by the </w:t>
            </w:r>
            <w:r w:rsidR="00A41CB7">
              <w:rPr>
                <w:rFonts w:eastAsia="Times New Roman" w:cs="Tahoma"/>
                <w:color w:val="000000"/>
              </w:rPr>
              <w:t>SSP</w:t>
            </w:r>
          </w:p>
        </w:tc>
        <w:tc>
          <w:tcPr>
            <w:tcW w:w="1102"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CBOs and businesses</w:t>
            </w:r>
          </w:p>
        </w:tc>
        <w:tc>
          <w:tcPr>
            <w:tcW w:w="1339"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tc>
        <w:tc>
          <w:tcPr>
            <w:tcW w:w="1334"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 of community organizations and businesses reached</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t>2020-2021</w:t>
            </w:r>
          </w:p>
        </w:tc>
        <w:tc>
          <w:tcPr>
            <w:tcW w:w="1218" w:type="dxa"/>
          </w:tcPr>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3227"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Expand syringe services to centers for harm reduction, syringe exchange, wound care, </w:t>
            </w:r>
          </w:p>
        </w:tc>
        <w:tc>
          <w:tcPr>
            <w:tcW w:w="1102" w:type="dxa"/>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IDU</w:t>
            </w:r>
          </w:p>
        </w:tc>
        <w:tc>
          <w:tcPr>
            <w:tcW w:w="1339"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Funding</w:t>
            </w:r>
          </w:p>
        </w:tc>
        <w:tc>
          <w:tcPr>
            <w:tcW w:w="1334" w:type="dxa"/>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 of centers established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 of IDU served</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rsidR="002810EC" w:rsidRPr="00A33BB7" w:rsidRDefault="002810EC" w:rsidP="002810EC">
            <w:pPr>
              <w:spacing w:before="0"/>
              <w:rPr>
                <w:rFonts w:eastAsia="Times New Roman" w:cs="Tahoma"/>
                <w:b w:val="0"/>
                <w:color w:val="000000"/>
              </w:rPr>
            </w:pPr>
            <w:r w:rsidRPr="00A33BB7">
              <w:rPr>
                <w:rFonts w:eastAsia="Times New Roman" w:cs="Tahoma"/>
                <w:b w:val="0"/>
                <w:color w:val="000000"/>
              </w:rPr>
              <w:lastRenderedPageBreak/>
              <w:t>2021</w:t>
            </w:r>
          </w:p>
        </w:tc>
        <w:tc>
          <w:tcPr>
            <w:tcW w:w="1218" w:type="dxa"/>
          </w:tcPr>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3227" w:type="dxa"/>
          </w:tcPr>
          <w:p w:rsidR="002810EC" w:rsidRPr="00F86F1A" w:rsidRDefault="002810EC" w:rsidP="00A41CB7">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 xml:space="preserve">Analyze data from </w:t>
            </w:r>
            <w:r w:rsidR="00A41CB7">
              <w:rPr>
                <w:rFonts w:eastAsia="Times New Roman" w:cs="Tahoma"/>
                <w:color w:val="000000"/>
              </w:rPr>
              <w:t>SSP</w:t>
            </w:r>
            <w:r w:rsidRPr="00F86F1A">
              <w:rPr>
                <w:rFonts w:eastAsia="Times New Roman" w:cs="Tahoma"/>
                <w:color w:val="000000"/>
              </w:rPr>
              <w:t xml:space="preserve"> to evaluate best practices moving forward</w:t>
            </w:r>
          </w:p>
        </w:tc>
        <w:tc>
          <w:tcPr>
            <w:tcW w:w="1102"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IDU</w:t>
            </w:r>
          </w:p>
        </w:tc>
        <w:tc>
          <w:tcPr>
            <w:tcW w:w="1339" w:type="dxa"/>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p>
        </w:tc>
        <w:tc>
          <w:tcPr>
            <w:tcW w:w="1334" w:type="dxa"/>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Evaluation report</w:t>
            </w:r>
          </w:p>
        </w:tc>
      </w:tr>
    </w:tbl>
    <w:p w:rsidR="002810EC" w:rsidRPr="00F86F1A" w:rsidRDefault="002810EC" w:rsidP="002810EC">
      <w:pPr>
        <w:spacing w:before="0" w:after="0" w:line="240" w:lineRule="auto"/>
        <w:rPr>
          <w:rFonts w:eastAsia="Times New Roman" w:cs="Tahoma"/>
          <w:b/>
          <w:bCs/>
          <w:color w:val="000000"/>
        </w:rPr>
      </w:pPr>
    </w:p>
    <w:p w:rsidR="002810EC" w:rsidRPr="00CE29AC" w:rsidRDefault="002810EC" w:rsidP="00FA62BB">
      <w:pPr>
        <w:pStyle w:val="Heading3"/>
      </w:pPr>
      <w:bookmarkStart w:id="52" w:name="_Toc461188595"/>
      <w:r w:rsidRPr="00CE29AC">
        <w:t>Goal 2: Increasing access to care and improving health outcomes for PLWH</w:t>
      </w:r>
      <w:bookmarkEnd w:id="52"/>
    </w:p>
    <w:p w:rsidR="002810EC" w:rsidRPr="00CE29AC" w:rsidRDefault="002810EC" w:rsidP="002810EC">
      <w:pPr>
        <w:spacing w:before="0" w:after="0"/>
        <w:rPr>
          <w:b/>
          <w:sz w:val="22"/>
          <w:szCs w:val="22"/>
        </w:rPr>
      </w:pPr>
      <w:r w:rsidRPr="00CE29AC">
        <w:rPr>
          <w:b/>
          <w:sz w:val="22"/>
          <w:szCs w:val="22"/>
        </w:rPr>
        <w:t>Objective 2a. By 2021, increase to 85% the percentage of people newly diagnosed with HIV who have been linked to a provider within the first 30 days.</w:t>
      </w:r>
    </w:p>
    <w:p w:rsidR="002810EC" w:rsidRPr="006F03A3" w:rsidRDefault="002810EC" w:rsidP="002810EC">
      <w:pPr>
        <w:spacing w:before="0" w:after="0"/>
      </w:pPr>
    </w:p>
    <w:p w:rsidR="002810EC" w:rsidRPr="00CE29AC" w:rsidRDefault="002810EC" w:rsidP="00CE29AC">
      <w:pPr>
        <w:tabs>
          <w:tab w:val="left" w:pos="1307"/>
        </w:tabs>
        <w:spacing w:before="0" w:after="0"/>
        <w:jc w:val="both"/>
        <w:rPr>
          <w:sz w:val="22"/>
          <w:szCs w:val="22"/>
        </w:rPr>
      </w:pPr>
      <w:r w:rsidRPr="00CE29AC">
        <w:rPr>
          <w:sz w:val="22"/>
          <w:szCs w:val="22"/>
        </w:rPr>
        <w:t xml:space="preserve">Increasing access to care in this case means ensuring that people testing positive for HIV are immediately linked to an HIV care provider. Subsequent to receiving an HIV+ diagnosis, patients must be linked with HIV care providers in order to obtain antiretroviral therapy, and ultimately, to reduce viral loads to maintain health and reduce the risk of viral transmission. Achieving this objective requires the health care system to collaborate and assist clients in finding resources from a range of providers and </w:t>
      </w:r>
      <w:r w:rsidR="00FA62BB" w:rsidRPr="00CE29AC">
        <w:rPr>
          <w:sz w:val="22"/>
          <w:szCs w:val="22"/>
        </w:rPr>
        <w:t>organizations. The</w:t>
      </w:r>
      <w:r w:rsidRPr="00CE29AC">
        <w:rPr>
          <w:sz w:val="22"/>
          <w:szCs w:val="22"/>
        </w:rPr>
        <w:t xml:space="preserve"> need to improve access to care was highlighted during the needs assessment process, which included a variety of client and provider surveys and focus groups around the state.  Data from the statewide needs assessment indicated many pertinent bar</w:t>
      </w:r>
      <w:r w:rsidR="000B49F4">
        <w:rPr>
          <w:sz w:val="22"/>
          <w:szCs w:val="22"/>
        </w:rPr>
        <w:t xml:space="preserve">riers to care after diagnosis. </w:t>
      </w:r>
      <w:r w:rsidRPr="00CE29AC">
        <w:rPr>
          <w:sz w:val="22"/>
          <w:szCs w:val="22"/>
        </w:rPr>
        <w:t xml:space="preserve">These included clients not knowing where to go for care, transportation problems, and denial and stigma. Through the same needs assessment process, a range of solutions were presented and discussed. The strategies incorporated in this document reflect widely supported approaches. </w:t>
      </w:r>
    </w:p>
    <w:p w:rsidR="002810EC" w:rsidRPr="00CE29AC" w:rsidRDefault="002810EC" w:rsidP="00CE29AC">
      <w:pPr>
        <w:tabs>
          <w:tab w:val="left" w:pos="1307"/>
        </w:tabs>
        <w:spacing w:before="0" w:after="0"/>
        <w:jc w:val="both"/>
        <w:rPr>
          <w:sz w:val="22"/>
          <w:szCs w:val="22"/>
        </w:rPr>
      </w:pPr>
      <w:r w:rsidRPr="00CE29AC">
        <w:rPr>
          <w:sz w:val="22"/>
          <w:szCs w:val="22"/>
        </w:rPr>
        <w:br/>
        <w:t xml:space="preserve">The strategies and activities to improve the goal of access to care through linkage to care includes improved communication between organizations, linking hard to reach populations with providers (parolees, clients with mental and behavioral health issues, substance users, and homeless), and facilitating patient readiness to participate in the care and management of their HIV disease.  To improve communication between organizations, activities include developing a resource map of services for the newly-diagnosed, which would be of use to clients and providers alike. Second, developing a referral network on </w:t>
      </w:r>
      <w:r w:rsidR="00517EF6" w:rsidRPr="00CE29AC">
        <w:rPr>
          <w:sz w:val="22"/>
          <w:szCs w:val="22"/>
        </w:rPr>
        <w:t>CAREWare</w:t>
      </w:r>
      <w:r w:rsidRPr="00CE29AC">
        <w:rPr>
          <w:sz w:val="22"/>
          <w:szCs w:val="22"/>
        </w:rPr>
        <w:t xml:space="preserve"> to coordinate and track patient referrals between organizations and to share providers would help clients make and keep appointments. Third, maintaining monthly service delivery meetings to bring together organizations and case management personnel across organizations, primarily in Las Vegas, to maintain clarity regarding client referrals and point of contact for each organization.  Last, the provision of a Ryan White provider conference in the state would present fiscal and quality management discussions and various trainings and certifications for Ryan White</w:t>
      </w:r>
      <w:r w:rsidR="000B49F4">
        <w:rPr>
          <w:sz w:val="22"/>
          <w:szCs w:val="22"/>
        </w:rPr>
        <w:t xml:space="preserve"> administrators and providers. </w:t>
      </w:r>
      <w:r w:rsidRPr="00CE29AC">
        <w:rPr>
          <w:sz w:val="22"/>
          <w:szCs w:val="22"/>
        </w:rPr>
        <w:t>This gathering would promote open communication and collaboration between organizations.</w:t>
      </w:r>
    </w:p>
    <w:p w:rsidR="002810EC" w:rsidRPr="00CE29AC" w:rsidRDefault="002810EC" w:rsidP="00CE29AC">
      <w:pPr>
        <w:tabs>
          <w:tab w:val="left" w:pos="1307"/>
        </w:tabs>
        <w:spacing w:before="0" w:after="0"/>
        <w:jc w:val="both"/>
        <w:rPr>
          <w:sz w:val="22"/>
          <w:szCs w:val="22"/>
        </w:rPr>
      </w:pPr>
    </w:p>
    <w:p w:rsidR="002810EC" w:rsidRPr="00CE29AC" w:rsidRDefault="002810EC" w:rsidP="00CE29AC">
      <w:pPr>
        <w:tabs>
          <w:tab w:val="left" w:pos="1307"/>
        </w:tabs>
        <w:spacing w:before="0" w:after="0"/>
        <w:jc w:val="both"/>
        <w:rPr>
          <w:sz w:val="22"/>
          <w:szCs w:val="22"/>
        </w:rPr>
      </w:pPr>
      <w:r w:rsidRPr="00CE29AC">
        <w:rPr>
          <w:sz w:val="22"/>
          <w:szCs w:val="22"/>
        </w:rPr>
        <w:t xml:space="preserve">To address the strategy of linking hard to reach populations, activities will include development of a connection between the Nevada Department of Corrections and local HIV service organizations and case managers and similar linkages for mental health and substance using clients to improve linkage to care and enhance retention in care.  Last, develop point people at AIDS service organizations to work with </w:t>
      </w:r>
      <w:r w:rsidRPr="00CE29AC">
        <w:rPr>
          <w:sz w:val="22"/>
          <w:szCs w:val="22"/>
        </w:rPr>
        <w:lastRenderedPageBreak/>
        <w:t>homeless and refugee clients to provide continuity of care for those special populations.</w:t>
      </w:r>
      <w:r w:rsidR="00DB13A6">
        <w:rPr>
          <w:sz w:val="22"/>
          <w:szCs w:val="22"/>
        </w:rPr>
        <w:t xml:space="preserve"> </w:t>
      </w:r>
      <w:r w:rsidRPr="00CE29AC">
        <w:rPr>
          <w:sz w:val="22"/>
          <w:szCs w:val="22"/>
        </w:rPr>
        <w:t xml:space="preserve">Strategy three focuses on facilitating patient readiness for care upon diagnosis.  Activities to support this strategy include providing peer-to-peer advocates at every Part B site, developing peer volunteer networks specifically to work with the newly-diagnosed client, and the provision of a </w:t>
      </w:r>
      <w:r w:rsidR="00B639CA" w:rsidRPr="00CE29AC">
        <w:rPr>
          <w:sz w:val="22"/>
          <w:szCs w:val="22"/>
        </w:rPr>
        <w:t>six-week</w:t>
      </w:r>
      <w:r w:rsidRPr="00CE29AC">
        <w:rPr>
          <w:sz w:val="22"/>
          <w:szCs w:val="22"/>
        </w:rPr>
        <w:t xml:space="preserve"> positive management program to HIV+ clients.</w:t>
      </w:r>
    </w:p>
    <w:p w:rsidR="00C659A9" w:rsidRDefault="00C659A9" w:rsidP="002810EC">
      <w:pPr>
        <w:spacing w:before="0" w:after="0"/>
        <w:rPr>
          <w:b/>
          <w:sz w:val="22"/>
        </w:rPr>
      </w:pPr>
    </w:p>
    <w:p w:rsidR="002810EC" w:rsidRPr="00517EF6" w:rsidRDefault="002810EC" w:rsidP="002810EC">
      <w:pPr>
        <w:spacing w:before="0" w:after="0"/>
        <w:rPr>
          <w:b/>
          <w:sz w:val="22"/>
        </w:rPr>
      </w:pPr>
      <w:r w:rsidRPr="00517EF6">
        <w:rPr>
          <w:b/>
          <w:sz w:val="22"/>
        </w:rPr>
        <w:t>O2a. Strategy 1: Improved communication between organizations</w:t>
      </w:r>
    </w:p>
    <w:tbl>
      <w:tblPr>
        <w:tblStyle w:val="GridTable4-Accent2"/>
        <w:tblW w:w="5000" w:type="pct"/>
        <w:tblLook w:val="04A0" w:firstRow="1" w:lastRow="0" w:firstColumn="1" w:lastColumn="0" w:noHBand="0" w:noVBand="1"/>
      </w:tblPr>
      <w:tblGrid>
        <w:gridCol w:w="1125"/>
        <w:gridCol w:w="1218"/>
        <w:gridCol w:w="2685"/>
        <w:gridCol w:w="1126"/>
        <w:gridCol w:w="1309"/>
        <w:gridCol w:w="1887"/>
      </w:tblGrid>
      <w:tr w:rsidR="002810EC" w:rsidRPr="00F86F1A" w:rsidTr="00A63A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Timeframe</w:t>
            </w:r>
          </w:p>
        </w:tc>
        <w:tc>
          <w:tcPr>
            <w:tcW w:w="65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43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60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700"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1009"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RWPC</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RWPD</w:t>
            </w:r>
          </w:p>
        </w:tc>
        <w:tc>
          <w:tcPr>
            <w:tcW w:w="1436" w:type="pct"/>
          </w:tcPr>
          <w:p w:rsidR="002810EC" w:rsidRPr="00F86F1A" w:rsidRDefault="002810EC" w:rsidP="00A63A7C">
            <w:pPr>
              <w:spacing w:before="0"/>
              <w:cnfStyle w:val="000000100000" w:firstRow="0" w:lastRow="0" w:firstColumn="0" w:lastColumn="0" w:oddVBand="0" w:evenVBand="0" w:oddHBand="1" w:evenHBand="0" w:firstRowFirstColumn="0" w:firstRowLastColumn="0" w:lastRowFirstColumn="0" w:lastRowLastColumn="0"/>
            </w:pPr>
            <w:r w:rsidRPr="00F86F1A">
              <w:t>Develop regional flow chart (resource map) of services/</w:t>
            </w:r>
            <w:r w:rsidR="00A63A7C">
              <w:t xml:space="preserve"> </w:t>
            </w:r>
            <w:r w:rsidRPr="00F86F1A">
              <w:t xml:space="preserve">activities for the newly-diagnosed and for providers.  Includes steps for the patient re: where to go and what to do next. Post </w:t>
            </w:r>
            <w:r w:rsidR="00B56801">
              <w:t>online</w:t>
            </w:r>
            <w:r w:rsidR="00A63A7C">
              <w:t xml:space="preserve">, </w:t>
            </w:r>
            <w:r w:rsidR="00B56801">
              <w:t>share with ASO</w:t>
            </w:r>
            <w:r w:rsidRPr="00F86F1A">
              <w:t xml:space="preserve">s and testing organizations. Update </w:t>
            </w:r>
          </w:p>
        </w:tc>
        <w:tc>
          <w:tcPr>
            <w:tcW w:w="60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Newly-diagnosed</w:t>
            </w:r>
          </w:p>
        </w:tc>
        <w:tc>
          <w:tcPr>
            <w:tcW w:w="700"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Web application</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Materials for distribution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009" w:type="pct"/>
          </w:tcPr>
          <w:p w:rsidR="002810EC" w:rsidRPr="00F86F1A" w:rsidRDefault="006E4517" w:rsidP="002810EC">
            <w:pPr>
              <w:spacing w:before="0"/>
              <w:cnfStyle w:val="000000100000" w:firstRow="0" w:lastRow="0" w:firstColumn="0" w:lastColumn="0" w:oddVBand="0" w:evenVBand="0" w:oddHBand="1" w:evenHBand="0" w:firstRowFirstColumn="0" w:firstRowLastColumn="0" w:lastRowFirstColumn="0" w:lastRowLastColumn="0"/>
            </w:pPr>
            <w:r>
              <w:t>Completion of</w:t>
            </w:r>
            <w:r w:rsidR="002810EC" w:rsidRPr="00F86F1A">
              <w:t xml:space="preserve"> flow chart (resource map) </w:t>
            </w:r>
            <w:r>
              <w:t xml:space="preserve">Maintained/updates of flow chart </w:t>
            </w:r>
          </w:p>
          <w:p w:rsidR="002810EC" w:rsidRPr="00F86F1A" w:rsidRDefault="006E4517" w:rsidP="002810EC">
            <w:pPr>
              <w:spacing w:before="0"/>
              <w:cnfStyle w:val="000000100000" w:firstRow="0" w:lastRow="0" w:firstColumn="0" w:lastColumn="0" w:oddVBand="0" w:evenVBand="0" w:oddHBand="1" w:evenHBand="0" w:firstRowFirstColumn="0" w:firstRowLastColumn="0" w:lastRowFirstColumn="0" w:lastRowLastColumn="0"/>
            </w:pPr>
            <w:r>
              <w:t># hits to website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of flyers handed to clients at testing sites</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RWPC</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Sub-recipients</w:t>
            </w:r>
          </w:p>
        </w:tc>
        <w:tc>
          <w:tcPr>
            <w:tcW w:w="1436" w:type="pct"/>
          </w:tcPr>
          <w:p w:rsidR="002810EC" w:rsidRPr="00F86F1A" w:rsidRDefault="002810EC" w:rsidP="00A63A7C">
            <w:pPr>
              <w:spacing w:before="0"/>
              <w:cnfStyle w:val="000000000000" w:firstRow="0" w:lastRow="0" w:firstColumn="0" w:lastColumn="0" w:oddVBand="0" w:evenVBand="0" w:oddHBand="0" w:evenHBand="0" w:firstRowFirstColumn="0" w:firstRowLastColumn="0" w:lastRowFirstColumn="0" w:lastRowLastColumn="0"/>
            </w:pPr>
            <w:r w:rsidRPr="00F86F1A">
              <w:t xml:space="preserve">Utilize </w:t>
            </w:r>
            <w:r w:rsidR="00B56801" w:rsidRPr="00F86F1A">
              <w:t>CAREWare</w:t>
            </w:r>
            <w:r w:rsidRPr="00F86F1A">
              <w:t xml:space="preserve"> referral system to coordinate new patient intakes between organizations. utilize to schedule out different organizational staff at other clinics/facilities, such as case managers where there are none</w:t>
            </w:r>
          </w:p>
        </w:tc>
        <w:tc>
          <w:tcPr>
            <w:tcW w:w="60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Newly-diagnosed</w:t>
            </w:r>
          </w:p>
        </w:tc>
        <w:tc>
          <w:tcPr>
            <w:tcW w:w="700"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Coordination between all organizations</w:t>
            </w:r>
          </w:p>
        </w:tc>
        <w:tc>
          <w:tcPr>
            <w:tcW w:w="1009" w:type="pct"/>
          </w:tcPr>
          <w:p w:rsidR="006E4517" w:rsidRDefault="006E4517" w:rsidP="006E4517">
            <w:pPr>
              <w:spacing w:before="0"/>
              <w:cnfStyle w:val="000000000000" w:firstRow="0" w:lastRow="0" w:firstColumn="0" w:lastColumn="0" w:oddVBand="0" w:evenVBand="0" w:oddHBand="0" w:evenHBand="0" w:firstRowFirstColumn="0" w:firstRowLastColumn="0" w:lastRowFirstColumn="0" w:lastRowLastColumn="0"/>
            </w:pPr>
            <w:r>
              <w:t># of</w:t>
            </w:r>
            <w:r w:rsidR="002810EC" w:rsidRPr="00F86F1A">
              <w:t xml:space="preserve"> referrals b</w:t>
            </w:r>
            <w:r>
              <w:t>eing scheduled via this system</w:t>
            </w:r>
            <w:r w:rsidR="002810EC" w:rsidRPr="00F86F1A">
              <w:t xml:space="preserve"> Is it manageable?  Does it work? </w:t>
            </w:r>
          </w:p>
          <w:p w:rsidR="002810EC" w:rsidRPr="00F86F1A" w:rsidRDefault="006E4517" w:rsidP="006E4517">
            <w:pPr>
              <w:spacing w:before="0"/>
              <w:cnfStyle w:val="000000000000" w:firstRow="0" w:lastRow="0" w:firstColumn="0" w:lastColumn="0" w:oddVBand="0" w:evenVBand="0" w:oddHBand="0" w:evenHBand="0" w:firstRowFirstColumn="0" w:firstRowLastColumn="0" w:lastRowFirstColumn="0" w:lastRowLastColumn="0"/>
            </w:pPr>
            <w:r>
              <w:t># of</w:t>
            </w:r>
            <w:r w:rsidR="002810EC" w:rsidRPr="00F86F1A">
              <w:t xml:space="preserve"> referrals </w:t>
            </w:r>
            <w:r>
              <w:t>lost to follow-up</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RWPC</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RWPD</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43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Regional service delivery meetings monthly: interactions between organizations to provide clarity regarding point people for each service.  Maintain updated records re: service providers in the area</w:t>
            </w:r>
          </w:p>
        </w:tc>
        <w:tc>
          <w:tcPr>
            <w:tcW w:w="60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Providers</w:t>
            </w:r>
          </w:p>
        </w:tc>
        <w:tc>
          <w:tcPr>
            <w:tcW w:w="700"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Meeting space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Materials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009"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Meeting minutes</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RWPC</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43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Inter-agency case management team building/training.  To reduce competition, understand roles</w:t>
            </w:r>
          </w:p>
        </w:tc>
        <w:tc>
          <w:tcPr>
            <w:tcW w:w="60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Medical case managers</w:t>
            </w:r>
          </w:p>
        </w:tc>
        <w:tc>
          <w:tcPr>
            <w:tcW w:w="700"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Training materials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Funding for trainers</w:t>
            </w:r>
          </w:p>
        </w:tc>
        <w:tc>
          <w:tcPr>
            <w:tcW w:w="1009"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training occurrence, communications between case managers, # patients seen/</w:t>
            </w:r>
            <w:r w:rsidR="00A63A7C">
              <w:t xml:space="preserve"> </w:t>
            </w:r>
            <w:r w:rsidRPr="00F86F1A">
              <w:t>transferred</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43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Annual Ryan White provider conference with training, RW updates on initiatives, basic fiscal and quality management, advanced training/certifications, strategies</w:t>
            </w:r>
          </w:p>
        </w:tc>
        <w:tc>
          <w:tcPr>
            <w:tcW w:w="602" w:type="pct"/>
          </w:tcPr>
          <w:p w:rsidR="002810EC" w:rsidRPr="00F86F1A" w:rsidDel="00B43D89"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 providers</w:t>
            </w:r>
          </w:p>
        </w:tc>
        <w:tc>
          <w:tcPr>
            <w:tcW w:w="700"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Training materials</w:t>
            </w:r>
          </w:p>
          <w:p w:rsidR="002810EC" w:rsidRPr="00F86F1A" w:rsidDel="00B43D89" w:rsidRDefault="002810EC" w:rsidP="002810EC">
            <w:pPr>
              <w:spacing w:before="0"/>
              <w:cnfStyle w:val="000000100000" w:firstRow="0" w:lastRow="0" w:firstColumn="0" w:lastColumn="0" w:oddVBand="0" w:evenVBand="0" w:oddHBand="1" w:evenHBand="0" w:firstRowFirstColumn="0" w:firstRowLastColumn="0" w:lastRowFirstColumn="0" w:lastRowLastColumn="0"/>
            </w:pPr>
            <w:r>
              <w:t>Evaluation tools</w:t>
            </w:r>
          </w:p>
        </w:tc>
        <w:tc>
          <w:tcPr>
            <w:tcW w:w="1009"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 of attendees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Conference evaluation report</w:t>
            </w:r>
          </w:p>
        </w:tc>
      </w:tr>
    </w:tbl>
    <w:p w:rsidR="002810EC" w:rsidRPr="00517EF6" w:rsidRDefault="002810EC" w:rsidP="002810EC">
      <w:pPr>
        <w:spacing w:before="0" w:after="0"/>
        <w:rPr>
          <w:b/>
          <w:sz w:val="22"/>
        </w:rPr>
      </w:pPr>
      <w:r w:rsidRPr="00517EF6">
        <w:rPr>
          <w:b/>
          <w:sz w:val="22"/>
        </w:rPr>
        <w:lastRenderedPageBreak/>
        <w:t xml:space="preserve">O2a Strategy 2: Link hard-to reach populations </w:t>
      </w:r>
      <w:r w:rsidR="000D1265">
        <w:rPr>
          <w:b/>
          <w:sz w:val="22"/>
        </w:rPr>
        <w:t xml:space="preserve">to </w:t>
      </w:r>
      <w:r w:rsidRPr="00517EF6">
        <w:rPr>
          <w:b/>
          <w:sz w:val="22"/>
        </w:rPr>
        <w:t>providers to provide continuity of care for PLWH</w:t>
      </w:r>
    </w:p>
    <w:tbl>
      <w:tblPr>
        <w:tblStyle w:val="GridTable4-Accent2"/>
        <w:tblW w:w="5000" w:type="pct"/>
        <w:tblLook w:val="04A0" w:firstRow="1" w:lastRow="0" w:firstColumn="1" w:lastColumn="0" w:noHBand="0" w:noVBand="1"/>
      </w:tblPr>
      <w:tblGrid>
        <w:gridCol w:w="1125"/>
        <w:gridCol w:w="1218"/>
        <w:gridCol w:w="2228"/>
        <w:gridCol w:w="1644"/>
        <w:gridCol w:w="1826"/>
        <w:gridCol w:w="1309"/>
      </w:tblGrid>
      <w:tr w:rsidR="002810EC" w:rsidRPr="00F86F1A" w:rsidTr="00DB1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F86F1A" w:rsidRDefault="002810EC" w:rsidP="002810EC">
            <w:pPr>
              <w:spacing w:before="0"/>
            </w:pPr>
            <w:r w:rsidRPr="00F86F1A">
              <w:t>Timeframe</w:t>
            </w:r>
          </w:p>
        </w:tc>
        <w:tc>
          <w:tcPr>
            <w:tcW w:w="55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5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67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137"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764"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2017-2019</w:t>
            </w:r>
          </w:p>
        </w:tc>
        <w:tc>
          <w:tcPr>
            <w:tcW w:w="55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Local Health districts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NDOC</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County and city correctional facilities</w:t>
            </w:r>
          </w:p>
        </w:tc>
        <w:tc>
          <w:tcPr>
            <w:tcW w:w="135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Linking NDOC parolees and re-entry populations with local clinics to provide continuity of care for those patients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Identify a point organization for parolee case management in each North and South.  NDOC would connect HIV+ patients to the case management team initially, who would manage their care, set them up for services, referrals, eligibility</w:t>
            </w:r>
          </w:p>
        </w:tc>
        <w:tc>
          <w:tcPr>
            <w:tcW w:w="67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HIV+ inmates/parolees from NDOC and jails</w:t>
            </w:r>
          </w:p>
        </w:tc>
        <w:tc>
          <w:tcPr>
            <w:tcW w:w="1137"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Buy-in from NDOC and jails, point organization from each North and South </w:t>
            </w:r>
          </w:p>
        </w:tc>
        <w:tc>
          <w:tcPr>
            <w:tcW w:w="764"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HIV+ parolees, #making connec</w:t>
            </w:r>
            <w:r>
              <w:t>tions with point organizations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 first visits </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2017-2019</w:t>
            </w:r>
          </w:p>
        </w:tc>
        <w:tc>
          <w:tcPr>
            <w:tcW w:w="55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pPr>
            <w: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Mental Hea</w:t>
            </w:r>
            <w:r w:rsidR="006E4517">
              <w:t>lth &amp; substance abuse providers</w:t>
            </w:r>
          </w:p>
        </w:tc>
        <w:tc>
          <w:tcPr>
            <w:tcW w:w="135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Link HIV+ mental health &amp; substance abuse clients with local clinics to provide continuity of care. Identify point organizations and providers.  </w:t>
            </w:r>
          </w:p>
        </w:tc>
        <w:tc>
          <w:tcPr>
            <w:tcW w:w="67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HIV+ mental health and substance abuse clients</w:t>
            </w:r>
          </w:p>
        </w:tc>
        <w:tc>
          <w:tcPr>
            <w:tcW w:w="1137"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Buy-in from MH and SA providers and point organizations</w:t>
            </w:r>
          </w:p>
        </w:tc>
        <w:tc>
          <w:tcPr>
            <w:tcW w:w="764"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MH &amp; SA clients linked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first visits</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2018-2021</w:t>
            </w:r>
          </w:p>
        </w:tc>
        <w:tc>
          <w:tcPr>
            <w:tcW w:w="55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Link HIV+ homeless clients with local clinics to provide continuity of care. Identify point organizations and providers.</w:t>
            </w:r>
          </w:p>
        </w:tc>
        <w:tc>
          <w:tcPr>
            <w:tcW w:w="67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HIV+ homeless clients</w:t>
            </w:r>
          </w:p>
        </w:tc>
        <w:tc>
          <w:tcPr>
            <w:tcW w:w="1137"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Buy-in from point organizations</w:t>
            </w:r>
          </w:p>
        </w:tc>
        <w:tc>
          <w:tcPr>
            <w:tcW w:w="764"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 xml:space="preserve"># of </w:t>
            </w:r>
            <w:r w:rsidR="002019C8">
              <w:t>homeless</w:t>
            </w:r>
            <w:r>
              <w:t xml:space="preserve"> clients linked</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first visits</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2019-2021</w:t>
            </w:r>
          </w:p>
        </w:tc>
        <w:tc>
          <w:tcPr>
            <w:tcW w:w="55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CBOs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5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Link HIV+ individuals from refugee populations with local clinics to provide continuity of care. Identify point organizations and providers</w:t>
            </w:r>
          </w:p>
        </w:tc>
        <w:tc>
          <w:tcPr>
            <w:tcW w:w="67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HIV+ refugee clients</w:t>
            </w:r>
          </w:p>
        </w:tc>
        <w:tc>
          <w:tcPr>
            <w:tcW w:w="1137"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Buy-in from point organizations</w:t>
            </w:r>
          </w:p>
        </w:tc>
        <w:tc>
          <w:tcPr>
            <w:tcW w:w="764"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 xml:space="preserve"># of </w:t>
            </w:r>
            <w:r w:rsidR="002019C8">
              <w:t xml:space="preserve">refugee </w:t>
            </w:r>
            <w:r>
              <w:t>clients linked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first visits</w:t>
            </w:r>
          </w:p>
        </w:tc>
      </w:tr>
    </w:tbl>
    <w:p w:rsidR="002810EC" w:rsidRPr="00F86F1A" w:rsidRDefault="002810EC" w:rsidP="002810EC">
      <w:pPr>
        <w:spacing w:before="0" w:after="0"/>
      </w:pPr>
    </w:p>
    <w:p w:rsidR="00DB13A6" w:rsidRDefault="00DB13A6" w:rsidP="002810EC">
      <w:pPr>
        <w:spacing w:before="0" w:after="0"/>
        <w:rPr>
          <w:b/>
          <w:sz w:val="22"/>
        </w:rPr>
      </w:pPr>
    </w:p>
    <w:p w:rsidR="009272D6" w:rsidRDefault="009272D6" w:rsidP="002810EC">
      <w:pPr>
        <w:spacing w:before="0" w:after="0"/>
        <w:rPr>
          <w:b/>
          <w:sz w:val="22"/>
        </w:rPr>
      </w:pPr>
    </w:p>
    <w:p w:rsidR="009272D6" w:rsidRDefault="009272D6" w:rsidP="002810EC">
      <w:pPr>
        <w:spacing w:before="0" w:after="0"/>
        <w:rPr>
          <w:b/>
          <w:sz w:val="22"/>
        </w:rPr>
      </w:pPr>
    </w:p>
    <w:p w:rsidR="009272D6" w:rsidRDefault="009272D6" w:rsidP="002810EC">
      <w:pPr>
        <w:spacing w:before="0" w:after="0"/>
        <w:rPr>
          <w:b/>
          <w:sz w:val="22"/>
        </w:rPr>
      </w:pPr>
    </w:p>
    <w:p w:rsidR="009272D6" w:rsidRDefault="009272D6" w:rsidP="002810EC">
      <w:pPr>
        <w:spacing w:before="0" w:after="0"/>
        <w:rPr>
          <w:b/>
          <w:sz w:val="22"/>
        </w:rPr>
      </w:pPr>
    </w:p>
    <w:p w:rsidR="009272D6" w:rsidRDefault="009272D6" w:rsidP="002810EC">
      <w:pPr>
        <w:spacing w:before="0" w:after="0"/>
        <w:rPr>
          <w:b/>
          <w:sz w:val="22"/>
        </w:rPr>
      </w:pPr>
    </w:p>
    <w:p w:rsidR="002810EC" w:rsidRPr="00517EF6" w:rsidRDefault="002810EC" w:rsidP="002810EC">
      <w:pPr>
        <w:spacing w:before="0" w:after="0"/>
        <w:rPr>
          <w:b/>
          <w:sz w:val="22"/>
        </w:rPr>
      </w:pPr>
      <w:r w:rsidRPr="00517EF6">
        <w:rPr>
          <w:b/>
          <w:sz w:val="22"/>
        </w:rPr>
        <w:lastRenderedPageBreak/>
        <w:t>O2a Strategy 3: Facilitate patient readiness to participate in their care and management of HIV</w:t>
      </w:r>
    </w:p>
    <w:tbl>
      <w:tblPr>
        <w:tblStyle w:val="GridTable4-Accent2"/>
        <w:tblW w:w="5000" w:type="pct"/>
        <w:tblLook w:val="04A0" w:firstRow="1" w:lastRow="0" w:firstColumn="1" w:lastColumn="0" w:noHBand="0" w:noVBand="1"/>
      </w:tblPr>
      <w:tblGrid>
        <w:gridCol w:w="1125"/>
        <w:gridCol w:w="1218"/>
        <w:gridCol w:w="2445"/>
        <w:gridCol w:w="1349"/>
        <w:gridCol w:w="1866"/>
        <w:gridCol w:w="1347"/>
      </w:tblGrid>
      <w:tr w:rsidR="002810EC" w:rsidRPr="00F86F1A" w:rsidTr="00DB1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F86F1A" w:rsidRDefault="002810EC" w:rsidP="002810EC">
            <w:pPr>
              <w:spacing w:before="0"/>
            </w:pPr>
            <w:r w:rsidRPr="00F86F1A">
              <w:t>Timeframe</w:t>
            </w:r>
          </w:p>
        </w:tc>
        <w:tc>
          <w:tcPr>
            <w:tcW w:w="55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5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76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04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764"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2017-2018</w:t>
            </w:r>
          </w:p>
        </w:tc>
        <w:tc>
          <w:tcPr>
            <w:tcW w:w="556" w:type="pct"/>
          </w:tcPr>
          <w:p w:rsidR="002019C8" w:rsidRDefault="002019C8" w:rsidP="002810EC">
            <w:pPr>
              <w:spacing w:before="0"/>
              <w:cnfStyle w:val="000000100000" w:firstRow="0" w:lastRow="0" w:firstColumn="0" w:lastColumn="0" w:oddVBand="0" w:evenVBand="0" w:oddHBand="1" w:evenHBand="0" w:firstRowFirstColumn="0" w:firstRowLastColumn="0" w:lastRowFirstColumn="0" w:lastRowLastColumn="0"/>
            </w:pPr>
            <w:r>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Expand Peer to peer advocate to every </w:t>
            </w:r>
            <w:r w:rsidR="002019C8">
              <w:t xml:space="preserve">Part A and </w:t>
            </w:r>
            <w:r w:rsidRPr="00F86F1A">
              <w:t>Part B site</w:t>
            </w:r>
          </w:p>
        </w:tc>
        <w:tc>
          <w:tcPr>
            <w:tcW w:w="76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Newly-diagnosed</w:t>
            </w:r>
          </w:p>
        </w:tc>
        <w:tc>
          <w:tcPr>
            <w:tcW w:w="104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Peer advocates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Training materials</w:t>
            </w:r>
          </w:p>
        </w:tc>
        <w:tc>
          <w:tcPr>
            <w:tcW w:w="764"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of site with peer advocate</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2019-2020</w:t>
            </w:r>
          </w:p>
        </w:tc>
        <w:tc>
          <w:tcPr>
            <w:tcW w:w="55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5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Evaluate peer advocate program</w:t>
            </w:r>
          </w:p>
        </w:tc>
        <w:tc>
          <w:tcPr>
            <w:tcW w:w="76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Peer advocate program</w:t>
            </w:r>
          </w:p>
        </w:tc>
        <w:tc>
          <w:tcPr>
            <w:tcW w:w="104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Evaluation tools</w:t>
            </w:r>
          </w:p>
        </w:tc>
        <w:tc>
          <w:tcPr>
            <w:tcW w:w="764"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Evaluation report</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2018-2019</w:t>
            </w:r>
          </w:p>
        </w:tc>
        <w:tc>
          <w:tcPr>
            <w:tcW w:w="55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Develop peer (HIV+) volunteer support system to meet individually with newly diagnosed, based at case management organizations.  </w:t>
            </w:r>
          </w:p>
        </w:tc>
        <w:tc>
          <w:tcPr>
            <w:tcW w:w="76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Newly-diagnosed</w:t>
            </w:r>
          </w:p>
        </w:tc>
        <w:tc>
          <w:tcPr>
            <w:tcW w:w="104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Funding support for organization to oversee/manage volunteer network</w:t>
            </w:r>
          </w:p>
        </w:tc>
        <w:tc>
          <w:tcPr>
            <w:tcW w:w="764"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of clients participating</w:t>
            </w:r>
          </w:p>
        </w:tc>
      </w:tr>
      <w:tr w:rsidR="002810EC" w:rsidRPr="00F86F1A" w:rsidTr="00DB13A6">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2017-2021</w:t>
            </w:r>
          </w:p>
        </w:tc>
        <w:tc>
          <w:tcPr>
            <w:tcW w:w="55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5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Delivery of 6-week Positive management program to HIV+ clients and chronic disease management </w:t>
            </w:r>
          </w:p>
        </w:tc>
        <w:tc>
          <w:tcPr>
            <w:tcW w:w="76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Newly-diagnosed</w:t>
            </w:r>
          </w:p>
        </w:tc>
        <w:tc>
          <w:tcPr>
            <w:tcW w:w="104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Meeting Space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Training Materials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Agencies and Trainers</w:t>
            </w:r>
          </w:p>
        </w:tc>
        <w:tc>
          <w:tcPr>
            <w:tcW w:w="764"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of clients participating</w:t>
            </w:r>
          </w:p>
        </w:tc>
      </w:tr>
      <w:tr w:rsidR="002810EC" w:rsidRPr="00F86F1A" w:rsidTr="00DB1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2018-2019</w:t>
            </w:r>
          </w:p>
        </w:tc>
        <w:tc>
          <w:tcPr>
            <w:tcW w:w="55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Explore the requirements to have peer advocates become CHW through the certification program</w:t>
            </w:r>
          </w:p>
        </w:tc>
        <w:tc>
          <w:tcPr>
            <w:tcW w:w="76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Peer advocates</w:t>
            </w:r>
          </w:p>
        </w:tc>
        <w:tc>
          <w:tcPr>
            <w:tcW w:w="104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764"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of peer advocates certified</w:t>
            </w:r>
          </w:p>
        </w:tc>
      </w:tr>
    </w:tbl>
    <w:p w:rsidR="002810EC" w:rsidRPr="00F86F1A" w:rsidRDefault="002810EC" w:rsidP="002810EC">
      <w:pPr>
        <w:spacing w:before="0" w:after="0"/>
        <w:rPr>
          <w:rFonts w:cstheme="majorHAnsi"/>
        </w:rPr>
      </w:pPr>
      <w:r w:rsidRPr="00F86F1A">
        <w:rPr>
          <w:rFonts w:cstheme="majorHAnsi"/>
        </w:rPr>
        <w:t xml:space="preserve"> </w:t>
      </w:r>
    </w:p>
    <w:p w:rsidR="002810EC" w:rsidRPr="00517EF6" w:rsidRDefault="002810EC" w:rsidP="002810EC">
      <w:pPr>
        <w:spacing w:before="0" w:after="0"/>
        <w:rPr>
          <w:b/>
          <w:sz w:val="22"/>
        </w:rPr>
      </w:pPr>
      <w:r w:rsidRPr="00517EF6">
        <w:rPr>
          <w:b/>
          <w:sz w:val="22"/>
        </w:rPr>
        <w:t>Objective 2b. By 2021, increase by 20% the percentage of clients in care needing mental and/or behavioral health services who went to their first appointment.</w:t>
      </w:r>
    </w:p>
    <w:p w:rsidR="002810EC" w:rsidRPr="00B639CA" w:rsidRDefault="002810EC" w:rsidP="002810EC">
      <w:pPr>
        <w:spacing w:before="0" w:after="0"/>
        <w:jc w:val="both"/>
        <w:rPr>
          <w:sz w:val="22"/>
          <w:szCs w:val="22"/>
        </w:rPr>
      </w:pPr>
      <w:r w:rsidRPr="00B639CA">
        <w:rPr>
          <w:sz w:val="22"/>
          <w:szCs w:val="22"/>
        </w:rPr>
        <w:t>Based on input from both providers and clients during the needs assessment process, mental health and substance abuse treatment are chal</w:t>
      </w:r>
      <w:r w:rsidR="000B49F4">
        <w:rPr>
          <w:sz w:val="22"/>
          <w:szCs w:val="22"/>
        </w:rPr>
        <w:t xml:space="preserve">lenging for clients to access. </w:t>
      </w:r>
      <w:r w:rsidRPr="00B639CA">
        <w:rPr>
          <w:sz w:val="22"/>
          <w:szCs w:val="22"/>
        </w:rPr>
        <w:t xml:space="preserve">Given the high risk for HIV infection and low retention rates among these groups, specific objectives have been drafted to target these populations. The strategies included in this objective focus on increasing the number of mental health and substance abuse providers and improving communication between organizations in order to reduce barriers to care and improve access and linkages to care for clients with mental and behavioral health and substance use problems.  </w:t>
      </w:r>
    </w:p>
    <w:p w:rsidR="002810EC" w:rsidRPr="00B639CA" w:rsidRDefault="002810EC" w:rsidP="002810EC">
      <w:pPr>
        <w:spacing w:before="0" w:after="0"/>
        <w:jc w:val="both"/>
        <w:rPr>
          <w:sz w:val="22"/>
          <w:szCs w:val="22"/>
        </w:rPr>
      </w:pPr>
      <w:r w:rsidRPr="00B639CA">
        <w:rPr>
          <w:sz w:val="22"/>
          <w:szCs w:val="22"/>
        </w:rPr>
        <w:br/>
        <w:t>Improving communication among organizations includes developing a regional resource map of all HIV/AIDS service organizations, including mental and behavioral health and substanc</w:t>
      </w:r>
      <w:r w:rsidR="000B49F4">
        <w:rPr>
          <w:sz w:val="22"/>
          <w:szCs w:val="22"/>
        </w:rPr>
        <w:t xml:space="preserve">e use treatment organizations. </w:t>
      </w:r>
      <w:r w:rsidRPr="00B639CA">
        <w:rPr>
          <w:sz w:val="22"/>
          <w:szCs w:val="22"/>
        </w:rPr>
        <w:t>This map will include navigation tips for clients in seeking services, as well as for organizations to share and refer clients. Part of this strategy includes a mechanism for regular updates to this resource guide, as well as posting it online for easy accessibility. Additional strategies here include a referral tracking system and a consumer forum to further clarify client barriers to care.</w:t>
      </w:r>
    </w:p>
    <w:p w:rsidR="002810EC" w:rsidRPr="00B639CA" w:rsidRDefault="002810EC" w:rsidP="002810EC">
      <w:pPr>
        <w:spacing w:before="0" w:after="0"/>
        <w:jc w:val="both"/>
        <w:rPr>
          <w:sz w:val="22"/>
          <w:szCs w:val="22"/>
        </w:rPr>
      </w:pPr>
      <w:r w:rsidRPr="00B639CA">
        <w:rPr>
          <w:sz w:val="22"/>
          <w:szCs w:val="22"/>
        </w:rPr>
        <w:t>Strategy two is the focus of this objective.  Ultimately, increasing the number of available mental health and substance abuse providers is key in addressing the needs of clients struggling with mental and behavioral health and substance abuse problems.  Linking the HIV community to larger provider groups such as Southern Nevada Adult Mental Health Services, Northern Nevada Adult Mental Health Services, WestCare, and Sa</w:t>
      </w:r>
      <w:r w:rsidR="000B49F4">
        <w:rPr>
          <w:sz w:val="22"/>
          <w:szCs w:val="22"/>
        </w:rPr>
        <w:t xml:space="preserve">lvation Army is the first step. </w:t>
      </w:r>
      <w:r w:rsidRPr="00B639CA">
        <w:rPr>
          <w:sz w:val="22"/>
          <w:szCs w:val="22"/>
        </w:rPr>
        <w:t xml:space="preserve">Subsequent to recruitment will be a move to foster </w:t>
      </w:r>
      <w:r w:rsidRPr="00B639CA">
        <w:rPr>
          <w:sz w:val="22"/>
          <w:szCs w:val="22"/>
        </w:rPr>
        <w:lastRenderedPageBreak/>
        <w:t>collaboration between entities to provide services at partner organizations with the goal of increasing access to these services.  Last, strategy three addresses the need for professional development.  Providers must remain up-to-date on the continuum of care, the intersection between HIV/AIDS and mental health and substance abuse problems, and the community resources (within Ryan White and outside) available to their clients.  Providers must also be made aware of the resource map which is a focus of goal two.</w:t>
      </w:r>
    </w:p>
    <w:p w:rsidR="006E4517" w:rsidRPr="00F86F1A" w:rsidRDefault="006E4517" w:rsidP="002810EC">
      <w:pPr>
        <w:spacing w:before="0" w:after="0"/>
        <w:rPr>
          <w:b/>
          <w:sz w:val="24"/>
        </w:rPr>
      </w:pPr>
    </w:p>
    <w:p w:rsidR="002810EC" w:rsidRPr="00517EF6" w:rsidRDefault="002810EC" w:rsidP="002810EC">
      <w:pPr>
        <w:spacing w:before="0" w:after="0"/>
        <w:rPr>
          <w:b/>
          <w:sz w:val="22"/>
        </w:rPr>
      </w:pPr>
      <w:r w:rsidRPr="00517EF6">
        <w:rPr>
          <w:b/>
          <w:sz w:val="22"/>
        </w:rPr>
        <w:t>O2b. Strategy 1: Improve communication among organizations and between clients and organizations</w:t>
      </w:r>
    </w:p>
    <w:tbl>
      <w:tblPr>
        <w:tblStyle w:val="GridTable4-Accent2"/>
        <w:tblW w:w="5000" w:type="pct"/>
        <w:tblLook w:val="04A0" w:firstRow="1" w:lastRow="0" w:firstColumn="1" w:lastColumn="0" w:noHBand="0" w:noVBand="1"/>
      </w:tblPr>
      <w:tblGrid>
        <w:gridCol w:w="1125"/>
        <w:gridCol w:w="1218"/>
        <w:gridCol w:w="2621"/>
        <w:gridCol w:w="1126"/>
        <w:gridCol w:w="1236"/>
        <w:gridCol w:w="2024"/>
      </w:tblGrid>
      <w:tr w:rsidR="002810EC" w:rsidRPr="00F86F1A" w:rsidTr="00A63A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Timeframe</w:t>
            </w:r>
          </w:p>
        </w:tc>
        <w:tc>
          <w:tcPr>
            <w:tcW w:w="65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40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60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024"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719"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RWPC</w:t>
            </w:r>
          </w:p>
        </w:tc>
        <w:tc>
          <w:tcPr>
            <w:tcW w:w="140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(See 2a)</w:t>
            </w:r>
            <w:r w:rsidR="00B56801">
              <w:t xml:space="preserve"> </w:t>
            </w:r>
            <w:r w:rsidRPr="00F86F1A">
              <w:t>Develop regional flow chart (resource map) of services/activities for all HIV+ patients, including mental/behavioral/substance use resources.  Includes steps for the patient re: where to go and what to do next.</w:t>
            </w:r>
            <w:r w:rsidR="00B56801">
              <w:t xml:space="preserve"> Post online and share with ASO</w:t>
            </w:r>
            <w:r w:rsidRPr="00F86F1A">
              <w:t xml:space="preserve">s and mental/behavioral health organizations.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For both organizations and clients</w:t>
            </w:r>
          </w:p>
        </w:tc>
        <w:tc>
          <w:tcPr>
            <w:tcW w:w="60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Mental health/ behavioral health/ substance using HIV+</w:t>
            </w:r>
          </w:p>
        </w:tc>
        <w:tc>
          <w:tcPr>
            <w:tcW w:w="1024"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Central responsible party. Part A in LV, Part B for North and rest of state. This is part of 2a.</w:t>
            </w:r>
          </w:p>
        </w:tc>
        <w:tc>
          <w:tcPr>
            <w:tcW w:w="719" w:type="pct"/>
          </w:tcPr>
          <w:p w:rsidR="006E4517" w:rsidRDefault="006E4517" w:rsidP="002810EC">
            <w:pPr>
              <w:spacing w:before="0"/>
              <w:cnfStyle w:val="000000100000" w:firstRow="0" w:lastRow="0" w:firstColumn="0" w:lastColumn="0" w:oddVBand="0" w:evenVBand="0" w:oddHBand="1" w:evenHBand="0" w:firstRowFirstColumn="0" w:firstRowLastColumn="0" w:lastRowFirstColumn="0" w:lastRowLastColumn="0"/>
            </w:pPr>
            <w:r>
              <w:t>Completion of</w:t>
            </w:r>
            <w:r w:rsidR="002810EC" w:rsidRPr="00F86F1A">
              <w:t xml:space="preserve"> flow chart (resource map) </w:t>
            </w:r>
          </w:p>
          <w:p w:rsidR="002810EC" w:rsidRPr="00F86F1A" w:rsidRDefault="006E4517" w:rsidP="002810EC">
            <w:pPr>
              <w:spacing w:before="0"/>
              <w:cnfStyle w:val="000000100000" w:firstRow="0" w:lastRow="0" w:firstColumn="0" w:lastColumn="0" w:oddVBand="0" w:evenVBand="0" w:oddHBand="1" w:evenHBand="0" w:firstRowFirstColumn="0" w:firstRowLastColumn="0" w:lastRowFirstColumn="0" w:lastRowLastColumn="0"/>
            </w:pPr>
            <w:r>
              <w:t>Maintenance</w:t>
            </w:r>
            <w:r w:rsidR="002810EC" w:rsidRPr="00F86F1A">
              <w:t>/update</w:t>
            </w:r>
            <w:r>
              <w:t>s</w:t>
            </w:r>
            <w:r w:rsidR="002810EC" w:rsidRPr="00F86F1A">
              <w:t xml:space="preserve"> </w:t>
            </w:r>
          </w:p>
          <w:p w:rsidR="002810EC" w:rsidRPr="00F86F1A" w:rsidRDefault="006E4517" w:rsidP="002810EC">
            <w:pPr>
              <w:spacing w:before="0"/>
              <w:cnfStyle w:val="000000100000" w:firstRow="0" w:lastRow="0" w:firstColumn="0" w:lastColumn="0" w:oddVBand="0" w:evenVBand="0" w:oddHBand="1" w:evenHBand="0" w:firstRowFirstColumn="0" w:firstRowLastColumn="0" w:lastRowFirstColumn="0" w:lastRowLastColumn="0"/>
            </w:pPr>
            <w:r>
              <w:t># hits to website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of flyers handed to clients at testing sites</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40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Update resource guide regularly.</w:t>
            </w:r>
          </w:p>
        </w:tc>
        <w:tc>
          <w:tcPr>
            <w:tcW w:w="602" w:type="pct"/>
          </w:tcPr>
          <w:p w:rsidR="002810EC" w:rsidRPr="00F86F1A" w:rsidRDefault="00A63A7C" w:rsidP="00A63A7C">
            <w:pPr>
              <w:spacing w:before="0"/>
              <w:cnfStyle w:val="000000000000" w:firstRow="0" w:lastRow="0" w:firstColumn="0" w:lastColumn="0" w:oddVBand="0" w:evenVBand="0" w:oddHBand="0" w:evenHBand="0" w:firstRowFirstColumn="0" w:firstRowLastColumn="0" w:lastRowFirstColumn="0" w:lastRowLastColumn="0"/>
            </w:pPr>
            <w:r>
              <w:t>MH</w:t>
            </w:r>
            <w:r w:rsidR="002810EC" w:rsidRPr="00F86F1A">
              <w:t xml:space="preserve">/ </w:t>
            </w:r>
            <w:r>
              <w:t>BH</w:t>
            </w:r>
            <w:r w:rsidR="002810EC" w:rsidRPr="00F86F1A">
              <w:t>/ substance using HIV+</w:t>
            </w:r>
          </w:p>
        </w:tc>
        <w:tc>
          <w:tcPr>
            <w:tcW w:w="1024"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Website</w:t>
            </w:r>
          </w:p>
        </w:tc>
        <w:tc>
          <w:tcPr>
            <w:tcW w:w="719"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website hits on resource guide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updates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2017-2018</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tc>
        <w:tc>
          <w:tcPr>
            <w:tcW w:w="140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Part A and B having the same internal referral process to easily track referrals made and completed</w:t>
            </w:r>
          </w:p>
        </w:tc>
        <w:tc>
          <w:tcPr>
            <w:tcW w:w="602" w:type="pct"/>
          </w:tcPr>
          <w:p w:rsidR="002810EC" w:rsidRPr="00F86F1A" w:rsidRDefault="00A63A7C" w:rsidP="002810EC">
            <w:pPr>
              <w:spacing w:before="0"/>
              <w:cnfStyle w:val="000000100000" w:firstRow="0" w:lastRow="0" w:firstColumn="0" w:lastColumn="0" w:oddVBand="0" w:evenVBand="0" w:oddHBand="1" w:evenHBand="0" w:firstRowFirstColumn="0" w:firstRowLastColumn="0" w:lastRowFirstColumn="0" w:lastRowLastColumn="0"/>
            </w:pPr>
            <w:r>
              <w:t>MH</w:t>
            </w:r>
            <w:r w:rsidRPr="00F86F1A">
              <w:t xml:space="preserve">/ </w:t>
            </w:r>
            <w:r>
              <w:t>BH</w:t>
            </w:r>
            <w:r w:rsidRPr="00F86F1A">
              <w:t>/ substance using HIV+</w:t>
            </w:r>
          </w:p>
        </w:tc>
        <w:tc>
          <w:tcPr>
            <w:tcW w:w="1024"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Revised forms, materials, procedures</w:t>
            </w:r>
          </w:p>
        </w:tc>
        <w:tc>
          <w:tcPr>
            <w:tcW w:w="719"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Documentation of referral process</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2018-2019</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40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Needs assessment ; consumer forum to find out what is needed from a client perspective to get them to appointments</w:t>
            </w:r>
          </w:p>
        </w:tc>
        <w:tc>
          <w:tcPr>
            <w:tcW w:w="602" w:type="pct"/>
          </w:tcPr>
          <w:p w:rsidR="002810EC" w:rsidRPr="00F86F1A" w:rsidRDefault="00A63A7C" w:rsidP="002810EC">
            <w:pPr>
              <w:spacing w:before="0"/>
              <w:cnfStyle w:val="000000000000" w:firstRow="0" w:lastRow="0" w:firstColumn="0" w:lastColumn="0" w:oddVBand="0" w:evenVBand="0" w:oddHBand="0" w:evenHBand="0" w:firstRowFirstColumn="0" w:firstRowLastColumn="0" w:lastRowFirstColumn="0" w:lastRowLastColumn="0"/>
            </w:pPr>
            <w:r>
              <w:t>MH</w:t>
            </w:r>
            <w:r w:rsidRPr="00F86F1A">
              <w:t xml:space="preserve">/ </w:t>
            </w:r>
            <w:r>
              <w:t>BH</w:t>
            </w:r>
            <w:r w:rsidRPr="00F86F1A">
              <w:t>/ substance using HIV+</w:t>
            </w:r>
          </w:p>
        </w:tc>
        <w:tc>
          <w:tcPr>
            <w:tcW w:w="1024"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Needs assessment tools</w:t>
            </w:r>
          </w:p>
        </w:tc>
        <w:tc>
          <w:tcPr>
            <w:tcW w:w="719"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Needs assessment report</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2018-2020</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402" w:type="pct"/>
          </w:tcPr>
          <w:p w:rsidR="002810EC" w:rsidRPr="00F86F1A" w:rsidRDefault="002810EC" w:rsidP="00E73293">
            <w:pPr>
              <w:spacing w:before="0"/>
              <w:cnfStyle w:val="000000100000" w:firstRow="0" w:lastRow="0" w:firstColumn="0" w:lastColumn="0" w:oddVBand="0" w:evenVBand="0" w:oddHBand="1" w:evenHBand="0" w:firstRowFirstColumn="0" w:firstRowLastColumn="0" w:lastRowFirstColumn="0" w:lastRowLastColumn="0"/>
            </w:pPr>
            <w:r w:rsidRPr="00F86F1A">
              <w:t xml:space="preserve">Increase communication regarding point of entry, eligibility, and services provided and requirements between managed care </w:t>
            </w:r>
            <w:r w:rsidR="00E73293">
              <w:t>health plans</w:t>
            </w:r>
            <w:r w:rsidRPr="00F86F1A">
              <w:t xml:space="preserve"> and Ryan White and other health plans</w:t>
            </w:r>
          </w:p>
        </w:tc>
        <w:tc>
          <w:tcPr>
            <w:tcW w:w="60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Providers</w:t>
            </w:r>
          </w:p>
        </w:tc>
        <w:tc>
          <w:tcPr>
            <w:tcW w:w="1024"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Materials</w:t>
            </w:r>
          </w:p>
        </w:tc>
        <w:tc>
          <w:tcPr>
            <w:tcW w:w="719"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Communication plan</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r>
      <w:tr w:rsidR="00A369B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A369BC" w:rsidRPr="00F86F1A" w:rsidRDefault="00A369BC" w:rsidP="002810EC">
            <w:pPr>
              <w:spacing w:before="0"/>
            </w:pPr>
            <w:r>
              <w:t>2019-2021</w:t>
            </w:r>
          </w:p>
        </w:tc>
        <w:tc>
          <w:tcPr>
            <w:tcW w:w="651" w:type="pct"/>
          </w:tcPr>
          <w:p w:rsidR="00A369BC" w:rsidRPr="00F86F1A" w:rsidRDefault="00A369BC" w:rsidP="00A369B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A369BC" w:rsidRPr="00F86F1A" w:rsidRDefault="00A369BC" w:rsidP="002810EC">
            <w:pPr>
              <w:spacing w:before="0"/>
              <w:cnfStyle w:val="000000000000" w:firstRow="0" w:lastRow="0" w:firstColumn="0" w:lastColumn="0" w:oddVBand="0" w:evenVBand="0" w:oddHBand="0" w:evenHBand="0" w:firstRowFirstColumn="0" w:firstRowLastColumn="0" w:lastRowFirstColumn="0" w:lastRowLastColumn="0"/>
            </w:pPr>
            <w:r>
              <w:t>RWPB</w:t>
            </w:r>
          </w:p>
        </w:tc>
        <w:tc>
          <w:tcPr>
            <w:tcW w:w="1402" w:type="pct"/>
          </w:tcPr>
          <w:p w:rsidR="00A369BC" w:rsidRPr="00F86F1A" w:rsidRDefault="00A369BC" w:rsidP="00A369BC">
            <w:pPr>
              <w:spacing w:before="0"/>
              <w:cnfStyle w:val="000000000000" w:firstRow="0" w:lastRow="0" w:firstColumn="0" w:lastColumn="0" w:oddVBand="0" w:evenVBand="0" w:oddHBand="0" w:evenHBand="0" w:firstRowFirstColumn="0" w:firstRowLastColumn="0" w:lastRowFirstColumn="0" w:lastRowLastColumn="0"/>
            </w:pPr>
            <w:r>
              <w:t>Conduct evaluation of communication</w:t>
            </w:r>
            <w:r w:rsidR="00D516F5">
              <w:t xml:space="preserve"> including perspectives from impacted stakeholders</w:t>
            </w:r>
            <w:r>
              <w:t xml:space="preserve">  </w:t>
            </w:r>
          </w:p>
        </w:tc>
        <w:tc>
          <w:tcPr>
            <w:tcW w:w="602" w:type="pct"/>
          </w:tcPr>
          <w:p w:rsidR="00A369BC" w:rsidRDefault="00D516F5" w:rsidP="002810EC">
            <w:pPr>
              <w:spacing w:before="0"/>
              <w:cnfStyle w:val="000000000000" w:firstRow="0" w:lastRow="0" w:firstColumn="0" w:lastColumn="0" w:oddVBand="0" w:evenVBand="0" w:oddHBand="0" w:evenHBand="0" w:firstRowFirstColumn="0" w:firstRowLastColumn="0" w:lastRowFirstColumn="0" w:lastRowLastColumn="0"/>
            </w:pPr>
            <w:r>
              <w:t>Clients</w:t>
            </w:r>
          </w:p>
          <w:p w:rsidR="00D516F5" w:rsidRPr="00F86F1A" w:rsidRDefault="00D516F5" w:rsidP="002810EC">
            <w:pPr>
              <w:spacing w:before="0"/>
              <w:cnfStyle w:val="000000000000" w:firstRow="0" w:lastRow="0" w:firstColumn="0" w:lastColumn="0" w:oddVBand="0" w:evenVBand="0" w:oddHBand="0" w:evenHBand="0" w:firstRowFirstColumn="0" w:firstRowLastColumn="0" w:lastRowFirstColumn="0" w:lastRowLastColumn="0"/>
            </w:pPr>
            <w:r>
              <w:t>Providers</w:t>
            </w:r>
          </w:p>
        </w:tc>
        <w:tc>
          <w:tcPr>
            <w:tcW w:w="1024" w:type="pct"/>
          </w:tcPr>
          <w:p w:rsidR="00A369BC" w:rsidRDefault="00D516F5"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D516F5" w:rsidRDefault="00D516F5" w:rsidP="002810EC">
            <w:pPr>
              <w:spacing w:before="0"/>
              <w:cnfStyle w:val="000000000000" w:firstRow="0" w:lastRow="0" w:firstColumn="0" w:lastColumn="0" w:oddVBand="0" w:evenVBand="0" w:oddHBand="0" w:evenHBand="0" w:firstRowFirstColumn="0" w:firstRowLastColumn="0" w:lastRowFirstColumn="0" w:lastRowLastColumn="0"/>
            </w:pPr>
            <w:r>
              <w:t>Evaluation tools</w:t>
            </w:r>
          </w:p>
        </w:tc>
        <w:tc>
          <w:tcPr>
            <w:tcW w:w="719" w:type="pct"/>
          </w:tcPr>
          <w:p w:rsidR="00D516F5" w:rsidRDefault="00D516F5" w:rsidP="002810EC">
            <w:pPr>
              <w:spacing w:before="0"/>
              <w:cnfStyle w:val="000000000000" w:firstRow="0" w:lastRow="0" w:firstColumn="0" w:lastColumn="0" w:oddVBand="0" w:evenVBand="0" w:oddHBand="0" w:evenHBand="0" w:firstRowFirstColumn="0" w:firstRowLastColumn="0" w:lastRowFirstColumn="0" w:lastRowLastColumn="0"/>
            </w:pPr>
            <w:r>
              <w:t>Evaluation plan</w:t>
            </w:r>
          </w:p>
          <w:p w:rsidR="00A369BC" w:rsidRDefault="00D516F5" w:rsidP="002810EC">
            <w:pPr>
              <w:spacing w:before="0"/>
              <w:cnfStyle w:val="000000000000" w:firstRow="0" w:lastRow="0" w:firstColumn="0" w:lastColumn="0" w:oddVBand="0" w:evenVBand="0" w:oddHBand="0" w:evenHBand="0" w:firstRowFirstColumn="0" w:firstRowLastColumn="0" w:lastRowFirstColumn="0" w:lastRowLastColumn="0"/>
            </w:pPr>
            <w:r>
              <w:t>Evaluation report</w:t>
            </w:r>
          </w:p>
        </w:tc>
      </w:tr>
    </w:tbl>
    <w:p w:rsidR="002810EC" w:rsidRPr="00F86F1A" w:rsidRDefault="002810EC" w:rsidP="002810EC">
      <w:pPr>
        <w:spacing w:before="0" w:after="0"/>
      </w:pPr>
    </w:p>
    <w:p w:rsidR="002810EC" w:rsidRPr="00517EF6" w:rsidRDefault="002810EC" w:rsidP="002810EC">
      <w:pPr>
        <w:spacing w:before="0" w:after="0"/>
        <w:rPr>
          <w:b/>
          <w:sz w:val="22"/>
        </w:rPr>
      </w:pPr>
      <w:r w:rsidRPr="00517EF6">
        <w:rPr>
          <w:b/>
          <w:sz w:val="22"/>
        </w:rPr>
        <w:lastRenderedPageBreak/>
        <w:t>O2b. Strategy 2: Recruit more mental/behavioral health providers</w:t>
      </w:r>
    </w:p>
    <w:tbl>
      <w:tblPr>
        <w:tblStyle w:val="GridTable4-Accent2"/>
        <w:tblW w:w="5000" w:type="pct"/>
        <w:tblLook w:val="04A0" w:firstRow="1" w:lastRow="0" w:firstColumn="1" w:lastColumn="0" w:noHBand="0" w:noVBand="1"/>
      </w:tblPr>
      <w:tblGrid>
        <w:gridCol w:w="1125"/>
        <w:gridCol w:w="1218"/>
        <w:gridCol w:w="1971"/>
        <w:gridCol w:w="1442"/>
        <w:gridCol w:w="1530"/>
        <w:gridCol w:w="2064"/>
      </w:tblGrid>
      <w:tr w:rsidR="002810EC" w:rsidRPr="00F86F1A" w:rsidTr="00A63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Timeframe</w:t>
            </w:r>
          </w:p>
        </w:tc>
        <w:tc>
          <w:tcPr>
            <w:tcW w:w="65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054"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77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818"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1104"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2017-2019</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RWPC</w:t>
            </w:r>
          </w:p>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pPr>
            <w:r>
              <w:t>DPBH</w:t>
            </w:r>
          </w:p>
        </w:tc>
        <w:tc>
          <w:tcPr>
            <w:tcW w:w="1054" w:type="pct"/>
          </w:tcPr>
          <w:p w:rsidR="002810EC" w:rsidRPr="00F86F1A" w:rsidRDefault="002810EC" w:rsidP="00B56801">
            <w:pPr>
              <w:spacing w:before="0"/>
              <w:cnfStyle w:val="000000100000" w:firstRow="0" w:lastRow="0" w:firstColumn="0" w:lastColumn="0" w:oddVBand="0" w:evenVBand="0" w:oddHBand="1" w:evenHBand="0" w:firstRowFirstColumn="0" w:firstRowLastColumn="0" w:lastRowFirstColumn="0" w:lastRowLastColumn="0"/>
            </w:pPr>
            <w:r w:rsidRPr="00F86F1A">
              <w:t xml:space="preserve">Collaborate </w:t>
            </w:r>
            <w:r w:rsidR="00B56801">
              <w:t>mental/behavioral health providers</w:t>
            </w:r>
          </w:p>
        </w:tc>
        <w:tc>
          <w:tcPr>
            <w:tcW w:w="77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Mental health/ behavioral health/ substance using HIV+</w:t>
            </w:r>
          </w:p>
        </w:tc>
        <w:tc>
          <w:tcPr>
            <w:tcW w:w="818"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Entity to connect/recruit</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tc>
        <w:tc>
          <w:tcPr>
            <w:tcW w:w="1104"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of providers, # of appts referred, # visits</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2018-2021</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RWPC</w:t>
            </w:r>
          </w:p>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pPr>
            <w:r>
              <w:t>DPBH</w:t>
            </w:r>
          </w:p>
        </w:tc>
        <w:tc>
          <w:tcPr>
            <w:tcW w:w="1054"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Foster collaboration between the agencies to cross provide services at other locations to make services more readily available</w:t>
            </w:r>
          </w:p>
        </w:tc>
        <w:tc>
          <w:tcPr>
            <w:tcW w:w="771" w:type="pct"/>
          </w:tcPr>
          <w:p w:rsidR="002810EC" w:rsidRPr="00F86F1A" w:rsidRDefault="00A63A7C" w:rsidP="002810EC">
            <w:pPr>
              <w:spacing w:before="0"/>
              <w:cnfStyle w:val="000000000000" w:firstRow="0" w:lastRow="0" w:firstColumn="0" w:lastColumn="0" w:oddVBand="0" w:evenVBand="0" w:oddHBand="0" w:evenHBand="0" w:firstRowFirstColumn="0" w:firstRowLastColumn="0" w:lastRowFirstColumn="0" w:lastRowLastColumn="0"/>
            </w:pPr>
            <w:r>
              <w:t>MH</w:t>
            </w:r>
            <w:r w:rsidRPr="00F86F1A">
              <w:t xml:space="preserve">/ </w:t>
            </w:r>
            <w:r>
              <w:t>BH</w:t>
            </w:r>
            <w:r w:rsidRPr="00F86F1A">
              <w:t>/ substance using HIV+</w:t>
            </w:r>
          </w:p>
        </w:tc>
        <w:tc>
          <w:tcPr>
            <w:tcW w:w="818"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tc>
        <w:tc>
          <w:tcPr>
            <w:tcW w:w="1104"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collaborations</w:t>
            </w:r>
          </w:p>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clients served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2018-2021</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RWPC</w:t>
            </w:r>
          </w:p>
          <w:p w:rsidR="002810EC" w:rsidRPr="00F86F1A" w:rsidRDefault="00E73293" w:rsidP="002810EC">
            <w:pPr>
              <w:spacing w:before="0"/>
              <w:cnfStyle w:val="000000100000" w:firstRow="0" w:lastRow="0" w:firstColumn="0" w:lastColumn="0" w:oddVBand="0" w:evenVBand="0" w:oddHBand="1" w:evenHBand="0" w:firstRowFirstColumn="0" w:firstRowLastColumn="0" w:lastRowFirstColumn="0" w:lastRowLastColumn="0"/>
            </w:pPr>
            <w:r>
              <w:t>DPBH</w:t>
            </w:r>
          </w:p>
        </w:tc>
        <w:tc>
          <w:tcPr>
            <w:tcW w:w="1054"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Collaborate with CBOs who have added some MH providers</w:t>
            </w:r>
          </w:p>
        </w:tc>
        <w:tc>
          <w:tcPr>
            <w:tcW w:w="771" w:type="pct"/>
          </w:tcPr>
          <w:p w:rsidR="002810EC" w:rsidRPr="00F86F1A" w:rsidRDefault="00A63A7C" w:rsidP="002810EC">
            <w:pPr>
              <w:spacing w:before="0"/>
              <w:cnfStyle w:val="000000100000" w:firstRow="0" w:lastRow="0" w:firstColumn="0" w:lastColumn="0" w:oddVBand="0" w:evenVBand="0" w:oddHBand="1" w:evenHBand="0" w:firstRowFirstColumn="0" w:firstRowLastColumn="0" w:lastRowFirstColumn="0" w:lastRowLastColumn="0"/>
            </w:pPr>
            <w:r>
              <w:t>MH</w:t>
            </w:r>
            <w:r w:rsidRPr="00F86F1A">
              <w:t xml:space="preserve">/ </w:t>
            </w:r>
            <w:r>
              <w:t>BH</w:t>
            </w:r>
            <w:r w:rsidRPr="00F86F1A">
              <w:t>/ substance using HIV+</w:t>
            </w:r>
          </w:p>
        </w:tc>
        <w:tc>
          <w:tcPr>
            <w:tcW w:w="818"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tc>
        <w:tc>
          <w:tcPr>
            <w:tcW w:w="1104"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 of collaborations with CBOs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 of clients receiving MH services</w:t>
            </w:r>
          </w:p>
        </w:tc>
      </w:tr>
    </w:tbl>
    <w:p w:rsidR="006E4517" w:rsidRDefault="006E4517" w:rsidP="002810EC">
      <w:pPr>
        <w:spacing w:before="0" w:after="0"/>
        <w:rPr>
          <w:b/>
          <w:sz w:val="22"/>
        </w:rPr>
      </w:pPr>
    </w:p>
    <w:p w:rsidR="002810EC" w:rsidRPr="006E4517" w:rsidRDefault="002810EC" w:rsidP="002810EC">
      <w:pPr>
        <w:spacing w:before="0" w:after="0"/>
        <w:rPr>
          <w:b/>
          <w:sz w:val="22"/>
        </w:rPr>
      </w:pPr>
      <w:r w:rsidRPr="006E4517">
        <w:rPr>
          <w:b/>
          <w:sz w:val="22"/>
        </w:rPr>
        <w:t>O2b. Strategy 3: Professional Development activities</w:t>
      </w:r>
      <w:r w:rsidRPr="006E4517">
        <w:rPr>
          <w:b/>
          <w:sz w:val="22"/>
        </w:rPr>
        <w:tab/>
      </w:r>
    </w:p>
    <w:tbl>
      <w:tblPr>
        <w:tblStyle w:val="GridTable4-Accent2"/>
        <w:tblW w:w="5000" w:type="pct"/>
        <w:tblLook w:val="04A0" w:firstRow="1" w:lastRow="0" w:firstColumn="1" w:lastColumn="0" w:noHBand="0" w:noVBand="1"/>
      </w:tblPr>
      <w:tblGrid>
        <w:gridCol w:w="1125"/>
        <w:gridCol w:w="1218"/>
        <w:gridCol w:w="3430"/>
        <w:gridCol w:w="1126"/>
        <w:gridCol w:w="1299"/>
        <w:gridCol w:w="1152"/>
      </w:tblGrid>
      <w:tr w:rsidR="002810EC" w:rsidRPr="00F86F1A" w:rsidTr="00A63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Timeframe</w:t>
            </w:r>
          </w:p>
        </w:tc>
        <w:tc>
          <w:tcPr>
            <w:tcW w:w="65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873"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525"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695"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655"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873"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RW funded agencies participate annual Summer Institutes </w:t>
            </w:r>
            <w:r w:rsidRPr="00F86F1A">
              <w:rPr>
                <w:rFonts w:cs="Calibri"/>
              </w:rPr>
              <w:t xml:space="preserve"> focuses on the continuum of care between MH, SA and HIV</w:t>
            </w:r>
          </w:p>
        </w:tc>
        <w:tc>
          <w:tcPr>
            <w:tcW w:w="525"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HIV 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MH &amp; SA providers</w:t>
            </w:r>
          </w:p>
        </w:tc>
        <w:tc>
          <w:tcPr>
            <w:tcW w:w="695"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Funding for providers to attend the professional development</w:t>
            </w:r>
          </w:p>
        </w:tc>
        <w:tc>
          <w:tcPr>
            <w:tcW w:w="655"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attendees, program outcomes</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2017-2018</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pPr>
            <w:r>
              <w:t>DPBH</w:t>
            </w:r>
          </w:p>
        </w:tc>
        <w:tc>
          <w:tcPr>
            <w:tcW w:w="1873"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Explore methods to educate MH and SA providers about HIV integration within their existing roles (CEU’s) tie this to HIV 101 mentioned previously</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Deliver HIV/STD 101 MH &amp; SA providers</w:t>
            </w:r>
          </w:p>
        </w:tc>
        <w:tc>
          <w:tcPr>
            <w:tcW w:w="525"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MH &amp; SA providers</w:t>
            </w:r>
          </w:p>
        </w:tc>
        <w:tc>
          <w:tcPr>
            <w:tcW w:w="695"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Curriculum</w:t>
            </w:r>
          </w:p>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655"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providers trained</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873"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More education for providers about the resources available in the community including outside of Ryan White</w:t>
            </w:r>
          </w:p>
        </w:tc>
        <w:tc>
          <w:tcPr>
            <w:tcW w:w="525"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HIV 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MH &amp; SA providers</w:t>
            </w:r>
          </w:p>
        </w:tc>
        <w:tc>
          <w:tcPr>
            <w:tcW w:w="695"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Resource guide</w:t>
            </w:r>
          </w:p>
        </w:tc>
        <w:tc>
          <w:tcPr>
            <w:tcW w:w="655"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 of providers educated</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2017-2018</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E73293" w:rsidP="002810EC">
            <w:pPr>
              <w:spacing w:before="0"/>
              <w:cnfStyle w:val="000000000000" w:firstRow="0" w:lastRow="0" w:firstColumn="0" w:lastColumn="0" w:oddVBand="0" w:evenVBand="0" w:oddHBand="0" w:evenHBand="0" w:firstRowFirstColumn="0" w:firstRowLastColumn="0" w:lastRowFirstColumn="0" w:lastRowLastColumn="0"/>
            </w:pPr>
            <w:r>
              <w:t>DPBH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Center of Excellence</w:t>
            </w:r>
          </w:p>
        </w:tc>
        <w:tc>
          <w:tcPr>
            <w:tcW w:w="1873"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(See 2a)</w:t>
            </w:r>
            <w:r w:rsidR="00B56801">
              <w:t xml:space="preserve"> </w:t>
            </w:r>
            <w:r w:rsidRPr="00F86F1A">
              <w:t xml:space="preserve">Develop regional flow chart (resource map) of services/activities for all HIV+ patients, including mental/behavioral/substance use resources.  Includes steps for the patient re: where to go and what to do next. Post online and share with ASOs and mental/behavioral health organizations. </w:t>
            </w:r>
          </w:p>
        </w:tc>
        <w:tc>
          <w:tcPr>
            <w:tcW w:w="525"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HIV providers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MH &amp; SA providers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PLWH</w:t>
            </w:r>
          </w:p>
        </w:tc>
        <w:tc>
          <w:tcPr>
            <w:tcW w:w="695"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tc>
        <w:tc>
          <w:tcPr>
            <w:tcW w:w="655"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flow charts distributed or accessed through website</w:t>
            </w:r>
          </w:p>
        </w:tc>
      </w:tr>
    </w:tbl>
    <w:p w:rsidR="002810EC" w:rsidRDefault="002810EC" w:rsidP="002810EC">
      <w:pPr>
        <w:spacing w:before="0" w:after="0"/>
        <w:rPr>
          <w:b/>
          <w:szCs w:val="22"/>
        </w:rPr>
      </w:pPr>
    </w:p>
    <w:p w:rsidR="002810EC" w:rsidRPr="00B56801" w:rsidRDefault="002810EC" w:rsidP="00B639CA">
      <w:pPr>
        <w:spacing w:before="0" w:after="0"/>
        <w:jc w:val="both"/>
        <w:rPr>
          <w:b/>
          <w:sz w:val="22"/>
          <w:szCs w:val="22"/>
        </w:rPr>
      </w:pPr>
      <w:r w:rsidRPr="00B56801">
        <w:rPr>
          <w:b/>
          <w:sz w:val="22"/>
          <w:szCs w:val="22"/>
        </w:rPr>
        <w:t>Objective 2c.</w:t>
      </w:r>
      <w:r w:rsidR="006E4517">
        <w:rPr>
          <w:b/>
          <w:sz w:val="22"/>
          <w:szCs w:val="22"/>
        </w:rPr>
        <w:t xml:space="preserve"> </w:t>
      </w:r>
      <w:r w:rsidRPr="00B56801">
        <w:rPr>
          <w:b/>
          <w:sz w:val="22"/>
          <w:szCs w:val="22"/>
        </w:rPr>
        <w:t xml:space="preserve">By 2021, 80% of people diagnosed with HIV, who have had a medical visit each year for the past two years, will be virally suppressed (VL &lt;200)   </w:t>
      </w:r>
    </w:p>
    <w:p w:rsidR="002810EC" w:rsidRPr="00B639CA" w:rsidRDefault="002810EC" w:rsidP="00B639CA">
      <w:pPr>
        <w:spacing w:before="0" w:after="0"/>
        <w:jc w:val="both"/>
        <w:rPr>
          <w:sz w:val="22"/>
          <w:szCs w:val="22"/>
        </w:rPr>
      </w:pPr>
      <w:r w:rsidRPr="00B639CA">
        <w:rPr>
          <w:sz w:val="22"/>
          <w:szCs w:val="22"/>
        </w:rPr>
        <w:t xml:space="preserve">This objective addresses patients who have been linked to care and who have received any care in the past two years. Data from the laboratories in the state </w:t>
      </w:r>
      <w:r w:rsidR="00236126" w:rsidRPr="00B639CA">
        <w:rPr>
          <w:sz w:val="22"/>
          <w:szCs w:val="22"/>
        </w:rPr>
        <w:t xml:space="preserve">that </w:t>
      </w:r>
      <w:r w:rsidRPr="00B639CA">
        <w:rPr>
          <w:sz w:val="22"/>
          <w:szCs w:val="22"/>
        </w:rPr>
        <w:t>are required to report viral load and CD4 data will contribute to identifying these individuals.  Achieving the objective requires PLWA to move along the continuum and to be guided through the remaining three steps:  being retained in care, receiving ART</w:t>
      </w:r>
      <w:r w:rsidR="00236126" w:rsidRPr="00B639CA">
        <w:rPr>
          <w:sz w:val="22"/>
          <w:szCs w:val="22"/>
        </w:rPr>
        <w:t>,</w:t>
      </w:r>
      <w:r w:rsidRPr="00B639CA">
        <w:rPr>
          <w:sz w:val="22"/>
          <w:szCs w:val="22"/>
        </w:rPr>
        <w:t xml:space="preserve"> and through ongoing use of medications and rapport with the medical system, </w:t>
      </w:r>
      <w:r w:rsidR="00236126" w:rsidRPr="00B639CA">
        <w:rPr>
          <w:sz w:val="22"/>
          <w:szCs w:val="22"/>
        </w:rPr>
        <w:t xml:space="preserve">becoming </w:t>
      </w:r>
      <w:r w:rsidRPr="00B639CA">
        <w:rPr>
          <w:sz w:val="22"/>
          <w:szCs w:val="22"/>
        </w:rPr>
        <w:t xml:space="preserve">virally suppressed. </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 xml:space="preserve">Data from the Part B client survey indicated that the longer an individual has been diagnosed with HIV the greater the need for services.  PLWH delineated problems receiving care; one reason being health insurance.  Thirty percent (30%) of the individuals who are receiving care indicated having a break in taking medication and attributed this to issues of insurance and the cost of medications. The provider survey confirmed issues of significant medication breaks due to changing insurances and new formulary rules. This was true for newly enrolled Medicaid patients but Ryan White participants were much less likely to experience any disturbance in medication availability. </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Various focus groups generated highlights such as the need for a useful flow chart of service options.  Counseling and peer support positions were recommended and the ongoing issue of easing the burden of eligibility paperwork was raised.  Talk of a service hub where eligibility is determined, and even a central data bank for patient prescription information could provide an infrastructure where issues such as an emergency need to cover medications could be easily coordinated and accomplished.</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The Stakeholder meeting gave PLWH and agency representatives across Nevada a chance to sit down to review the preliminary needs assessment findings and contribute ideas for goals and objectives.  The group which addressed Goal 2 (to increase access to care and improve health outcomes) engaged in an extensive discussion on the need for counseling, peer supports, ways to eliminate gaps in treatment and medications, and contributed many ideas to the development of strategies.</w:t>
      </w:r>
    </w:p>
    <w:p w:rsidR="002810EC" w:rsidRDefault="002810EC" w:rsidP="00B639CA">
      <w:pPr>
        <w:spacing w:before="0" w:after="0"/>
        <w:jc w:val="both"/>
        <w:rPr>
          <w:szCs w:val="22"/>
        </w:rPr>
      </w:pPr>
    </w:p>
    <w:p w:rsidR="002810EC" w:rsidRPr="00B639CA" w:rsidRDefault="002810EC" w:rsidP="00B639CA">
      <w:pPr>
        <w:spacing w:before="0" w:after="0"/>
        <w:jc w:val="both"/>
        <w:rPr>
          <w:sz w:val="22"/>
          <w:szCs w:val="22"/>
        </w:rPr>
      </w:pPr>
      <w:r w:rsidRPr="00B639CA">
        <w:rPr>
          <w:sz w:val="22"/>
          <w:szCs w:val="22"/>
        </w:rPr>
        <w:t xml:space="preserve">Challenges to this goal include the difficulty of navigating through insurance details to ensure medication acquisition, establishing a new partnership with the Pharmacy Board, finding sufficient number of peers who can and want to be trained and identifying payment sources for peer educator services. </w:t>
      </w:r>
    </w:p>
    <w:p w:rsidR="002810EC" w:rsidRPr="00B639CA" w:rsidRDefault="002810EC" w:rsidP="00B639CA">
      <w:pPr>
        <w:spacing w:before="0" w:after="0"/>
        <w:jc w:val="both"/>
        <w:rPr>
          <w:sz w:val="22"/>
          <w:szCs w:val="22"/>
        </w:rPr>
      </w:pPr>
    </w:p>
    <w:p w:rsidR="002810EC" w:rsidRDefault="002810EC" w:rsidP="00B639CA">
      <w:pPr>
        <w:spacing w:before="0" w:after="0"/>
        <w:jc w:val="both"/>
        <w:rPr>
          <w:sz w:val="22"/>
          <w:szCs w:val="22"/>
        </w:rPr>
      </w:pPr>
      <w:r w:rsidRPr="00B639CA">
        <w:rPr>
          <w:sz w:val="22"/>
          <w:szCs w:val="22"/>
        </w:rPr>
        <w:t>Strategies and activities to support and approach the goal of viral suppression include supportive services to assure that individuals understand HIV, how it is managed, the nuances of medications, and approaches to the prevention of HIV transmission.   Strategies in the realm of pharmacy issues range from assuring a consistent supply of the proper medication to pharmacist education and insurance company policy to prevent disruption in receiving medication.    A strategy in the area of prevention will encourage people who are positive to understand how maintaining a suppressed viral load can prevent transmission.</w:t>
      </w:r>
    </w:p>
    <w:p w:rsidR="00C659A9" w:rsidRDefault="00C659A9" w:rsidP="002810EC">
      <w:pPr>
        <w:spacing w:before="0" w:after="0"/>
        <w:rPr>
          <w:b/>
          <w:sz w:val="22"/>
          <w:szCs w:val="22"/>
        </w:rPr>
      </w:pPr>
    </w:p>
    <w:p w:rsidR="00A63A7C" w:rsidRDefault="00A63A7C" w:rsidP="002810EC">
      <w:pPr>
        <w:spacing w:before="0" w:after="0"/>
        <w:rPr>
          <w:b/>
          <w:sz w:val="22"/>
          <w:szCs w:val="22"/>
        </w:rPr>
      </w:pPr>
    </w:p>
    <w:p w:rsidR="002810EC" w:rsidRPr="00B639CA" w:rsidRDefault="002810EC" w:rsidP="002810EC">
      <w:pPr>
        <w:spacing w:before="0" w:after="0"/>
        <w:rPr>
          <w:b/>
          <w:sz w:val="22"/>
          <w:szCs w:val="22"/>
        </w:rPr>
      </w:pPr>
      <w:r w:rsidRPr="00B639CA">
        <w:rPr>
          <w:b/>
          <w:sz w:val="22"/>
          <w:szCs w:val="22"/>
        </w:rPr>
        <w:lastRenderedPageBreak/>
        <w:t>O2c. Strategy 1  Address treatment adherence of PLWH through educational strategies and evaluation</w:t>
      </w:r>
    </w:p>
    <w:tbl>
      <w:tblPr>
        <w:tblStyle w:val="GridTable4-Accent2"/>
        <w:tblW w:w="5000" w:type="pct"/>
        <w:tblLook w:val="04A0" w:firstRow="1" w:lastRow="0" w:firstColumn="1" w:lastColumn="0" w:noHBand="0" w:noVBand="1"/>
      </w:tblPr>
      <w:tblGrid>
        <w:gridCol w:w="1127"/>
        <w:gridCol w:w="1218"/>
        <w:gridCol w:w="2500"/>
        <w:gridCol w:w="1126"/>
        <w:gridCol w:w="1315"/>
        <w:gridCol w:w="2064"/>
      </w:tblGrid>
      <w:tr w:rsidR="002810EC" w:rsidRPr="006E4517" w:rsidTr="00A63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6E4517" w:rsidRDefault="002810EC" w:rsidP="002810EC">
            <w:pPr>
              <w:spacing w:before="0"/>
            </w:pPr>
            <w:r w:rsidRPr="006E4517">
              <w:t>Timeframe</w:t>
            </w:r>
          </w:p>
        </w:tc>
        <w:tc>
          <w:tcPr>
            <w:tcW w:w="651"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Responsible Parties</w:t>
            </w:r>
          </w:p>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37"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Activity/Intervention</w:t>
            </w:r>
          </w:p>
        </w:tc>
        <w:tc>
          <w:tcPr>
            <w:tcW w:w="602"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Target Population</w:t>
            </w:r>
          </w:p>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703"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Resources needed to implement activity</w:t>
            </w:r>
          </w:p>
        </w:tc>
        <w:tc>
          <w:tcPr>
            <w:tcW w:w="1104"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Metrics</w:t>
            </w:r>
          </w:p>
        </w:tc>
      </w:tr>
      <w:tr w:rsidR="002810EC" w:rsidRPr="006E4517"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2017-2018</w:t>
            </w:r>
          </w:p>
        </w:tc>
        <w:tc>
          <w:tcPr>
            <w:tcW w:w="651"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RWPA</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RWPB</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RWPC</w:t>
            </w:r>
          </w:p>
          <w:p w:rsidR="002810EC" w:rsidRPr="006E4517" w:rsidRDefault="006E4517" w:rsidP="002810EC">
            <w:pPr>
              <w:spacing w:before="0"/>
              <w:cnfStyle w:val="000000100000" w:firstRow="0" w:lastRow="0" w:firstColumn="0" w:lastColumn="0" w:oddVBand="0" w:evenVBand="0" w:oddHBand="1" w:evenHBand="0" w:firstRowFirstColumn="0" w:firstRowLastColumn="0" w:lastRowFirstColumn="0" w:lastRowLastColumn="0"/>
            </w:pPr>
            <w:r>
              <w:t>RWPD</w:t>
            </w:r>
          </w:p>
        </w:tc>
        <w:tc>
          <w:tcPr>
            <w:tcW w:w="1337"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Create a series of support, education and training options for group of patients in care</w:t>
            </w:r>
          </w:p>
        </w:tc>
        <w:tc>
          <w:tcPr>
            <w:tcW w:w="602"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PLWH</w:t>
            </w:r>
          </w:p>
        </w:tc>
        <w:tc>
          <w:tcPr>
            <w:tcW w:w="703"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Training materials</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Staff time</w:t>
            </w:r>
          </w:p>
        </w:tc>
        <w:tc>
          <w:tcPr>
            <w:tcW w:w="1104"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options available</w:t>
            </w:r>
          </w:p>
        </w:tc>
      </w:tr>
      <w:tr w:rsidR="002810EC" w:rsidRPr="006E4517"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2017-2018</w:t>
            </w:r>
          </w:p>
        </w:tc>
        <w:tc>
          <w:tcPr>
            <w:tcW w:w="651"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RWPA</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RWPB</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RWPC</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RWPD</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37"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Ensure that patient education programs are language and literacy ability appropriate</w:t>
            </w:r>
          </w:p>
        </w:tc>
        <w:tc>
          <w:tcPr>
            <w:tcW w:w="60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PLWH</w:t>
            </w:r>
          </w:p>
        </w:tc>
        <w:tc>
          <w:tcPr>
            <w:tcW w:w="703"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Staff time</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Materials</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 xml:space="preserve">Literacy </w:t>
            </w:r>
          </w:p>
        </w:tc>
        <w:tc>
          <w:tcPr>
            <w:tcW w:w="1104"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Assessment of how language and literacy appropriate  materials and programs are</w:t>
            </w:r>
          </w:p>
        </w:tc>
      </w:tr>
      <w:tr w:rsidR="002810EC" w:rsidRPr="006E4517"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RWPA</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RWPB</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RWPC</w:t>
            </w:r>
          </w:p>
          <w:p w:rsidR="002810EC" w:rsidRPr="006E4517" w:rsidRDefault="006E4517" w:rsidP="002810EC">
            <w:pPr>
              <w:spacing w:before="0"/>
              <w:cnfStyle w:val="000000100000" w:firstRow="0" w:lastRow="0" w:firstColumn="0" w:lastColumn="0" w:oddVBand="0" w:evenVBand="0" w:oddHBand="1" w:evenHBand="0" w:firstRowFirstColumn="0" w:firstRowLastColumn="0" w:lastRowFirstColumn="0" w:lastRowLastColumn="0"/>
            </w:pPr>
            <w:r>
              <w:t>RWPD</w:t>
            </w:r>
          </w:p>
        </w:tc>
        <w:tc>
          <w:tcPr>
            <w:tcW w:w="1337"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rPr>
                <w:color w:val="FF0000"/>
              </w:rPr>
            </w:pPr>
            <w:r w:rsidRPr="006E4517">
              <w:t>Deliver medication adherence sessions on a continual basis to provide education and support</w:t>
            </w:r>
          </w:p>
        </w:tc>
        <w:tc>
          <w:tcPr>
            <w:tcW w:w="602"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PLWH</w:t>
            </w:r>
          </w:p>
        </w:tc>
        <w:tc>
          <w:tcPr>
            <w:tcW w:w="703"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Staff time</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Training materials</w:t>
            </w:r>
          </w:p>
        </w:tc>
        <w:tc>
          <w:tcPr>
            <w:tcW w:w="1104"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sessions provided</w:t>
            </w:r>
          </w:p>
        </w:tc>
      </w:tr>
      <w:tr w:rsidR="002810EC" w:rsidRPr="006E4517"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RWPA</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RWPB</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RWPC</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RWPD</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Planning Councils</w:t>
            </w:r>
          </w:p>
        </w:tc>
        <w:tc>
          <w:tcPr>
            <w:tcW w:w="1337" w:type="pct"/>
          </w:tcPr>
          <w:p w:rsidR="002810EC" w:rsidRPr="006E4517" w:rsidRDefault="002810EC" w:rsidP="006E4517">
            <w:pPr>
              <w:spacing w:before="0"/>
              <w:cnfStyle w:val="000000000000" w:firstRow="0" w:lastRow="0" w:firstColumn="0" w:lastColumn="0" w:oddVBand="0" w:evenVBand="0" w:oddHBand="0" w:evenHBand="0" w:firstRowFirstColumn="0" w:firstRowLastColumn="0" w:lastRowFirstColumn="0" w:lastRowLastColumn="0"/>
            </w:pPr>
            <w:r w:rsidRPr="006E4517">
              <w:t>Evaluate the continuum of care on a regular basis to understand status; establish baseline and semi-annual update on continuum of care</w:t>
            </w:r>
            <w:r w:rsidR="006E4517">
              <w:t xml:space="preserve"> </w:t>
            </w:r>
            <w:r w:rsidRPr="006E4517">
              <w:t xml:space="preserve">looking at viral suppression; identify patterns of viral load suppression and match to exams attended, services accessed, etc.  </w:t>
            </w:r>
          </w:p>
        </w:tc>
        <w:tc>
          <w:tcPr>
            <w:tcW w:w="60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PLWH</w:t>
            </w:r>
          </w:p>
        </w:tc>
        <w:tc>
          <w:tcPr>
            <w:tcW w:w="703"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Viral load data</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Continuum of care update</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Clinic records</w:t>
            </w:r>
          </w:p>
        </w:tc>
        <w:tc>
          <w:tcPr>
            <w:tcW w:w="1104"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Continuum of care</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 PLWH in care</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 of virally suppressed PLWH in care</w:t>
            </w:r>
          </w:p>
        </w:tc>
      </w:tr>
    </w:tbl>
    <w:p w:rsidR="002810EC" w:rsidRPr="006F03A3" w:rsidRDefault="002810EC" w:rsidP="002810EC">
      <w:pPr>
        <w:spacing w:before="0" w:after="0"/>
        <w:rPr>
          <w:szCs w:val="22"/>
        </w:rPr>
      </w:pPr>
    </w:p>
    <w:p w:rsidR="00C659A9" w:rsidRDefault="00C659A9" w:rsidP="002810EC">
      <w:pPr>
        <w:spacing w:before="0" w:after="0"/>
        <w:rPr>
          <w:b/>
          <w:sz w:val="22"/>
          <w:szCs w:val="22"/>
        </w:rPr>
      </w:pPr>
    </w:p>
    <w:p w:rsidR="002810EC" w:rsidRPr="00B639CA" w:rsidRDefault="002810EC" w:rsidP="002810EC">
      <w:pPr>
        <w:spacing w:before="0" w:after="0"/>
        <w:rPr>
          <w:b/>
          <w:sz w:val="22"/>
          <w:szCs w:val="22"/>
        </w:rPr>
      </w:pPr>
      <w:r w:rsidRPr="00B639CA">
        <w:rPr>
          <w:b/>
          <w:sz w:val="22"/>
          <w:szCs w:val="22"/>
        </w:rPr>
        <w:t>O2c. Strategy 2   Provide education and information regarding uninterrupted access to and proper use of medication</w:t>
      </w:r>
    </w:p>
    <w:tbl>
      <w:tblPr>
        <w:tblStyle w:val="GridTable4-Accent2"/>
        <w:tblW w:w="5000" w:type="pct"/>
        <w:tblLook w:val="04A0" w:firstRow="1" w:lastRow="0" w:firstColumn="1" w:lastColumn="0" w:noHBand="0" w:noVBand="1"/>
      </w:tblPr>
      <w:tblGrid>
        <w:gridCol w:w="1125"/>
        <w:gridCol w:w="1218"/>
        <w:gridCol w:w="2478"/>
        <w:gridCol w:w="1201"/>
        <w:gridCol w:w="1894"/>
        <w:gridCol w:w="1434"/>
      </w:tblGrid>
      <w:tr w:rsidR="002810EC" w:rsidRPr="006E4517" w:rsidTr="00A63A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2" w:type="pct"/>
          </w:tcPr>
          <w:p w:rsidR="002810EC" w:rsidRPr="006E4517" w:rsidRDefault="002810EC" w:rsidP="002810EC">
            <w:pPr>
              <w:spacing w:before="0"/>
            </w:pPr>
            <w:r w:rsidRPr="006E4517">
              <w:t>Timeframe</w:t>
            </w:r>
          </w:p>
        </w:tc>
        <w:tc>
          <w:tcPr>
            <w:tcW w:w="651"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Responsible Parties</w:t>
            </w:r>
          </w:p>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25"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Activity/Intervention</w:t>
            </w:r>
          </w:p>
        </w:tc>
        <w:tc>
          <w:tcPr>
            <w:tcW w:w="642"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Target Population</w:t>
            </w:r>
          </w:p>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013"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Resources needed to implement activity</w:t>
            </w:r>
          </w:p>
        </w:tc>
        <w:tc>
          <w:tcPr>
            <w:tcW w:w="767"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Metrics</w:t>
            </w:r>
          </w:p>
        </w:tc>
      </w:tr>
      <w:tr w:rsidR="002810EC" w:rsidRPr="006E4517"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2017-2018</w:t>
            </w:r>
          </w:p>
        </w:tc>
        <w:tc>
          <w:tcPr>
            <w:tcW w:w="651"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RWPA</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RWPB</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RWPC</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RWPD</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25"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xml:space="preserve">Ensure clinical programs include medication management materials, support, educational programs and counseling for all patients </w:t>
            </w:r>
          </w:p>
        </w:tc>
        <w:tc>
          <w:tcPr>
            <w:tcW w:w="642"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PLWH</w:t>
            </w:r>
          </w:p>
        </w:tc>
        <w:tc>
          <w:tcPr>
            <w:tcW w:w="1013"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Educational materials and programs</w:t>
            </w:r>
          </w:p>
        </w:tc>
        <w:tc>
          <w:tcPr>
            <w:tcW w:w="767"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programs providing medication adherence materials and education to clients</w:t>
            </w:r>
          </w:p>
        </w:tc>
      </w:tr>
      <w:tr w:rsidR="002810EC" w:rsidRPr="006E4517"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RWPA</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RWPB</w:t>
            </w:r>
          </w:p>
          <w:p w:rsidR="002810EC" w:rsidRPr="006E4517" w:rsidRDefault="00E73293" w:rsidP="002810EC">
            <w:pPr>
              <w:spacing w:before="0"/>
              <w:cnfStyle w:val="000000000000" w:firstRow="0" w:lastRow="0" w:firstColumn="0" w:lastColumn="0" w:oddVBand="0" w:evenVBand="0" w:oddHBand="0" w:evenHBand="0" w:firstRowFirstColumn="0" w:firstRowLastColumn="0" w:lastRowFirstColumn="0" w:lastRowLastColumn="0"/>
            </w:pPr>
            <w:r>
              <w:t>DPBH</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Center of Excellence</w:t>
            </w:r>
          </w:p>
        </w:tc>
        <w:tc>
          <w:tcPr>
            <w:tcW w:w="1325"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Provide education to pharmacists on HIV medication adherence</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64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Pharmacists</w:t>
            </w:r>
          </w:p>
        </w:tc>
        <w:tc>
          <w:tcPr>
            <w:tcW w:w="1013"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Educational materials</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Staff time</w:t>
            </w:r>
          </w:p>
        </w:tc>
        <w:tc>
          <w:tcPr>
            <w:tcW w:w="767" w:type="pct"/>
          </w:tcPr>
          <w:p w:rsidR="002810EC" w:rsidRPr="006E4517" w:rsidRDefault="002810EC" w:rsidP="00A63A7C">
            <w:pPr>
              <w:spacing w:before="0"/>
              <w:cnfStyle w:val="000000000000" w:firstRow="0" w:lastRow="0" w:firstColumn="0" w:lastColumn="0" w:oddVBand="0" w:evenVBand="0" w:oddHBand="0" w:evenHBand="0" w:firstRowFirstColumn="0" w:firstRowLastColumn="0" w:lastRowFirstColumn="0" w:lastRowLastColumn="0"/>
            </w:pPr>
            <w:r w:rsidRPr="006E4517">
              <w:t xml:space="preserve"># </w:t>
            </w:r>
            <w:r w:rsidR="00A63A7C">
              <w:t>p</w:t>
            </w:r>
            <w:r w:rsidRPr="006E4517">
              <w:t>harmacists receiving education</w:t>
            </w:r>
          </w:p>
        </w:tc>
      </w:tr>
      <w:tr w:rsidR="002810EC" w:rsidRPr="006E4517"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RWPA</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RWPB</w:t>
            </w:r>
          </w:p>
        </w:tc>
        <w:tc>
          <w:tcPr>
            <w:tcW w:w="1325"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xml:space="preserve">Encourage pharmacists that work with HIV clinics </w:t>
            </w:r>
            <w:r w:rsidRPr="006E4517">
              <w:lastRenderedPageBreak/>
              <w:t>to get certified in HIV care (AAHIVM certification)</w:t>
            </w:r>
          </w:p>
        </w:tc>
        <w:tc>
          <w:tcPr>
            <w:tcW w:w="642"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lastRenderedPageBreak/>
              <w:t>Pharmacists</w:t>
            </w:r>
          </w:p>
        </w:tc>
        <w:tc>
          <w:tcPr>
            <w:tcW w:w="1013"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Materials to disseminate</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Staff time</w:t>
            </w:r>
          </w:p>
        </w:tc>
        <w:tc>
          <w:tcPr>
            <w:tcW w:w="767"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pharmacists with HIV specialty</w:t>
            </w:r>
          </w:p>
        </w:tc>
      </w:tr>
      <w:tr w:rsidR="002810EC" w:rsidRPr="006E4517"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2017-2021</w:t>
            </w:r>
          </w:p>
        </w:tc>
        <w:tc>
          <w:tcPr>
            <w:tcW w:w="651"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RWPA</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RWPB</w:t>
            </w:r>
          </w:p>
        </w:tc>
        <w:tc>
          <w:tcPr>
            <w:tcW w:w="1325"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Disseminate information about policies to clients  regarding emergency medication access</w:t>
            </w:r>
          </w:p>
        </w:tc>
        <w:tc>
          <w:tcPr>
            <w:tcW w:w="64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PLWH</w:t>
            </w:r>
          </w:p>
        </w:tc>
        <w:tc>
          <w:tcPr>
            <w:tcW w:w="1013"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Materials to disseminate</w:t>
            </w:r>
          </w:p>
        </w:tc>
        <w:tc>
          <w:tcPr>
            <w:tcW w:w="767"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 clients receiving materials</w:t>
            </w:r>
          </w:p>
        </w:tc>
      </w:tr>
    </w:tbl>
    <w:p w:rsidR="002810EC" w:rsidRPr="006F03A3" w:rsidRDefault="002810EC" w:rsidP="002810EC">
      <w:pPr>
        <w:spacing w:before="0" w:after="0"/>
        <w:rPr>
          <w:b/>
          <w:szCs w:val="22"/>
        </w:rPr>
      </w:pPr>
    </w:p>
    <w:p w:rsidR="002810EC" w:rsidRPr="006F03A3" w:rsidRDefault="002810EC" w:rsidP="002810EC">
      <w:pPr>
        <w:spacing w:before="0" w:after="0"/>
        <w:rPr>
          <w:b/>
          <w:szCs w:val="22"/>
        </w:rPr>
      </w:pPr>
    </w:p>
    <w:p w:rsidR="002810EC" w:rsidRPr="006E4517" w:rsidRDefault="002810EC" w:rsidP="002810EC">
      <w:pPr>
        <w:spacing w:before="0" w:after="0"/>
        <w:rPr>
          <w:b/>
          <w:sz w:val="22"/>
          <w:szCs w:val="22"/>
        </w:rPr>
      </w:pPr>
      <w:r w:rsidRPr="006E4517">
        <w:rPr>
          <w:b/>
          <w:sz w:val="22"/>
          <w:szCs w:val="22"/>
        </w:rPr>
        <w:t>O2c. Strategy 3   Educate both client and provider stakeholders regarding the importance of routine viral load testing and tracking of viral load data</w:t>
      </w:r>
    </w:p>
    <w:tbl>
      <w:tblPr>
        <w:tblStyle w:val="GridTable4-Accent2"/>
        <w:tblW w:w="5000" w:type="pct"/>
        <w:tblLook w:val="04A0" w:firstRow="1" w:lastRow="0" w:firstColumn="1" w:lastColumn="0" w:noHBand="0" w:noVBand="1"/>
      </w:tblPr>
      <w:tblGrid>
        <w:gridCol w:w="1125"/>
        <w:gridCol w:w="1218"/>
        <w:gridCol w:w="2444"/>
        <w:gridCol w:w="1174"/>
        <w:gridCol w:w="2043"/>
        <w:gridCol w:w="1346"/>
      </w:tblGrid>
      <w:tr w:rsidR="002810EC" w:rsidRPr="006E4517" w:rsidTr="00CF4F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9" w:type="pct"/>
          </w:tcPr>
          <w:p w:rsidR="002810EC" w:rsidRPr="006E4517" w:rsidRDefault="002810EC" w:rsidP="002810EC">
            <w:pPr>
              <w:spacing w:before="0"/>
            </w:pPr>
            <w:r w:rsidRPr="006E4517">
              <w:t>Timeframe</w:t>
            </w:r>
          </w:p>
        </w:tc>
        <w:tc>
          <w:tcPr>
            <w:tcW w:w="556"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Responsible Parties</w:t>
            </w:r>
          </w:p>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52"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Activity/Intervention</w:t>
            </w:r>
          </w:p>
        </w:tc>
        <w:tc>
          <w:tcPr>
            <w:tcW w:w="672"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Target Population</w:t>
            </w:r>
          </w:p>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137"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Resources needed to implement activity</w:t>
            </w:r>
          </w:p>
        </w:tc>
        <w:tc>
          <w:tcPr>
            <w:tcW w:w="764" w:type="pct"/>
          </w:tcPr>
          <w:p w:rsidR="002810EC" w:rsidRPr="006E451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6E4517">
              <w:t>Metrics</w:t>
            </w:r>
          </w:p>
        </w:tc>
      </w:tr>
      <w:tr w:rsidR="002810EC" w:rsidRPr="006E451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2017-2021</w:t>
            </w:r>
          </w:p>
        </w:tc>
        <w:tc>
          <w:tcPr>
            <w:tcW w:w="556"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RWPA</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RWPB</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RWPC</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RWPD</w:t>
            </w:r>
          </w:p>
        </w:tc>
        <w:tc>
          <w:tcPr>
            <w:tcW w:w="1352" w:type="pct"/>
          </w:tcPr>
          <w:p w:rsidR="002810EC" w:rsidRPr="006E4517" w:rsidRDefault="002810EC" w:rsidP="00D516F5">
            <w:pPr>
              <w:spacing w:before="0"/>
              <w:cnfStyle w:val="000000100000" w:firstRow="0" w:lastRow="0" w:firstColumn="0" w:lastColumn="0" w:oddVBand="0" w:evenVBand="0" w:oddHBand="1" w:evenHBand="0" w:firstRowFirstColumn="0" w:firstRowLastColumn="0" w:lastRowFirstColumn="0" w:lastRowLastColumn="0"/>
            </w:pPr>
            <w:r w:rsidRPr="006E4517">
              <w:t xml:space="preserve">Educate clients </w:t>
            </w:r>
            <w:r w:rsidR="00D516F5" w:rsidRPr="006E4517">
              <w:t>about the importance of obtaining and maintaining an undetectable viral load and the importance of individual viral load in regards to community viral load</w:t>
            </w:r>
          </w:p>
        </w:tc>
        <w:tc>
          <w:tcPr>
            <w:tcW w:w="672"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PLWH</w:t>
            </w:r>
          </w:p>
        </w:tc>
        <w:tc>
          <w:tcPr>
            <w:tcW w:w="1137"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Educational materials</w:t>
            </w:r>
          </w:p>
        </w:tc>
        <w:tc>
          <w:tcPr>
            <w:tcW w:w="764"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clients educated</w:t>
            </w:r>
          </w:p>
        </w:tc>
      </w:tr>
      <w:tr w:rsidR="002810EC" w:rsidRPr="006E4517" w:rsidTr="00CF4F3C">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2017-2021</w:t>
            </w:r>
          </w:p>
        </w:tc>
        <w:tc>
          <w:tcPr>
            <w:tcW w:w="556"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RWPA</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RWPB</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5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 xml:space="preserve">Create data sharing agreements between </w:t>
            </w:r>
            <w:r w:rsidR="00B56801" w:rsidRPr="006E4517">
              <w:t>CAREWare</w:t>
            </w:r>
            <w:r w:rsidRPr="006E4517">
              <w:t xml:space="preserve"> and labs</w:t>
            </w:r>
          </w:p>
        </w:tc>
        <w:tc>
          <w:tcPr>
            <w:tcW w:w="67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Lab staff</w:t>
            </w:r>
          </w:p>
        </w:tc>
        <w:tc>
          <w:tcPr>
            <w:tcW w:w="1137"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Agreements</w:t>
            </w:r>
          </w:p>
        </w:tc>
        <w:tc>
          <w:tcPr>
            <w:tcW w:w="764"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 agreements</w:t>
            </w:r>
          </w:p>
        </w:tc>
      </w:tr>
      <w:tr w:rsidR="002810EC" w:rsidRPr="006E451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2017-2021</w:t>
            </w:r>
          </w:p>
        </w:tc>
        <w:tc>
          <w:tcPr>
            <w:tcW w:w="556"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RWPA</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RWPB</w:t>
            </w:r>
          </w:p>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Educate clinicians to do at least 2 viral load tests per year</w:t>
            </w:r>
          </w:p>
        </w:tc>
        <w:tc>
          <w:tcPr>
            <w:tcW w:w="672"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Clinicians</w:t>
            </w:r>
          </w:p>
        </w:tc>
        <w:tc>
          <w:tcPr>
            <w:tcW w:w="1137"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Educational Materials</w:t>
            </w:r>
          </w:p>
        </w:tc>
        <w:tc>
          <w:tcPr>
            <w:tcW w:w="764" w:type="pct"/>
          </w:tcPr>
          <w:p w:rsidR="002810EC" w:rsidRPr="006E451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6E4517">
              <w:t># of clinicians educated</w:t>
            </w:r>
          </w:p>
        </w:tc>
      </w:tr>
      <w:tr w:rsidR="002810EC" w:rsidRPr="006E4517" w:rsidTr="00CF4F3C">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2017-2021</w:t>
            </w:r>
          </w:p>
        </w:tc>
        <w:tc>
          <w:tcPr>
            <w:tcW w:w="556"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RWPA</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RWPB</w:t>
            </w:r>
          </w:p>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Planning Councils</w:t>
            </w:r>
          </w:p>
        </w:tc>
        <w:tc>
          <w:tcPr>
            <w:tcW w:w="135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Educate the community about community viral load data</w:t>
            </w:r>
          </w:p>
        </w:tc>
        <w:tc>
          <w:tcPr>
            <w:tcW w:w="672"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Community</w:t>
            </w:r>
          </w:p>
        </w:tc>
        <w:tc>
          <w:tcPr>
            <w:tcW w:w="1137"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Educational Materials</w:t>
            </w:r>
          </w:p>
        </w:tc>
        <w:tc>
          <w:tcPr>
            <w:tcW w:w="764" w:type="pct"/>
          </w:tcPr>
          <w:p w:rsidR="002810EC" w:rsidRPr="006E451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6E4517">
              <w:t xml:space="preserve"># of materials, campaigns, events </w:t>
            </w:r>
          </w:p>
        </w:tc>
      </w:tr>
    </w:tbl>
    <w:p w:rsidR="002810EC" w:rsidRPr="006F03A3" w:rsidRDefault="002810EC" w:rsidP="002810EC">
      <w:pPr>
        <w:spacing w:before="0" w:after="0"/>
        <w:rPr>
          <w:b/>
          <w:szCs w:val="22"/>
        </w:rPr>
      </w:pPr>
    </w:p>
    <w:p w:rsidR="002810EC" w:rsidRPr="00B639CA" w:rsidRDefault="002810EC" w:rsidP="00B639CA">
      <w:pPr>
        <w:spacing w:before="0" w:after="0"/>
        <w:jc w:val="both"/>
        <w:rPr>
          <w:b/>
          <w:sz w:val="22"/>
          <w:szCs w:val="22"/>
        </w:rPr>
      </w:pPr>
      <w:r w:rsidRPr="00B639CA">
        <w:rPr>
          <w:b/>
          <w:sz w:val="22"/>
          <w:szCs w:val="22"/>
        </w:rPr>
        <w:t>Objective 2d. By 2021, reduce to 20% the incidence of STIs in HIV infected persons in care.</w:t>
      </w:r>
    </w:p>
    <w:p w:rsidR="002810EC" w:rsidRPr="00B639CA" w:rsidRDefault="002810EC" w:rsidP="00B639CA">
      <w:pPr>
        <w:spacing w:before="0" w:after="0"/>
        <w:jc w:val="both"/>
        <w:rPr>
          <w:sz w:val="22"/>
          <w:szCs w:val="22"/>
        </w:rPr>
      </w:pPr>
      <w:r w:rsidRPr="00B639CA">
        <w:rPr>
          <w:sz w:val="22"/>
          <w:szCs w:val="22"/>
        </w:rPr>
        <w:t xml:space="preserve">This objective addresses patients who are linked to care and who may therefore be amenable to education, support and services that will help them understand how comorbidities like sexually transmitted infections will affect their health and how they may be prevented. The presence of STI in HIV infected persons indicates that prevention messages about safe sex are not being followed and infer risk for HIV transmission. Providers will have an education mandate but case managers, program navigators and others on the clinic team can support the prevention message.  A broad approach to public education is also needed. </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 xml:space="preserve">Data from the routinely reported STIs will contribute to identifying these patients.  The State database will have information regarding who is providing care to </w:t>
      </w:r>
      <w:r w:rsidR="00F0170C">
        <w:rPr>
          <w:sz w:val="22"/>
          <w:szCs w:val="22"/>
        </w:rPr>
        <w:t>patients with HIV and other STI</w:t>
      </w:r>
      <w:r w:rsidRPr="00B639CA">
        <w:rPr>
          <w:sz w:val="22"/>
          <w:szCs w:val="22"/>
        </w:rPr>
        <w:t>s.  Clinics will need materials and information for patients and education for providers regarding the state epidemiologic profile and ways to work with patients to increase better prevention practices.  Encouraging all clini</w:t>
      </w:r>
      <w:r w:rsidR="00F0170C">
        <w:rPr>
          <w:sz w:val="22"/>
          <w:szCs w:val="22"/>
        </w:rPr>
        <w:t xml:space="preserve">cs to </w:t>
      </w:r>
      <w:r w:rsidR="00F0170C">
        <w:rPr>
          <w:sz w:val="22"/>
          <w:szCs w:val="22"/>
        </w:rPr>
        <w:lastRenderedPageBreak/>
        <w:t>conduct screening for STI</w:t>
      </w:r>
      <w:r w:rsidRPr="00B639CA">
        <w:rPr>
          <w:sz w:val="22"/>
          <w:szCs w:val="22"/>
        </w:rPr>
        <w:t>s and HIV for all clients on an annual or as needed basis would assist in understanding the scope of the problems and would help direct resources where they may be needed for care and prevention.</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 xml:space="preserve">Achieving this objective requires PLWH to receive an educational message from </w:t>
      </w:r>
      <w:r w:rsidR="00F0170C">
        <w:rPr>
          <w:sz w:val="22"/>
          <w:szCs w:val="22"/>
        </w:rPr>
        <w:t xml:space="preserve">disease investigation staff, </w:t>
      </w:r>
      <w:r w:rsidRPr="00B639CA">
        <w:rPr>
          <w:sz w:val="22"/>
          <w:szCs w:val="22"/>
        </w:rPr>
        <w:t>provider or clinic staff that helps the</w:t>
      </w:r>
      <w:r w:rsidR="00F0170C">
        <w:rPr>
          <w:sz w:val="22"/>
          <w:szCs w:val="22"/>
        </w:rPr>
        <w:t>m to understand the risk of STI</w:t>
      </w:r>
      <w:r w:rsidRPr="00B639CA">
        <w:rPr>
          <w:sz w:val="22"/>
          <w:szCs w:val="22"/>
        </w:rPr>
        <w:t xml:space="preserve">s and to possess and implement tools for prevention.  Peer advocates can be helpful in getting the message </w:t>
      </w:r>
      <w:r w:rsidR="00F0170C">
        <w:rPr>
          <w:sz w:val="22"/>
          <w:szCs w:val="22"/>
        </w:rPr>
        <w:t>out about safer sex practices. Disease Syringe services</w:t>
      </w:r>
      <w:r w:rsidRPr="00B639CA">
        <w:rPr>
          <w:sz w:val="22"/>
          <w:szCs w:val="22"/>
        </w:rPr>
        <w:t xml:space="preserve"> programs provide important education and services, and public service messages can contribute to increased awareness about risks associated with certain sexual behaviors.</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 xml:space="preserve">The client survey informs us that 69% of PLWH did not have any problem getting into medical care shortly after their diagnosis.  This is an important time to assess risks and screen for STIs. Only 24% of clients noted using free condoms and 22% indicated that they appreciated and used services that helped them understand their medications and how to take them.  It is a large estimate, but taking the leap from the findings, approximately 75% of PLWH may benefit from more extensive messaging and programing </w:t>
      </w:r>
      <w:r w:rsidR="00F0170C">
        <w:rPr>
          <w:sz w:val="22"/>
          <w:szCs w:val="22"/>
        </w:rPr>
        <w:t>regarding the prevention of STI</w:t>
      </w:r>
      <w:r w:rsidRPr="00B639CA">
        <w:rPr>
          <w:sz w:val="22"/>
          <w:szCs w:val="22"/>
        </w:rPr>
        <w:t>s.  Clients suggested that services could be provided with more educational /informational seminars and more public service announcements/messages that target STI information. Providers dealing with ongoing syphilis infections in their patients agreed that standardization of screening would be very helpful.</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Stakeholders at the goal</w:t>
      </w:r>
      <w:r w:rsidR="00DA78EE">
        <w:rPr>
          <w:sz w:val="22"/>
          <w:szCs w:val="22"/>
        </w:rPr>
        <w:t>s</w:t>
      </w:r>
      <w:r w:rsidRPr="00B639CA">
        <w:rPr>
          <w:sz w:val="22"/>
          <w:szCs w:val="22"/>
        </w:rPr>
        <w:t xml:space="preserve"> and objective</w:t>
      </w:r>
      <w:r w:rsidR="00DA78EE">
        <w:rPr>
          <w:sz w:val="22"/>
          <w:szCs w:val="22"/>
        </w:rPr>
        <w:t>s</w:t>
      </w:r>
      <w:r w:rsidRPr="00B639CA">
        <w:rPr>
          <w:sz w:val="22"/>
          <w:szCs w:val="22"/>
        </w:rPr>
        <w:t xml:space="preserve"> planning meeting discussed the importance of including safe sex messages on internet sites. They also focused on the importance of routine STI testing, broader efforts at education and general prevention activities. Challenges to achieving this goal include lack of access to clinical care to screen and treat for STIs, lack of interest among clinicians to routinely screen for and discuss STIs, and concern about lack of confidentiality with mandated reporting to Health Department. Strategies and activities to support and approach the goal of increasing the identification of STIs in patients with HIV are in the areas of routine screening, education and prevention.  </w:t>
      </w:r>
    </w:p>
    <w:p w:rsidR="002810EC" w:rsidRPr="006F03A3" w:rsidRDefault="002810EC" w:rsidP="002810EC">
      <w:pPr>
        <w:spacing w:before="0" w:after="0"/>
        <w:rPr>
          <w:szCs w:val="22"/>
        </w:rPr>
      </w:pPr>
    </w:p>
    <w:p w:rsidR="00A63A7C" w:rsidRDefault="00A63A7C">
      <w:pPr>
        <w:rPr>
          <w:b/>
          <w:sz w:val="22"/>
          <w:szCs w:val="22"/>
        </w:rPr>
      </w:pPr>
      <w:r>
        <w:rPr>
          <w:b/>
          <w:sz w:val="22"/>
          <w:szCs w:val="22"/>
        </w:rPr>
        <w:br w:type="page"/>
      </w:r>
    </w:p>
    <w:p w:rsidR="002810EC" w:rsidRPr="00A33BB7" w:rsidRDefault="002810EC" w:rsidP="002810EC">
      <w:pPr>
        <w:spacing w:before="0" w:after="0"/>
        <w:rPr>
          <w:b/>
          <w:sz w:val="22"/>
          <w:szCs w:val="22"/>
        </w:rPr>
      </w:pPr>
      <w:r w:rsidRPr="00A33BB7">
        <w:rPr>
          <w:b/>
          <w:sz w:val="22"/>
          <w:szCs w:val="22"/>
        </w:rPr>
        <w:lastRenderedPageBreak/>
        <w:t xml:space="preserve">O2d. Strategy 1  Conduct </w:t>
      </w:r>
      <w:r w:rsidR="00F0170C" w:rsidRPr="00A33BB7">
        <w:rPr>
          <w:b/>
          <w:sz w:val="22"/>
          <w:szCs w:val="22"/>
        </w:rPr>
        <w:t>p</w:t>
      </w:r>
      <w:r w:rsidRPr="00A33BB7">
        <w:rPr>
          <w:b/>
          <w:sz w:val="22"/>
          <w:szCs w:val="22"/>
        </w:rPr>
        <w:t>rovider education and disseminate recommendations regarding routine screenings for STIs</w:t>
      </w:r>
    </w:p>
    <w:tbl>
      <w:tblPr>
        <w:tblStyle w:val="GridTable4-Accent2"/>
        <w:tblW w:w="5000" w:type="pct"/>
        <w:tblLook w:val="04A0" w:firstRow="1" w:lastRow="0" w:firstColumn="1" w:lastColumn="0" w:noHBand="0" w:noVBand="1"/>
      </w:tblPr>
      <w:tblGrid>
        <w:gridCol w:w="1125"/>
        <w:gridCol w:w="1218"/>
        <w:gridCol w:w="2443"/>
        <w:gridCol w:w="1173"/>
        <w:gridCol w:w="2042"/>
        <w:gridCol w:w="1349"/>
      </w:tblGrid>
      <w:tr w:rsidR="002810EC" w:rsidRPr="00A33BB7" w:rsidTr="00CF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pPr>
            <w:r w:rsidRPr="00A33BB7">
              <w:t>Timeframe</w:t>
            </w:r>
          </w:p>
        </w:tc>
        <w:tc>
          <w:tcPr>
            <w:tcW w:w="556"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Responsible Parties</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52"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Activity/Intervention</w:t>
            </w:r>
          </w:p>
        </w:tc>
        <w:tc>
          <w:tcPr>
            <w:tcW w:w="672"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Target Population</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137"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Resources needed to implement activity</w:t>
            </w:r>
          </w:p>
        </w:tc>
        <w:tc>
          <w:tcPr>
            <w:tcW w:w="764"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Metrics</w:t>
            </w:r>
          </w:p>
        </w:tc>
      </w:tr>
      <w:tr w:rsidR="002810EC" w:rsidRPr="00A33BB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w:t>
            </w:r>
          </w:p>
        </w:tc>
        <w:tc>
          <w:tcPr>
            <w:tcW w:w="55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Recommend that HIV care clinics have plans in place for routine sexual history and screening for STIs</w:t>
            </w:r>
          </w:p>
        </w:tc>
        <w:tc>
          <w:tcPr>
            <w:tcW w:w="67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HIV Care Clinics</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PLWH</w:t>
            </w:r>
          </w:p>
        </w:tc>
        <w:tc>
          <w:tcPr>
            <w:tcW w:w="113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Policies</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Educational Materials</w:t>
            </w:r>
          </w:p>
        </w:tc>
        <w:tc>
          <w:tcPr>
            <w:tcW w:w="76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clinics implementing</w:t>
            </w:r>
          </w:p>
        </w:tc>
      </w:tr>
      <w:tr w:rsidR="002810EC" w:rsidRPr="00A33BB7" w:rsidTr="00CF4F3C">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2018</w:t>
            </w:r>
          </w:p>
        </w:tc>
        <w:tc>
          <w:tcPr>
            <w:tcW w:w="55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5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Develop resource guide for providers. (Health departments, providers who specialize in STI’s including email for consults and referral)</w:t>
            </w:r>
          </w:p>
        </w:tc>
        <w:tc>
          <w:tcPr>
            <w:tcW w:w="67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HIV Care Clinics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PLWH</w:t>
            </w:r>
          </w:p>
        </w:tc>
        <w:tc>
          <w:tcPr>
            <w:tcW w:w="1137"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Data on resources available</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76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Resource guides accessed</w:t>
            </w:r>
          </w:p>
        </w:tc>
      </w:tr>
      <w:tr w:rsidR="002810EC" w:rsidRPr="00A33BB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2017-2021</w:t>
            </w:r>
          </w:p>
        </w:tc>
        <w:tc>
          <w:tcPr>
            <w:tcW w:w="55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Develop and maintain accurate list of who is seeing patients with HIV</w:t>
            </w:r>
          </w:p>
        </w:tc>
        <w:tc>
          <w:tcPr>
            <w:tcW w:w="67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PLWH</w:t>
            </w:r>
          </w:p>
        </w:tc>
        <w:tc>
          <w:tcPr>
            <w:tcW w:w="113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Data on providers</w:t>
            </w:r>
          </w:p>
        </w:tc>
        <w:tc>
          <w:tcPr>
            <w:tcW w:w="76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Provider list</w:t>
            </w:r>
          </w:p>
        </w:tc>
      </w:tr>
      <w:tr w:rsidR="002810EC" w:rsidRPr="00A33BB7" w:rsidTr="00CF4F3C">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2018-2020</w:t>
            </w:r>
          </w:p>
        </w:tc>
        <w:tc>
          <w:tcPr>
            <w:tcW w:w="55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NBPH</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Center for Excellence</w:t>
            </w:r>
          </w:p>
        </w:tc>
        <w:tc>
          <w:tcPr>
            <w:tcW w:w="135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Provide outreach to all providers (including private) re routine screening and education for STI’s, </w:t>
            </w:r>
          </w:p>
        </w:tc>
        <w:tc>
          <w:tcPr>
            <w:tcW w:w="67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HIV Care Clinics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PLWH</w:t>
            </w:r>
          </w:p>
        </w:tc>
        <w:tc>
          <w:tcPr>
            <w:tcW w:w="1137"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Partner with AETC to provide education</w:t>
            </w:r>
          </w:p>
        </w:tc>
        <w:tc>
          <w:tcPr>
            <w:tcW w:w="76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providers reached</w:t>
            </w:r>
          </w:p>
        </w:tc>
      </w:tr>
    </w:tbl>
    <w:p w:rsidR="002810EC" w:rsidRPr="006F03A3" w:rsidRDefault="002810EC" w:rsidP="002810EC">
      <w:pPr>
        <w:spacing w:before="0" w:after="0"/>
        <w:rPr>
          <w:b/>
          <w:szCs w:val="22"/>
        </w:rPr>
      </w:pPr>
    </w:p>
    <w:p w:rsidR="002810EC" w:rsidRPr="00A33BB7" w:rsidRDefault="002810EC" w:rsidP="002810EC">
      <w:pPr>
        <w:spacing w:before="0" w:after="0"/>
        <w:rPr>
          <w:b/>
          <w:sz w:val="22"/>
          <w:szCs w:val="22"/>
        </w:rPr>
      </w:pPr>
      <w:r w:rsidRPr="00A33BB7">
        <w:rPr>
          <w:b/>
          <w:sz w:val="22"/>
          <w:szCs w:val="22"/>
        </w:rPr>
        <w:t xml:space="preserve">O2d. Strategy 2  Conduct  </w:t>
      </w:r>
      <w:r w:rsidR="00F0170C" w:rsidRPr="00A33BB7">
        <w:rPr>
          <w:b/>
          <w:sz w:val="22"/>
          <w:szCs w:val="22"/>
        </w:rPr>
        <w:t>p</w:t>
      </w:r>
      <w:r w:rsidRPr="00A33BB7">
        <w:rPr>
          <w:b/>
          <w:sz w:val="22"/>
          <w:szCs w:val="22"/>
        </w:rPr>
        <w:t>ublic and individual education for PLWH an</w:t>
      </w:r>
      <w:r w:rsidR="00F0170C" w:rsidRPr="00A33BB7">
        <w:rPr>
          <w:b/>
          <w:sz w:val="22"/>
          <w:szCs w:val="22"/>
        </w:rPr>
        <w:t>d newly diagnosed regarding STI</w:t>
      </w:r>
      <w:r w:rsidRPr="00A33BB7">
        <w:rPr>
          <w:b/>
          <w:sz w:val="22"/>
          <w:szCs w:val="22"/>
        </w:rPr>
        <w:t>s</w:t>
      </w:r>
    </w:p>
    <w:tbl>
      <w:tblPr>
        <w:tblStyle w:val="GridTable4-Accent2"/>
        <w:tblW w:w="5000" w:type="pct"/>
        <w:tblLook w:val="04A0" w:firstRow="1" w:lastRow="0" w:firstColumn="1" w:lastColumn="0" w:noHBand="0" w:noVBand="1"/>
      </w:tblPr>
      <w:tblGrid>
        <w:gridCol w:w="1125"/>
        <w:gridCol w:w="1218"/>
        <w:gridCol w:w="2443"/>
        <w:gridCol w:w="1173"/>
        <w:gridCol w:w="2042"/>
        <w:gridCol w:w="1349"/>
      </w:tblGrid>
      <w:tr w:rsidR="002810EC" w:rsidRPr="00A33BB7" w:rsidTr="00CF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pPr>
            <w:r w:rsidRPr="00A33BB7">
              <w:t>Timeframe</w:t>
            </w:r>
          </w:p>
        </w:tc>
        <w:tc>
          <w:tcPr>
            <w:tcW w:w="556"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Responsible Parties</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52"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Activity/Intervention</w:t>
            </w:r>
          </w:p>
        </w:tc>
        <w:tc>
          <w:tcPr>
            <w:tcW w:w="672"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Target Population</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137"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Resources needed to implement activity</w:t>
            </w:r>
          </w:p>
        </w:tc>
        <w:tc>
          <w:tcPr>
            <w:tcW w:w="764"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Metrics</w:t>
            </w:r>
          </w:p>
        </w:tc>
      </w:tr>
      <w:tr w:rsidR="002810EC" w:rsidRPr="00A33BB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2017-2018</w:t>
            </w:r>
          </w:p>
        </w:tc>
        <w:tc>
          <w:tcPr>
            <w:tcW w:w="55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Prevention with positives programs integrated into clinical care</w:t>
            </w:r>
          </w:p>
        </w:tc>
        <w:tc>
          <w:tcPr>
            <w:tcW w:w="67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PLWH</w:t>
            </w:r>
          </w:p>
        </w:tc>
        <w:tc>
          <w:tcPr>
            <w:tcW w:w="113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Education and implementation assistance to integrate into clinical care</w:t>
            </w:r>
          </w:p>
        </w:tc>
        <w:tc>
          <w:tcPr>
            <w:tcW w:w="76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programs implemented</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clients educated</w:t>
            </w:r>
          </w:p>
        </w:tc>
      </w:tr>
      <w:tr w:rsidR="002810EC" w:rsidRPr="00A33BB7" w:rsidTr="00CF4F3C">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2017-2018</w:t>
            </w:r>
          </w:p>
        </w:tc>
        <w:tc>
          <w:tcPr>
            <w:tcW w:w="55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5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Recommend that  EHR in all clinics includes sexual history and STI screenings</w:t>
            </w:r>
          </w:p>
        </w:tc>
        <w:tc>
          <w:tcPr>
            <w:tcW w:w="67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Clinics</w:t>
            </w:r>
          </w:p>
        </w:tc>
        <w:tc>
          <w:tcPr>
            <w:tcW w:w="1137"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IT support to update EHR programs (may be costly)</w:t>
            </w:r>
          </w:p>
        </w:tc>
        <w:tc>
          <w:tcPr>
            <w:tcW w:w="76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clinics implementing</w:t>
            </w:r>
          </w:p>
        </w:tc>
      </w:tr>
      <w:tr w:rsidR="002810EC" w:rsidRPr="00A33BB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2017-2021</w:t>
            </w:r>
          </w:p>
        </w:tc>
        <w:tc>
          <w:tcPr>
            <w:tcW w:w="55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xml:space="preserve">Expand risk reduction and health education for clients to include STIs and importance of screenings and when to get tested </w:t>
            </w:r>
          </w:p>
        </w:tc>
        <w:tc>
          <w:tcPr>
            <w:tcW w:w="67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PLWH</w:t>
            </w:r>
          </w:p>
        </w:tc>
        <w:tc>
          <w:tcPr>
            <w:tcW w:w="113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xml:space="preserve">Educational materials such as posters; training of clinic personnel to help with risk reduction topics; general educational events </w:t>
            </w:r>
          </w:p>
        </w:tc>
        <w:tc>
          <w:tcPr>
            <w:tcW w:w="76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clients educated</w:t>
            </w:r>
          </w:p>
        </w:tc>
      </w:tr>
    </w:tbl>
    <w:p w:rsidR="002810EC" w:rsidRPr="006F03A3" w:rsidRDefault="002810EC" w:rsidP="002810EC">
      <w:pPr>
        <w:spacing w:before="0" w:after="0"/>
        <w:rPr>
          <w:b/>
          <w:szCs w:val="22"/>
        </w:rPr>
      </w:pPr>
    </w:p>
    <w:p w:rsidR="00C659A9" w:rsidRDefault="00C659A9" w:rsidP="002810EC">
      <w:pPr>
        <w:spacing w:before="0" w:after="0"/>
        <w:rPr>
          <w:b/>
          <w:sz w:val="22"/>
          <w:szCs w:val="22"/>
        </w:rPr>
      </w:pPr>
    </w:p>
    <w:p w:rsidR="00C659A9" w:rsidRDefault="00C659A9" w:rsidP="002810EC">
      <w:pPr>
        <w:spacing w:before="0" w:after="0"/>
        <w:rPr>
          <w:b/>
          <w:sz w:val="22"/>
          <w:szCs w:val="22"/>
        </w:rPr>
      </w:pPr>
    </w:p>
    <w:p w:rsidR="00C659A9" w:rsidRDefault="00C659A9" w:rsidP="002810EC">
      <w:pPr>
        <w:spacing w:before="0" w:after="0"/>
        <w:rPr>
          <w:b/>
          <w:sz w:val="22"/>
          <w:szCs w:val="22"/>
        </w:rPr>
      </w:pPr>
    </w:p>
    <w:p w:rsidR="00C659A9" w:rsidRDefault="00C659A9" w:rsidP="002810EC">
      <w:pPr>
        <w:spacing w:before="0" w:after="0"/>
        <w:rPr>
          <w:b/>
          <w:sz w:val="22"/>
          <w:szCs w:val="22"/>
        </w:rPr>
      </w:pPr>
    </w:p>
    <w:p w:rsidR="00C659A9" w:rsidRDefault="00C659A9" w:rsidP="002810EC">
      <w:pPr>
        <w:spacing w:before="0" w:after="0"/>
        <w:rPr>
          <w:b/>
          <w:sz w:val="22"/>
          <w:szCs w:val="22"/>
        </w:rPr>
      </w:pPr>
    </w:p>
    <w:p w:rsidR="002810EC" w:rsidRPr="00A33BB7" w:rsidRDefault="002810EC" w:rsidP="002810EC">
      <w:pPr>
        <w:spacing w:before="0" w:after="0"/>
        <w:rPr>
          <w:b/>
          <w:sz w:val="22"/>
          <w:szCs w:val="22"/>
        </w:rPr>
      </w:pPr>
      <w:r w:rsidRPr="00A33BB7">
        <w:rPr>
          <w:b/>
          <w:sz w:val="22"/>
          <w:szCs w:val="22"/>
        </w:rPr>
        <w:lastRenderedPageBreak/>
        <w:t xml:space="preserve">O2d. Strategy 3   Develop quality control measures to improve clinical care and outcomes </w:t>
      </w:r>
    </w:p>
    <w:tbl>
      <w:tblPr>
        <w:tblStyle w:val="GridTable4-Accent2"/>
        <w:tblW w:w="5000" w:type="pct"/>
        <w:tblLook w:val="04A0" w:firstRow="1" w:lastRow="0" w:firstColumn="1" w:lastColumn="0" w:noHBand="0" w:noVBand="1"/>
      </w:tblPr>
      <w:tblGrid>
        <w:gridCol w:w="1125"/>
        <w:gridCol w:w="1218"/>
        <w:gridCol w:w="2444"/>
        <w:gridCol w:w="1174"/>
        <w:gridCol w:w="2043"/>
        <w:gridCol w:w="1346"/>
      </w:tblGrid>
      <w:tr w:rsidR="002810EC" w:rsidRPr="00A33BB7" w:rsidTr="00CF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pPr>
            <w:r w:rsidRPr="00A33BB7">
              <w:t>Timeframe</w:t>
            </w:r>
          </w:p>
        </w:tc>
        <w:tc>
          <w:tcPr>
            <w:tcW w:w="556"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Responsible Parties</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352"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Activity/Intervention</w:t>
            </w:r>
          </w:p>
        </w:tc>
        <w:tc>
          <w:tcPr>
            <w:tcW w:w="672"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Target Population</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137"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Resources needed to implement activity</w:t>
            </w:r>
          </w:p>
        </w:tc>
        <w:tc>
          <w:tcPr>
            <w:tcW w:w="764"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Metrics</w:t>
            </w:r>
          </w:p>
        </w:tc>
      </w:tr>
      <w:tr w:rsidR="002810EC" w:rsidRPr="00A33BB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2018-2019</w:t>
            </w:r>
          </w:p>
        </w:tc>
        <w:tc>
          <w:tcPr>
            <w:tcW w:w="55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Develop standardized assessment forms for all providers for all the assessments</w:t>
            </w:r>
          </w:p>
        </w:tc>
        <w:tc>
          <w:tcPr>
            <w:tcW w:w="67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Providers</w:t>
            </w:r>
          </w:p>
        </w:tc>
        <w:tc>
          <w:tcPr>
            <w:tcW w:w="113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Staff time</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Assessment forms</w:t>
            </w:r>
          </w:p>
        </w:tc>
        <w:tc>
          <w:tcPr>
            <w:tcW w:w="76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Assessment forms</w:t>
            </w:r>
          </w:p>
        </w:tc>
      </w:tr>
      <w:tr w:rsidR="002810EC" w:rsidRPr="00A33BB7" w:rsidTr="00CF4F3C">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2019</w:t>
            </w:r>
          </w:p>
        </w:tc>
        <w:tc>
          <w:tcPr>
            <w:tcW w:w="55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35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Use Quality management team to develop and train on use of forms</w:t>
            </w:r>
          </w:p>
        </w:tc>
        <w:tc>
          <w:tcPr>
            <w:tcW w:w="67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Providers</w:t>
            </w:r>
          </w:p>
        </w:tc>
        <w:tc>
          <w:tcPr>
            <w:tcW w:w="1137"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Staff time</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Training materials</w:t>
            </w:r>
          </w:p>
        </w:tc>
        <w:tc>
          <w:tcPr>
            <w:tcW w:w="76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providers trained</w:t>
            </w:r>
          </w:p>
        </w:tc>
      </w:tr>
      <w:tr w:rsidR="002810EC" w:rsidRPr="00A33BB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2019-2021</w:t>
            </w:r>
          </w:p>
        </w:tc>
        <w:tc>
          <w:tcPr>
            <w:tcW w:w="55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35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Establish baseline data and report on data annually</w:t>
            </w:r>
          </w:p>
        </w:tc>
        <w:tc>
          <w:tcPr>
            <w:tcW w:w="67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Clinics</w:t>
            </w:r>
          </w:p>
        </w:tc>
        <w:tc>
          <w:tcPr>
            <w:tcW w:w="113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Quality control data</w:t>
            </w:r>
          </w:p>
        </w:tc>
        <w:tc>
          <w:tcPr>
            <w:tcW w:w="76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Annual Report</w:t>
            </w:r>
          </w:p>
        </w:tc>
      </w:tr>
      <w:tr w:rsidR="002810EC" w:rsidRPr="00A33BB7" w:rsidTr="00CF4F3C">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2019-2021</w:t>
            </w:r>
          </w:p>
        </w:tc>
        <w:tc>
          <w:tcPr>
            <w:tcW w:w="55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Planning Councils</w:t>
            </w:r>
          </w:p>
        </w:tc>
        <w:tc>
          <w:tcPr>
            <w:tcW w:w="135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Disseminate the findings on a regular basis</w:t>
            </w:r>
          </w:p>
        </w:tc>
        <w:tc>
          <w:tcPr>
            <w:tcW w:w="672"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Providers and clinics</w:t>
            </w:r>
          </w:p>
        </w:tc>
        <w:tc>
          <w:tcPr>
            <w:tcW w:w="1137"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Routine communication </w:t>
            </w:r>
          </w:p>
        </w:tc>
        <w:tc>
          <w:tcPr>
            <w:tcW w:w="76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of providers receiving findings</w:t>
            </w:r>
          </w:p>
        </w:tc>
      </w:tr>
      <w:tr w:rsidR="002810EC" w:rsidRPr="00A33BB7" w:rsidTr="00CF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A33BB7" w:rsidRDefault="002810EC" w:rsidP="002810EC">
            <w:pPr>
              <w:spacing w:before="0"/>
              <w:rPr>
                <w:b w:val="0"/>
              </w:rPr>
            </w:pPr>
            <w:r w:rsidRPr="00A33BB7">
              <w:rPr>
                <w:b w:val="0"/>
              </w:rPr>
              <w:t>2020-2021</w:t>
            </w:r>
          </w:p>
        </w:tc>
        <w:tc>
          <w:tcPr>
            <w:tcW w:w="55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Planning Councils</w:t>
            </w:r>
          </w:p>
        </w:tc>
        <w:tc>
          <w:tcPr>
            <w:tcW w:w="135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Develop Quality improvement plans</w:t>
            </w:r>
          </w:p>
        </w:tc>
        <w:tc>
          <w:tcPr>
            <w:tcW w:w="672"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Providers and clinics</w:t>
            </w:r>
          </w:p>
        </w:tc>
        <w:tc>
          <w:tcPr>
            <w:tcW w:w="113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Staff time</w:t>
            </w:r>
          </w:p>
        </w:tc>
        <w:tc>
          <w:tcPr>
            <w:tcW w:w="76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QI plans</w:t>
            </w:r>
          </w:p>
        </w:tc>
      </w:tr>
    </w:tbl>
    <w:p w:rsidR="002810EC" w:rsidRPr="006F03A3" w:rsidRDefault="002810EC" w:rsidP="002810EC">
      <w:pPr>
        <w:spacing w:before="0" w:after="0"/>
        <w:rPr>
          <w:b/>
          <w:szCs w:val="22"/>
        </w:rPr>
      </w:pPr>
    </w:p>
    <w:p w:rsidR="002810EC" w:rsidRPr="00A33BB7" w:rsidRDefault="002810EC" w:rsidP="00B639CA">
      <w:pPr>
        <w:spacing w:before="0" w:after="0"/>
        <w:jc w:val="both"/>
        <w:rPr>
          <w:b/>
          <w:sz w:val="22"/>
          <w:szCs w:val="22"/>
        </w:rPr>
      </w:pPr>
      <w:r w:rsidRPr="00A33BB7">
        <w:rPr>
          <w:b/>
          <w:sz w:val="22"/>
          <w:szCs w:val="22"/>
        </w:rPr>
        <w:t xml:space="preserve">Objective 2e. By 2021, increase number of clinics screening for HIV associated comorbidities by 20%. </w:t>
      </w:r>
    </w:p>
    <w:p w:rsidR="002810EC" w:rsidRPr="00B639CA" w:rsidRDefault="002810EC" w:rsidP="00B639CA">
      <w:pPr>
        <w:spacing w:before="0" w:after="0"/>
        <w:jc w:val="both"/>
        <w:rPr>
          <w:sz w:val="22"/>
          <w:szCs w:val="22"/>
        </w:rPr>
      </w:pPr>
      <w:r w:rsidRPr="00B639CA">
        <w:rPr>
          <w:sz w:val="22"/>
          <w:szCs w:val="22"/>
        </w:rPr>
        <w:t xml:space="preserve">This objective addresses patients who are linked to care and who may therefore be amenable to education, support and services that will help them understand how common comorbidities will affect their health. Providers will have an education mandate but case managers, program navigators and others on the clinic team can support the use of evidence based treatment strategies and preventive actions.  Routine screening for common comorbidities is defined and supported by the US Preventative Services Task Force for all ages and should be incorporated in all primary care and addressed in all HIV infected persons. A broad approach to public education is also needed to support the understanding and acceptance of routine screening. </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 xml:space="preserve">Providers and clinics will need materials and information for patients and education for providers regarding the state’s disease epidemiology and ways to work with patients to increase </w:t>
      </w:r>
      <w:r w:rsidR="00B639CA" w:rsidRPr="00B639CA">
        <w:rPr>
          <w:sz w:val="22"/>
          <w:szCs w:val="22"/>
        </w:rPr>
        <w:t>knowledge and</w:t>
      </w:r>
      <w:r w:rsidRPr="00B639CA">
        <w:rPr>
          <w:sz w:val="22"/>
          <w:szCs w:val="22"/>
        </w:rPr>
        <w:t xml:space="preserve"> acceptance of screening and prevention practices.  Encouraging all clinics to conduct recommended screening for mental health, substance use, and chronic disease for all clients on an annual basis would assist in understanding the scope of the problems with co-morbidities and would help direct resources where they may be needed for care and prevention</w:t>
      </w:r>
      <w:r w:rsidR="00A33BB7">
        <w:rPr>
          <w:sz w:val="22"/>
          <w:szCs w:val="22"/>
        </w:rPr>
        <w:t xml:space="preserve">. </w:t>
      </w:r>
      <w:r w:rsidRPr="00B639CA">
        <w:rPr>
          <w:sz w:val="22"/>
          <w:szCs w:val="22"/>
        </w:rPr>
        <w:t>Achieving this objective requires PLWA to receive an educational message from their provider, to understand the need for screening, accept screening and to possess and implement tools for management.  Peer advocates can be helpful in getting the message out about their experienc</w:t>
      </w:r>
      <w:r w:rsidR="00A33BB7">
        <w:rPr>
          <w:sz w:val="22"/>
          <w:szCs w:val="22"/>
        </w:rPr>
        <w:t xml:space="preserve">es with conditions identified. </w:t>
      </w:r>
      <w:r w:rsidRPr="00B639CA">
        <w:rPr>
          <w:sz w:val="22"/>
          <w:szCs w:val="22"/>
        </w:rPr>
        <w:t xml:space="preserve">Public service messages can contribute to increased awareness about common co-morbidities that impact all populations but cause increased problems in HIV infected individuals. </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lastRenderedPageBreak/>
        <w:t>The client survey informs us that 69% of PLWH did not have any problem getting into medical care shortly after their diagnosis.  This would be a key time for clinical providers and for case managers to initiate discussions about conditions and diseases associated with HIV.  Behavioral health issues are common and many clients have determined that they have unaddressed needs. Routine screening for mental health issues is critical to improving their outcomes. Clients suggested that services could be provided with more educational /informational seminars and more public service announcements/messages.</w:t>
      </w:r>
    </w:p>
    <w:p w:rsidR="002810EC" w:rsidRPr="00B639CA" w:rsidRDefault="002810EC" w:rsidP="00B639CA">
      <w:pPr>
        <w:spacing w:before="0" w:after="0"/>
        <w:jc w:val="both"/>
        <w:rPr>
          <w:sz w:val="22"/>
          <w:szCs w:val="22"/>
        </w:rPr>
      </w:pPr>
    </w:p>
    <w:p w:rsidR="002810EC" w:rsidRPr="00B639CA" w:rsidRDefault="002810EC" w:rsidP="00B639CA">
      <w:pPr>
        <w:spacing w:before="0" w:after="0"/>
        <w:jc w:val="both"/>
        <w:rPr>
          <w:sz w:val="22"/>
          <w:szCs w:val="22"/>
        </w:rPr>
      </w:pPr>
      <w:r w:rsidRPr="00B639CA">
        <w:rPr>
          <w:sz w:val="22"/>
          <w:szCs w:val="22"/>
        </w:rPr>
        <w:t xml:space="preserve">The provider survey also uncovered some needs that include lack of access to behavioral health services. Stakeholders at the goal and objective planning meeting discussed the importance of addressing the “whole patient” during clinic encounters. They felt that screenings should be explained and offered routinely. Although substance abuse concerns may be difficult to admit, stakeholders felt it was very important for providers to ask. In </w:t>
      </w:r>
      <w:r w:rsidR="00B639CA" w:rsidRPr="00B639CA">
        <w:rPr>
          <w:sz w:val="22"/>
          <w:szCs w:val="22"/>
        </w:rPr>
        <w:t>addition,</w:t>
      </w:r>
      <w:r w:rsidRPr="00B639CA">
        <w:rPr>
          <w:sz w:val="22"/>
          <w:szCs w:val="22"/>
        </w:rPr>
        <w:t xml:space="preserve"> they felt that resources needed to be offered in conjunction with the screenings. Challenges include inadequate behavioral health and substance abuse resources to address findings of routine screenings (suicide excepted), patient concerns of finding out they have a chronic disease, and stigmatization of having chronic diseases.</w:t>
      </w:r>
      <w:r w:rsidR="00A33BB7">
        <w:rPr>
          <w:sz w:val="22"/>
          <w:szCs w:val="22"/>
        </w:rPr>
        <w:t xml:space="preserve"> </w:t>
      </w:r>
      <w:r w:rsidRPr="00B639CA">
        <w:rPr>
          <w:sz w:val="22"/>
          <w:szCs w:val="22"/>
        </w:rPr>
        <w:t xml:space="preserve">Strategies and activities to support and approach the goal of increasing the identification of comorbidities in patients with HIV are in the areas of routine screening, education and quality improvement activities. </w:t>
      </w:r>
    </w:p>
    <w:p w:rsidR="002810EC" w:rsidRPr="006F03A3" w:rsidRDefault="002810EC" w:rsidP="002810EC">
      <w:pPr>
        <w:spacing w:before="0" w:after="0"/>
        <w:rPr>
          <w:b/>
          <w:szCs w:val="22"/>
        </w:rPr>
      </w:pPr>
    </w:p>
    <w:p w:rsidR="002810EC" w:rsidRPr="00A33BB7" w:rsidRDefault="002810EC" w:rsidP="002810EC">
      <w:pPr>
        <w:spacing w:before="0" w:after="0"/>
        <w:rPr>
          <w:b/>
          <w:sz w:val="22"/>
          <w:szCs w:val="22"/>
        </w:rPr>
      </w:pPr>
      <w:r w:rsidRPr="00A33BB7">
        <w:rPr>
          <w:b/>
          <w:sz w:val="22"/>
          <w:szCs w:val="22"/>
        </w:rPr>
        <w:t>O2e. Strategy 1   Conduct Provider education and recommendations regarding routine screenings for comorbidities</w:t>
      </w:r>
    </w:p>
    <w:tbl>
      <w:tblPr>
        <w:tblStyle w:val="GridTable4-Accent2"/>
        <w:tblW w:w="5000" w:type="pct"/>
        <w:tblLook w:val="04A0" w:firstRow="1" w:lastRow="0" w:firstColumn="1" w:lastColumn="0" w:noHBand="0" w:noVBand="1"/>
      </w:tblPr>
      <w:tblGrid>
        <w:gridCol w:w="1125"/>
        <w:gridCol w:w="1218"/>
        <w:gridCol w:w="3320"/>
        <w:gridCol w:w="1167"/>
        <w:gridCol w:w="1171"/>
        <w:gridCol w:w="1349"/>
      </w:tblGrid>
      <w:tr w:rsidR="00C659A9" w:rsidRPr="00A33BB7" w:rsidTr="00C6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pPr>
            <w:r w:rsidRPr="00A33BB7">
              <w:t>Timeframe</w:t>
            </w:r>
          </w:p>
        </w:tc>
        <w:tc>
          <w:tcPr>
            <w:tcW w:w="651"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Responsible Parties</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776"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Activity/Intervention</w:t>
            </w:r>
          </w:p>
        </w:tc>
        <w:tc>
          <w:tcPr>
            <w:tcW w:w="624"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Target Population</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626"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Resources needed to implement activity</w:t>
            </w:r>
          </w:p>
        </w:tc>
        <w:tc>
          <w:tcPr>
            <w:tcW w:w="721"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Metrics</w:t>
            </w:r>
          </w:p>
        </w:tc>
      </w:tr>
      <w:tr w:rsidR="00C659A9"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2017-2018</w:t>
            </w:r>
          </w:p>
        </w:tc>
        <w:tc>
          <w:tcPr>
            <w:tcW w:w="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tc>
        <w:tc>
          <w:tcPr>
            <w:tcW w:w="177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Gather baseline data from HIV care clinics regarding current practices for MH, SA and chronic disease screenings</w:t>
            </w:r>
          </w:p>
        </w:tc>
        <w:tc>
          <w:tcPr>
            <w:tcW w:w="62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HIV Care Clinics</w:t>
            </w:r>
          </w:p>
        </w:tc>
        <w:tc>
          <w:tcPr>
            <w:tcW w:w="62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Survey, interview protocol</w:t>
            </w:r>
          </w:p>
        </w:tc>
        <w:tc>
          <w:tcPr>
            <w:tcW w:w="72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of clinics with screening practices</w:t>
            </w:r>
          </w:p>
        </w:tc>
      </w:tr>
      <w:tr w:rsidR="00C659A9" w:rsidRPr="00A33BB7"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w:t>
            </w:r>
          </w:p>
        </w:tc>
        <w:tc>
          <w:tcPr>
            <w:tcW w:w="6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77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Recommend that HIV care clinics have plans in place for routine MH and SA assessments with HIV clients</w:t>
            </w:r>
          </w:p>
        </w:tc>
        <w:tc>
          <w:tcPr>
            <w:tcW w:w="62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HIV Care Clinics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PLWH</w:t>
            </w:r>
          </w:p>
        </w:tc>
        <w:tc>
          <w:tcPr>
            <w:tcW w:w="62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Policies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Educational Materials</w:t>
            </w:r>
          </w:p>
        </w:tc>
        <w:tc>
          <w:tcPr>
            <w:tcW w:w="72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clinics implementing</w:t>
            </w:r>
          </w:p>
        </w:tc>
      </w:tr>
      <w:tr w:rsidR="00C659A9"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w:t>
            </w:r>
          </w:p>
        </w:tc>
        <w:tc>
          <w:tcPr>
            <w:tcW w:w="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77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Recommend that HIV care clinics have plans in place for routine assessments for chronic disease with HIV clients</w:t>
            </w:r>
          </w:p>
        </w:tc>
        <w:tc>
          <w:tcPr>
            <w:tcW w:w="62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HIV Care Clinics</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PLWH</w:t>
            </w:r>
          </w:p>
        </w:tc>
        <w:tc>
          <w:tcPr>
            <w:tcW w:w="62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Policies</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Educational Materials</w:t>
            </w:r>
          </w:p>
        </w:tc>
        <w:tc>
          <w:tcPr>
            <w:tcW w:w="72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clinics implementing</w:t>
            </w:r>
          </w:p>
        </w:tc>
      </w:tr>
      <w:tr w:rsidR="00C659A9" w:rsidRPr="00A33BB7"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2018-2019</w:t>
            </w:r>
          </w:p>
        </w:tc>
        <w:tc>
          <w:tcPr>
            <w:tcW w:w="6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77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Develop resource guide for providers. (providers who specialize in chronic disease, mental health, and substance abuse including email for consults and referral)</w:t>
            </w:r>
          </w:p>
        </w:tc>
        <w:tc>
          <w:tcPr>
            <w:tcW w:w="62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HIV Care Clinics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PLWH</w:t>
            </w:r>
          </w:p>
        </w:tc>
        <w:tc>
          <w:tcPr>
            <w:tcW w:w="62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Data on resources available</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72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Resource guides accessed</w:t>
            </w:r>
          </w:p>
        </w:tc>
      </w:tr>
      <w:tr w:rsidR="00C659A9"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2109-2020</w:t>
            </w:r>
          </w:p>
        </w:tc>
        <w:tc>
          <w:tcPr>
            <w:tcW w:w="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019C8" w:rsidP="002810EC">
            <w:pPr>
              <w:spacing w:before="0"/>
              <w:cnfStyle w:val="000000100000" w:firstRow="0" w:lastRow="0" w:firstColumn="0" w:lastColumn="0" w:oddVBand="0" w:evenVBand="0" w:oddHBand="1" w:evenHBand="0" w:firstRowFirstColumn="0" w:firstRowLastColumn="0" w:lastRowFirstColumn="0" w:lastRowLastColumn="0"/>
            </w:pPr>
            <w:r>
              <w:t>ND</w:t>
            </w:r>
            <w:r w:rsidR="002810EC" w:rsidRPr="00A33BB7">
              <w:t>BPH</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Center for Excellence</w:t>
            </w:r>
          </w:p>
        </w:tc>
        <w:tc>
          <w:tcPr>
            <w:tcW w:w="177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Provide outreach to all providers (including private) re routine screening and education for chronic disease, mental health, and substance abuse and specific concerns as co-morbidities with HIV</w:t>
            </w:r>
          </w:p>
        </w:tc>
        <w:tc>
          <w:tcPr>
            <w:tcW w:w="62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HIV Care Clinics</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PLWH</w:t>
            </w:r>
          </w:p>
        </w:tc>
        <w:tc>
          <w:tcPr>
            <w:tcW w:w="62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Staff time</w:t>
            </w:r>
          </w:p>
        </w:tc>
        <w:tc>
          <w:tcPr>
            <w:tcW w:w="72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providers reached</w:t>
            </w:r>
          </w:p>
        </w:tc>
      </w:tr>
    </w:tbl>
    <w:p w:rsidR="002810EC" w:rsidRPr="006F03A3" w:rsidRDefault="002810EC" w:rsidP="002810EC">
      <w:pPr>
        <w:spacing w:before="0" w:after="0"/>
        <w:rPr>
          <w:b/>
          <w:szCs w:val="22"/>
        </w:rPr>
      </w:pPr>
    </w:p>
    <w:p w:rsidR="002810EC" w:rsidRPr="00A33BB7" w:rsidRDefault="002810EC" w:rsidP="002810EC">
      <w:pPr>
        <w:spacing w:before="0" w:after="0"/>
        <w:rPr>
          <w:b/>
          <w:sz w:val="22"/>
          <w:szCs w:val="22"/>
        </w:rPr>
      </w:pPr>
      <w:r w:rsidRPr="00A33BB7">
        <w:rPr>
          <w:b/>
          <w:sz w:val="22"/>
          <w:szCs w:val="22"/>
        </w:rPr>
        <w:lastRenderedPageBreak/>
        <w:t>O2e. Strategy 2   Conduct Public and individual education for PLWH and newly diagnosed regarding common HIV comorbidities</w:t>
      </w:r>
    </w:p>
    <w:tbl>
      <w:tblPr>
        <w:tblStyle w:val="GridTable4-Accent2"/>
        <w:tblW w:w="5000" w:type="pct"/>
        <w:tblLayout w:type="fixed"/>
        <w:tblLook w:val="04A0" w:firstRow="1" w:lastRow="0" w:firstColumn="1" w:lastColumn="0" w:noHBand="0" w:noVBand="1"/>
      </w:tblPr>
      <w:tblGrid>
        <w:gridCol w:w="1127"/>
        <w:gridCol w:w="1298"/>
        <w:gridCol w:w="3241"/>
        <w:gridCol w:w="1169"/>
        <w:gridCol w:w="1167"/>
        <w:gridCol w:w="1348"/>
      </w:tblGrid>
      <w:tr w:rsidR="002810EC" w:rsidRPr="00A33BB7" w:rsidTr="00C6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Pr>
          <w:p w:rsidR="002810EC" w:rsidRPr="00A33BB7" w:rsidRDefault="002810EC" w:rsidP="002810EC">
            <w:pPr>
              <w:spacing w:before="0"/>
            </w:pPr>
            <w:r w:rsidRPr="00A33BB7">
              <w:t>Timeframe</w:t>
            </w:r>
          </w:p>
        </w:tc>
        <w:tc>
          <w:tcPr>
            <w:tcW w:w="694"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Responsible Parties</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733"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Activity/Intervention</w:t>
            </w:r>
          </w:p>
        </w:tc>
        <w:tc>
          <w:tcPr>
            <w:tcW w:w="625"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Target Population</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624"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Resources needed to implement activity</w:t>
            </w:r>
          </w:p>
        </w:tc>
        <w:tc>
          <w:tcPr>
            <w:tcW w:w="721"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Metrics</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Pr>
          <w:p w:rsidR="002810EC" w:rsidRPr="00A33BB7" w:rsidRDefault="002810EC" w:rsidP="002810EC">
            <w:pPr>
              <w:spacing w:before="0"/>
              <w:rPr>
                <w:b w:val="0"/>
              </w:rPr>
            </w:pPr>
            <w:r w:rsidRPr="00A33BB7">
              <w:rPr>
                <w:b w:val="0"/>
              </w:rPr>
              <w:t>2019</w:t>
            </w:r>
          </w:p>
        </w:tc>
        <w:tc>
          <w:tcPr>
            <w:tcW w:w="69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733"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Recommend that  EHR in all clinics includes  routine screening and MH, SA and chronic disease  assessments</w:t>
            </w:r>
          </w:p>
        </w:tc>
        <w:tc>
          <w:tcPr>
            <w:tcW w:w="62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Clinics</w:t>
            </w:r>
          </w:p>
        </w:tc>
        <w:tc>
          <w:tcPr>
            <w:tcW w:w="62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Reprogramming of EHRs</w:t>
            </w:r>
          </w:p>
        </w:tc>
        <w:tc>
          <w:tcPr>
            <w:tcW w:w="72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clinics implementing</w:t>
            </w:r>
          </w:p>
        </w:tc>
      </w:tr>
      <w:tr w:rsidR="002810EC" w:rsidRPr="00A33BB7" w:rsidTr="00C659A9">
        <w:tc>
          <w:tcPr>
            <w:cnfStyle w:val="001000000000" w:firstRow="0" w:lastRow="0" w:firstColumn="1" w:lastColumn="0" w:oddVBand="0" w:evenVBand="0" w:oddHBand="0" w:evenHBand="0" w:firstRowFirstColumn="0" w:firstRowLastColumn="0" w:lastRowFirstColumn="0" w:lastRowLastColumn="0"/>
            <w:tcW w:w="603" w:type="pct"/>
          </w:tcPr>
          <w:p w:rsidR="002810EC" w:rsidRPr="00A33BB7" w:rsidRDefault="002810EC" w:rsidP="002810EC">
            <w:pPr>
              <w:spacing w:before="0"/>
              <w:rPr>
                <w:b w:val="0"/>
              </w:rPr>
            </w:pPr>
            <w:r w:rsidRPr="00A33BB7">
              <w:rPr>
                <w:b w:val="0"/>
              </w:rPr>
              <w:t>2019-2021</w:t>
            </w:r>
          </w:p>
        </w:tc>
        <w:tc>
          <w:tcPr>
            <w:tcW w:w="69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1733"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Expand health education for clients to include different comorbidities and importance of routine screenings </w:t>
            </w:r>
          </w:p>
        </w:tc>
        <w:tc>
          <w:tcPr>
            <w:tcW w:w="625"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PLWH</w:t>
            </w:r>
          </w:p>
        </w:tc>
        <w:tc>
          <w:tcPr>
            <w:tcW w:w="624"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Health Educator/materials</w:t>
            </w:r>
          </w:p>
        </w:tc>
        <w:tc>
          <w:tcPr>
            <w:tcW w:w="72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clients educated</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Pr>
          <w:p w:rsidR="002810EC" w:rsidRPr="00A33BB7" w:rsidRDefault="002810EC" w:rsidP="002810EC">
            <w:pPr>
              <w:spacing w:before="0"/>
              <w:rPr>
                <w:b w:val="0"/>
              </w:rPr>
            </w:pPr>
            <w:r w:rsidRPr="00A33BB7">
              <w:rPr>
                <w:b w:val="0"/>
              </w:rPr>
              <w:t>2019-2021</w:t>
            </w:r>
          </w:p>
        </w:tc>
        <w:tc>
          <w:tcPr>
            <w:tcW w:w="69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NAETC</w:t>
            </w:r>
          </w:p>
        </w:tc>
        <w:tc>
          <w:tcPr>
            <w:tcW w:w="1733"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Provide education for providers to  assist them in providing good individual or group education</w:t>
            </w:r>
          </w:p>
        </w:tc>
        <w:tc>
          <w:tcPr>
            <w:tcW w:w="62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Clinics/providers</w:t>
            </w:r>
          </w:p>
        </w:tc>
        <w:tc>
          <w:tcPr>
            <w:tcW w:w="624"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materials</w:t>
            </w:r>
          </w:p>
        </w:tc>
        <w:tc>
          <w:tcPr>
            <w:tcW w:w="72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providers educated</w:t>
            </w:r>
          </w:p>
        </w:tc>
      </w:tr>
    </w:tbl>
    <w:p w:rsidR="002810EC" w:rsidRPr="006F03A3" w:rsidRDefault="002810EC" w:rsidP="002810EC">
      <w:pPr>
        <w:spacing w:before="0" w:after="0"/>
        <w:rPr>
          <w:b/>
          <w:szCs w:val="22"/>
        </w:rPr>
      </w:pPr>
    </w:p>
    <w:p w:rsidR="002810EC" w:rsidRPr="00A33BB7" w:rsidRDefault="002810EC" w:rsidP="002810EC">
      <w:pPr>
        <w:spacing w:before="0" w:after="0"/>
        <w:rPr>
          <w:b/>
          <w:sz w:val="22"/>
          <w:szCs w:val="22"/>
        </w:rPr>
      </w:pPr>
      <w:r w:rsidRPr="00A33BB7">
        <w:rPr>
          <w:b/>
          <w:sz w:val="22"/>
          <w:szCs w:val="22"/>
        </w:rPr>
        <w:t xml:space="preserve">O2e. Strategy 3   Develop quality control measures to improve clinical care and outcomes </w:t>
      </w:r>
    </w:p>
    <w:tbl>
      <w:tblPr>
        <w:tblStyle w:val="GridTable4-Accent2"/>
        <w:tblW w:w="5000" w:type="pct"/>
        <w:tblLook w:val="04A0" w:firstRow="1" w:lastRow="0" w:firstColumn="1" w:lastColumn="0" w:noHBand="0" w:noVBand="1"/>
      </w:tblPr>
      <w:tblGrid>
        <w:gridCol w:w="1125"/>
        <w:gridCol w:w="1218"/>
        <w:gridCol w:w="2948"/>
        <w:gridCol w:w="1335"/>
        <w:gridCol w:w="1486"/>
        <w:gridCol w:w="1238"/>
      </w:tblGrid>
      <w:tr w:rsidR="002810EC" w:rsidRPr="00A33BB7" w:rsidTr="00C6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pPr>
            <w:r w:rsidRPr="00A33BB7">
              <w:t>Timeframe</w:t>
            </w:r>
          </w:p>
        </w:tc>
        <w:tc>
          <w:tcPr>
            <w:tcW w:w="651"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Responsible Parties</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651"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Activity/Intervention</w:t>
            </w:r>
          </w:p>
        </w:tc>
        <w:tc>
          <w:tcPr>
            <w:tcW w:w="751"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Target Population</w:t>
            </w:r>
          </w:p>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646"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Resources needed to implement activity</w:t>
            </w:r>
          </w:p>
        </w:tc>
        <w:tc>
          <w:tcPr>
            <w:tcW w:w="699"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Metrics</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2018-2019</w:t>
            </w:r>
          </w:p>
        </w:tc>
        <w:tc>
          <w:tcPr>
            <w:tcW w:w="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A33BB7" w:rsidP="002810EC">
            <w:pPr>
              <w:spacing w:before="0"/>
              <w:cnfStyle w:val="000000100000" w:firstRow="0" w:lastRow="0" w:firstColumn="0" w:lastColumn="0" w:oddVBand="0" w:evenVBand="0" w:oddHBand="1" w:evenHBand="0" w:firstRowFirstColumn="0" w:firstRowLastColumn="0" w:lastRowFirstColumn="0" w:lastRowLastColumn="0"/>
            </w:pPr>
            <w:r>
              <w:t>RWPB</w:t>
            </w:r>
          </w:p>
        </w:tc>
        <w:tc>
          <w:tcPr>
            <w:tcW w:w="1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Develop standardized assessment forms for all providers for all the assessments</w:t>
            </w:r>
          </w:p>
        </w:tc>
        <w:tc>
          <w:tcPr>
            <w:tcW w:w="7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Providers</w:t>
            </w:r>
          </w:p>
        </w:tc>
        <w:tc>
          <w:tcPr>
            <w:tcW w:w="64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Staff time</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Assessment forms</w:t>
            </w:r>
          </w:p>
        </w:tc>
        <w:tc>
          <w:tcPr>
            <w:tcW w:w="699"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Assessment forms</w:t>
            </w:r>
          </w:p>
        </w:tc>
      </w:tr>
      <w:tr w:rsidR="002810EC" w:rsidRPr="00A33BB7"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2019</w:t>
            </w:r>
          </w:p>
        </w:tc>
        <w:tc>
          <w:tcPr>
            <w:tcW w:w="6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A33BB7" w:rsidP="002810EC">
            <w:pPr>
              <w:spacing w:before="0"/>
              <w:cnfStyle w:val="000000000000" w:firstRow="0" w:lastRow="0" w:firstColumn="0" w:lastColumn="0" w:oddVBand="0" w:evenVBand="0" w:oddHBand="0" w:evenHBand="0" w:firstRowFirstColumn="0" w:firstRowLastColumn="0" w:lastRowFirstColumn="0" w:lastRowLastColumn="0"/>
            </w:pPr>
            <w:r>
              <w:t>RWPB</w:t>
            </w:r>
          </w:p>
        </w:tc>
        <w:tc>
          <w:tcPr>
            <w:tcW w:w="16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Use Quality management team to develop and train on use of forms</w:t>
            </w:r>
          </w:p>
        </w:tc>
        <w:tc>
          <w:tcPr>
            <w:tcW w:w="7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Providers</w:t>
            </w:r>
          </w:p>
        </w:tc>
        <w:tc>
          <w:tcPr>
            <w:tcW w:w="64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Staff time</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Training materials</w:t>
            </w:r>
          </w:p>
        </w:tc>
        <w:tc>
          <w:tcPr>
            <w:tcW w:w="699"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providers trained</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2019-2021</w:t>
            </w:r>
          </w:p>
        </w:tc>
        <w:tc>
          <w:tcPr>
            <w:tcW w:w="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A33BB7" w:rsidP="002810EC">
            <w:pPr>
              <w:spacing w:before="0"/>
              <w:cnfStyle w:val="000000100000" w:firstRow="0" w:lastRow="0" w:firstColumn="0" w:lastColumn="0" w:oddVBand="0" w:evenVBand="0" w:oddHBand="1" w:evenHBand="0" w:firstRowFirstColumn="0" w:firstRowLastColumn="0" w:lastRowFirstColumn="0" w:lastRowLastColumn="0"/>
            </w:pPr>
            <w:r>
              <w:t>RWPB</w:t>
            </w:r>
          </w:p>
        </w:tc>
        <w:tc>
          <w:tcPr>
            <w:tcW w:w="1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Establish baseline data and report on data annually</w:t>
            </w:r>
          </w:p>
        </w:tc>
        <w:tc>
          <w:tcPr>
            <w:tcW w:w="7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64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Quality control data</w:t>
            </w:r>
          </w:p>
        </w:tc>
        <w:tc>
          <w:tcPr>
            <w:tcW w:w="699"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Annual Report</w:t>
            </w:r>
          </w:p>
        </w:tc>
      </w:tr>
      <w:tr w:rsidR="002810EC" w:rsidRPr="00A33BB7"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2019-2021</w:t>
            </w:r>
          </w:p>
        </w:tc>
        <w:tc>
          <w:tcPr>
            <w:tcW w:w="6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RWPA</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Planning Councils</w:t>
            </w:r>
          </w:p>
        </w:tc>
        <w:tc>
          <w:tcPr>
            <w:tcW w:w="16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Disseminate the findings on a regular basis</w:t>
            </w:r>
          </w:p>
        </w:tc>
        <w:tc>
          <w:tcPr>
            <w:tcW w:w="751"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Providers</w:t>
            </w:r>
          </w:p>
        </w:tc>
        <w:tc>
          <w:tcPr>
            <w:tcW w:w="646"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Routine communication </w:t>
            </w:r>
          </w:p>
        </w:tc>
        <w:tc>
          <w:tcPr>
            <w:tcW w:w="699"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of providers receiving findings</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2020-2021</w:t>
            </w:r>
          </w:p>
        </w:tc>
        <w:tc>
          <w:tcPr>
            <w:tcW w:w="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RWPA</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Planning Councils</w:t>
            </w:r>
          </w:p>
        </w:tc>
        <w:tc>
          <w:tcPr>
            <w:tcW w:w="16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Develop Quality improvement plans</w:t>
            </w:r>
          </w:p>
        </w:tc>
        <w:tc>
          <w:tcPr>
            <w:tcW w:w="751"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Providers</w:t>
            </w:r>
          </w:p>
        </w:tc>
        <w:tc>
          <w:tcPr>
            <w:tcW w:w="646"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Staff time</w:t>
            </w:r>
          </w:p>
        </w:tc>
        <w:tc>
          <w:tcPr>
            <w:tcW w:w="699"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QI plans</w:t>
            </w:r>
          </w:p>
        </w:tc>
      </w:tr>
    </w:tbl>
    <w:p w:rsidR="002810EC" w:rsidRPr="006F03A3" w:rsidRDefault="002810EC" w:rsidP="002810EC">
      <w:pPr>
        <w:spacing w:before="0" w:after="0"/>
        <w:rPr>
          <w:b/>
          <w:szCs w:val="22"/>
        </w:rPr>
      </w:pPr>
    </w:p>
    <w:p w:rsidR="00A33BB7" w:rsidRDefault="00A33BB7" w:rsidP="002810EC">
      <w:pPr>
        <w:spacing w:before="0" w:after="0"/>
        <w:rPr>
          <w:b/>
          <w:sz w:val="22"/>
        </w:rPr>
      </w:pPr>
    </w:p>
    <w:p w:rsidR="00A33BB7" w:rsidRDefault="00A33BB7" w:rsidP="002810EC">
      <w:pPr>
        <w:spacing w:before="0" w:after="0"/>
        <w:rPr>
          <w:b/>
          <w:sz w:val="22"/>
        </w:rPr>
      </w:pPr>
    </w:p>
    <w:p w:rsidR="00C659A9" w:rsidRDefault="00C659A9" w:rsidP="002810EC">
      <w:pPr>
        <w:spacing w:before="0" w:after="0"/>
        <w:rPr>
          <w:b/>
          <w:sz w:val="22"/>
        </w:rPr>
      </w:pPr>
    </w:p>
    <w:p w:rsidR="00C659A9" w:rsidRDefault="00C659A9" w:rsidP="002810EC">
      <w:pPr>
        <w:spacing w:before="0" w:after="0"/>
        <w:rPr>
          <w:b/>
          <w:sz w:val="22"/>
        </w:rPr>
      </w:pPr>
    </w:p>
    <w:p w:rsidR="00C659A9" w:rsidRDefault="00C659A9" w:rsidP="002810EC">
      <w:pPr>
        <w:spacing w:before="0" w:after="0"/>
        <w:rPr>
          <w:b/>
          <w:sz w:val="22"/>
        </w:rPr>
      </w:pPr>
    </w:p>
    <w:p w:rsidR="00C659A9" w:rsidRDefault="00C659A9" w:rsidP="002810EC">
      <w:pPr>
        <w:spacing w:before="0" w:after="0"/>
        <w:rPr>
          <w:b/>
          <w:sz w:val="22"/>
        </w:rPr>
      </w:pPr>
    </w:p>
    <w:p w:rsidR="00C659A9" w:rsidRDefault="00C659A9" w:rsidP="002810EC">
      <w:pPr>
        <w:spacing w:before="0" w:after="0"/>
        <w:rPr>
          <w:b/>
          <w:sz w:val="22"/>
        </w:rPr>
      </w:pPr>
    </w:p>
    <w:p w:rsidR="00A33BB7" w:rsidRDefault="00A33BB7" w:rsidP="002810EC">
      <w:pPr>
        <w:spacing w:before="0" w:after="0"/>
        <w:rPr>
          <w:b/>
          <w:sz w:val="22"/>
        </w:rPr>
      </w:pPr>
    </w:p>
    <w:p w:rsidR="002810EC" w:rsidRPr="00B639CA" w:rsidRDefault="002810EC" w:rsidP="00E434EF">
      <w:pPr>
        <w:pStyle w:val="Heading3"/>
      </w:pPr>
      <w:bookmarkStart w:id="53" w:name="_Toc461188596"/>
      <w:r w:rsidRPr="00B639CA">
        <w:lastRenderedPageBreak/>
        <w:t>Goal 3: Reducing HIV related disparities and health inequities</w:t>
      </w:r>
      <w:bookmarkEnd w:id="53"/>
    </w:p>
    <w:p w:rsidR="008C5291" w:rsidRDefault="008C5291" w:rsidP="00B639CA">
      <w:pPr>
        <w:spacing w:before="0" w:after="0"/>
        <w:jc w:val="both"/>
        <w:rPr>
          <w:b/>
          <w:sz w:val="22"/>
          <w:szCs w:val="22"/>
        </w:rPr>
      </w:pPr>
    </w:p>
    <w:p w:rsidR="002810EC" w:rsidRPr="00B639CA" w:rsidRDefault="002810EC" w:rsidP="00B639CA">
      <w:pPr>
        <w:spacing w:before="0" w:after="0"/>
        <w:jc w:val="both"/>
        <w:rPr>
          <w:b/>
          <w:sz w:val="22"/>
          <w:szCs w:val="22"/>
        </w:rPr>
      </w:pPr>
      <w:r w:rsidRPr="00B639CA">
        <w:rPr>
          <w:b/>
          <w:sz w:val="22"/>
          <w:szCs w:val="22"/>
        </w:rPr>
        <w:t>Objective 3a. By 2021, reduce disparities in the rate of new diagnoses by at least 15 percent among Nevada’s priority populations.</w:t>
      </w:r>
    </w:p>
    <w:p w:rsidR="002810EC" w:rsidRPr="00B639CA" w:rsidRDefault="002810EC" w:rsidP="00DA78EE">
      <w:pPr>
        <w:pStyle w:val="NoSpacing"/>
        <w:spacing w:line="276" w:lineRule="auto"/>
        <w:jc w:val="both"/>
        <w:rPr>
          <w:rFonts w:cs="Arial"/>
          <w:sz w:val="22"/>
          <w:szCs w:val="22"/>
        </w:rPr>
      </w:pPr>
      <w:r w:rsidRPr="00B639CA">
        <w:rPr>
          <w:rFonts w:cs="Arial"/>
          <w:sz w:val="22"/>
          <w:szCs w:val="22"/>
        </w:rPr>
        <w:t>This objective addresses the need to provide targeted HIV prevention information to Nevada’s priority populations to reduce new HIV infections in communities and groups experiencing the highest rates of new HIV infections.  Information provided at the Stakeholder meeting indicated that higher rates of new infections may be due to a lack of basic knowledge about how HIV is transmitted, who is at risk, and how to prevent getting infected.  The Stakeholders stressed the need to provide group specific messages tailored to make the information culturally relevant and readily available. Suggestions included being sure to provide information in Spanish and be proactive in taking education out to communities.  Proactive “listening sessions” where public health workers go out to the communities will be used to find out what people know or believe about HIV, what they know about testing, about barriers to testing, and about motivators to get tested, etc.  The listening session method may be more effective with individuals from communities or groups that experience stigma, prejudice and health disparities.  It is done with humility and does not rely on individuals to come to a focus group or public meeting, and it should therefore provide rich information to use for tailoring educational messages.  The public health “listeners” will need training in this method to be able to present themselves in a way that people will trust them and feel comfortable talking with them. They will need to learn to be excellent listeners so that they can truly capture the essence of what people are saying.  Listening sessions will be conducted to help guide content and gather information about locations, methods, spokespersons, format, etc. for delivering messages.  It is probable that multiple different messages will need to be crafted and that there won’t be a “one size fits all” HIV prevention message for different communities, different genders, and different ethnic groups.</w:t>
      </w:r>
    </w:p>
    <w:p w:rsidR="002810EC" w:rsidRPr="00B639CA" w:rsidRDefault="002810EC" w:rsidP="00B639CA">
      <w:pPr>
        <w:pStyle w:val="NoSpacing"/>
        <w:jc w:val="both"/>
        <w:rPr>
          <w:rFonts w:cs="Arial"/>
          <w:sz w:val="22"/>
          <w:szCs w:val="22"/>
        </w:rPr>
      </w:pPr>
    </w:p>
    <w:p w:rsidR="002810EC" w:rsidRPr="00B639CA" w:rsidRDefault="002810EC" w:rsidP="00DA78EE">
      <w:pPr>
        <w:pStyle w:val="NoSpacing"/>
        <w:spacing w:line="276" w:lineRule="auto"/>
        <w:jc w:val="both"/>
        <w:rPr>
          <w:rFonts w:cs="Arial"/>
          <w:sz w:val="22"/>
          <w:szCs w:val="22"/>
        </w:rPr>
      </w:pPr>
      <w:r w:rsidRPr="00B639CA">
        <w:rPr>
          <w:rFonts w:cs="Arial"/>
          <w:sz w:val="22"/>
          <w:szCs w:val="22"/>
        </w:rPr>
        <w:t xml:space="preserve">The strategies for this objective also recognize that much may already have been learned by other public health programs that could be helpful in delivering educational messages to priority groups.  Therefore, efforts will be made to search the literature to see what may be adapted for this purpose. The educational outreach efforts will require expertise public health, HIV prevention, cultural competency, health literacy, advertising, and media.  The support of respected community organizations in the priority population communities will also be essential.  As with any educational effort, it will need to be evaluated. Evaluation strategies will include a second round of listening sessions to see if the messages were noticed, heard, understood, and if they resulted in any behavioral changes.  Messages or delivery methods or locations that were not effective will need to be retooled. Ultimately, the effectiveness of the messages will be evaluated by comparing the percent change in number of new HIV infections from baseline in each of the priority populations. </w:t>
      </w:r>
    </w:p>
    <w:p w:rsidR="002810EC" w:rsidRPr="00B639CA" w:rsidRDefault="002810EC" w:rsidP="002810EC">
      <w:pPr>
        <w:pStyle w:val="NoSpacing"/>
        <w:rPr>
          <w:rFonts w:ascii="Arial" w:hAnsi="Arial" w:cs="Arial"/>
          <w:sz w:val="22"/>
          <w:szCs w:val="22"/>
        </w:rPr>
      </w:pPr>
    </w:p>
    <w:p w:rsidR="00A33BB7" w:rsidRDefault="00A33BB7" w:rsidP="002810EC">
      <w:pPr>
        <w:spacing w:before="0" w:after="0"/>
        <w:rPr>
          <w:b/>
          <w:sz w:val="22"/>
          <w:szCs w:val="22"/>
        </w:rPr>
      </w:pPr>
    </w:p>
    <w:p w:rsidR="00A33BB7" w:rsidRDefault="00A33BB7" w:rsidP="002810EC">
      <w:pPr>
        <w:spacing w:before="0" w:after="0"/>
        <w:rPr>
          <w:b/>
          <w:sz w:val="22"/>
          <w:szCs w:val="22"/>
        </w:rPr>
      </w:pPr>
    </w:p>
    <w:p w:rsidR="00A33BB7" w:rsidRDefault="00A33BB7" w:rsidP="002810EC">
      <w:pPr>
        <w:spacing w:before="0" w:after="0"/>
        <w:rPr>
          <w:b/>
          <w:sz w:val="22"/>
          <w:szCs w:val="22"/>
        </w:rPr>
      </w:pPr>
    </w:p>
    <w:p w:rsidR="00A33BB7" w:rsidRDefault="00A33BB7" w:rsidP="002810EC">
      <w:pPr>
        <w:spacing w:before="0" w:after="0"/>
        <w:rPr>
          <w:b/>
          <w:sz w:val="22"/>
          <w:szCs w:val="22"/>
        </w:rPr>
      </w:pPr>
    </w:p>
    <w:p w:rsidR="00C659A9" w:rsidRDefault="00C659A9" w:rsidP="002810EC">
      <w:pPr>
        <w:spacing w:before="0" w:after="0"/>
        <w:rPr>
          <w:b/>
          <w:sz w:val="22"/>
          <w:szCs w:val="22"/>
        </w:rPr>
      </w:pPr>
    </w:p>
    <w:p w:rsidR="002810EC" w:rsidRPr="00A33BB7" w:rsidRDefault="002810EC" w:rsidP="002810EC">
      <w:pPr>
        <w:spacing w:before="0" w:after="0"/>
        <w:rPr>
          <w:b/>
          <w:sz w:val="22"/>
          <w:szCs w:val="22"/>
        </w:rPr>
      </w:pPr>
      <w:r w:rsidRPr="00A33BB7">
        <w:rPr>
          <w:b/>
          <w:sz w:val="22"/>
          <w:szCs w:val="22"/>
        </w:rPr>
        <w:lastRenderedPageBreak/>
        <w:t>Objective 3a. By 2021, reduce disparities in the rate of new diagnoses by at least 15 percent among Nevada’s priority populations.</w:t>
      </w:r>
    </w:p>
    <w:p w:rsidR="002810EC" w:rsidRPr="00A33BB7" w:rsidRDefault="002810EC" w:rsidP="002810EC">
      <w:pPr>
        <w:spacing w:before="0" w:after="0"/>
        <w:rPr>
          <w:b/>
          <w:sz w:val="22"/>
          <w:szCs w:val="22"/>
        </w:rPr>
      </w:pPr>
      <w:r w:rsidRPr="00A33BB7">
        <w:rPr>
          <w:b/>
          <w:sz w:val="22"/>
          <w:szCs w:val="22"/>
        </w:rPr>
        <w:t>O3a. Strategy 1:  Engage the community in order to find out how to best reach priority populations</w:t>
      </w:r>
    </w:p>
    <w:tbl>
      <w:tblPr>
        <w:tblStyle w:val="GridTable4-Accent3"/>
        <w:tblW w:w="5000" w:type="pct"/>
        <w:tblLayout w:type="fixed"/>
        <w:tblLook w:val="04A0" w:firstRow="1" w:lastRow="0" w:firstColumn="1" w:lastColumn="0" w:noHBand="0" w:noVBand="1"/>
      </w:tblPr>
      <w:tblGrid>
        <w:gridCol w:w="1127"/>
        <w:gridCol w:w="1217"/>
        <w:gridCol w:w="2872"/>
        <w:gridCol w:w="899"/>
        <w:gridCol w:w="2072"/>
        <w:gridCol w:w="1163"/>
      </w:tblGrid>
      <w:tr w:rsidR="002810EC" w:rsidRPr="00F86F1A" w:rsidTr="00C6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Timeframe</w:t>
            </w:r>
          </w:p>
        </w:tc>
        <w:tc>
          <w:tcPr>
            <w:tcW w:w="65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tc>
        <w:tc>
          <w:tcPr>
            <w:tcW w:w="153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48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tc>
        <w:tc>
          <w:tcPr>
            <w:tcW w:w="1108"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62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w:t>
            </w:r>
          </w:p>
        </w:tc>
        <w:tc>
          <w:tcPr>
            <w:tcW w:w="651" w:type="pct"/>
          </w:tcPr>
          <w:p w:rsidR="002810EC"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019C8" w:rsidP="002810EC">
            <w:pPr>
              <w:spacing w:before="0"/>
              <w:cnfStyle w:val="000000100000" w:firstRow="0" w:lastRow="0" w:firstColumn="0" w:lastColumn="0" w:oddVBand="0" w:evenVBand="0" w:oddHBand="1" w:evenHBand="0" w:firstRowFirstColumn="0" w:firstRowLastColumn="0" w:lastRowFirstColumn="0" w:lastRowLastColumn="0"/>
            </w:pPr>
            <w:r>
              <w:rPr>
                <w:rFonts w:eastAsia="Times New Roman" w:cs="Tahoma"/>
                <w:color w:val="000000"/>
              </w:rPr>
              <w:t>HPPG</w:t>
            </w:r>
          </w:p>
        </w:tc>
        <w:tc>
          <w:tcPr>
            <w:tcW w:w="153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Conduct listening sessions* with individuals from groups experiencing disparities to identify any gaps in knowledge or incorrect beliefs about HIV.</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*Listening sessions are one-on-one. A public health person goes to the community, poses open ended questions, and listens to people’s responses.  These are more practical than focus groups as they are done where people live and at a time that is good for them.  The sessions are informal, flexible, friendly (not intimidating).  </w:t>
            </w:r>
          </w:p>
        </w:tc>
        <w:tc>
          <w:tcPr>
            <w:tcW w:w="48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priority populations</w:t>
            </w:r>
          </w:p>
        </w:tc>
        <w:tc>
          <w:tcPr>
            <w:tcW w:w="1108"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Listening session topics/questions.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Partnerships with trusted organizations, community leaders, and agencies serving priority groups to identify individuals’ willing to participate in listening sessions; etc.)</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Trained listeners (staff) in different co</w:t>
            </w:r>
            <w:r w:rsidR="00C659A9">
              <w:t>mmunities throughout the state.</w:t>
            </w:r>
          </w:p>
        </w:tc>
        <w:tc>
          <w:tcPr>
            <w:tcW w:w="62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Number of individuals “heard”; number of persons from each target group that participate. </w:t>
            </w:r>
          </w:p>
        </w:tc>
      </w:tr>
      <w:tr w:rsidR="002810EC" w:rsidRPr="00F86F1A"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2017</w:t>
            </w:r>
          </w:p>
        </w:tc>
        <w:tc>
          <w:tcPr>
            <w:tcW w:w="651" w:type="pct"/>
          </w:tcPr>
          <w:p w:rsidR="002810EC"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F86F1A" w:rsidRDefault="002019C8" w:rsidP="002019C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Planning Council</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rPr>
                <w:rFonts w:eastAsia="Times New Roman" w:cs="Tahoma"/>
                <w:color w:val="000000"/>
              </w:rPr>
              <w:t>HP</w:t>
            </w:r>
            <w:r w:rsidR="002019C8">
              <w:rPr>
                <w:rFonts w:eastAsia="Times New Roman" w:cs="Tahoma"/>
                <w:color w:val="000000"/>
              </w:rPr>
              <w:t>P</w:t>
            </w:r>
            <w:r w:rsidRPr="00F86F1A">
              <w:rPr>
                <w:rFonts w:eastAsia="Times New Roman" w:cs="Tahoma"/>
                <w:color w:val="000000"/>
              </w:rPr>
              <w:t>G</w:t>
            </w:r>
          </w:p>
        </w:tc>
        <w:tc>
          <w:tcPr>
            <w:tcW w:w="153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Identify successful group-specific disease prevention campaigns and strategies that can be adapted to HIV prevention. </w:t>
            </w:r>
          </w:p>
        </w:tc>
        <w:tc>
          <w:tcPr>
            <w:tcW w:w="48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priority populations</w:t>
            </w:r>
          </w:p>
        </w:tc>
        <w:tc>
          <w:tcPr>
            <w:tcW w:w="1108" w:type="pct"/>
          </w:tcPr>
          <w:p w:rsidR="002810EC" w:rsidRPr="00F86F1A" w:rsidRDefault="00F0170C" w:rsidP="002810EC">
            <w:pPr>
              <w:spacing w:before="0"/>
              <w:cnfStyle w:val="000000000000" w:firstRow="0" w:lastRow="0" w:firstColumn="0" w:lastColumn="0" w:oddVBand="0" w:evenVBand="0" w:oddHBand="0" w:evenHBand="0" w:firstRowFirstColumn="0" w:firstRowLastColumn="0" w:lastRowFirstColumn="0" w:lastRowLastColumn="0"/>
            </w:pPr>
            <w:r>
              <w:t xml:space="preserve">Staff </w:t>
            </w:r>
            <w:r w:rsidR="002810EC" w:rsidRPr="00F86F1A">
              <w:t>time to do the literature review.</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Expertise to adapt findings from research in other diseases to the HIV community.</w:t>
            </w:r>
          </w:p>
        </w:tc>
        <w:tc>
          <w:tcPr>
            <w:tcW w:w="62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Identification of proven strategies. </w:t>
            </w:r>
          </w:p>
        </w:tc>
      </w:tr>
    </w:tbl>
    <w:p w:rsidR="002810EC" w:rsidRPr="00F86F1A" w:rsidRDefault="002810EC" w:rsidP="002810EC">
      <w:pPr>
        <w:spacing w:before="0" w:after="0"/>
      </w:pPr>
    </w:p>
    <w:p w:rsidR="002810EC" w:rsidRPr="00A33BB7" w:rsidRDefault="002810EC" w:rsidP="002810EC">
      <w:pPr>
        <w:spacing w:before="0" w:after="0"/>
        <w:rPr>
          <w:b/>
          <w:sz w:val="22"/>
        </w:rPr>
      </w:pPr>
      <w:r w:rsidRPr="00A33BB7">
        <w:rPr>
          <w:b/>
          <w:sz w:val="22"/>
        </w:rPr>
        <w:t xml:space="preserve">O3a. Strategy 2:  Implement HIV prevention public education through media campaigns and social network strategies to target populations. </w:t>
      </w:r>
    </w:p>
    <w:tbl>
      <w:tblPr>
        <w:tblStyle w:val="GridTable4-Accent3"/>
        <w:tblW w:w="5000" w:type="pct"/>
        <w:tblLook w:val="04A0" w:firstRow="1" w:lastRow="0" w:firstColumn="1" w:lastColumn="0" w:noHBand="0" w:noVBand="1"/>
      </w:tblPr>
      <w:tblGrid>
        <w:gridCol w:w="1125"/>
        <w:gridCol w:w="1218"/>
        <w:gridCol w:w="2744"/>
        <w:gridCol w:w="1181"/>
        <w:gridCol w:w="1910"/>
        <w:gridCol w:w="1172"/>
      </w:tblGrid>
      <w:tr w:rsidR="002810EC" w:rsidRPr="00A33BB7" w:rsidTr="00C659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pPr>
            <w:r w:rsidRPr="00A33BB7">
              <w:t>Timeframe</w:t>
            </w:r>
          </w:p>
        </w:tc>
        <w:tc>
          <w:tcPr>
            <w:tcW w:w="651"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Responsible Parties</w:t>
            </w:r>
          </w:p>
        </w:tc>
        <w:tc>
          <w:tcPr>
            <w:tcW w:w="1535"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Activity/Intervention</w:t>
            </w:r>
          </w:p>
        </w:tc>
        <w:tc>
          <w:tcPr>
            <w:tcW w:w="529"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Target Population</w:t>
            </w:r>
          </w:p>
        </w:tc>
        <w:tc>
          <w:tcPr>
            <w:tcW w:w="1055"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Resources needed to implement activity</w:t>
            </w:r>
          </w:p>
        </w:tc>
        <w:tc>
          <w:tcPr>
            <w:tcW w:w="627" w:type="pct"/>
          </w:tcPr>
          <w:p w:rsidR="002810EC" w:rsidRPr="00A33BB7"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A33BB7">
              <w:t>Metrics</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A33BB7" w:rsidP="002810EC">
            <w:pPr>
              <w:spacing w:before="0"/>
              <w:rPr>
                <w:b w:val="0"/>
              </w:rPr>
            </w:pPr>
            <w:r w:rsidRPr="00A33BB7">
              <w:rPr>
                <w:b w:val="0"/>
              </w:rPr>
              <w:t>2018</w:t>
            </w:r>
          </w:p>
        </w:tc>
        <w:tc>
          <w:tcPr>
            <w:tcW w:w="651" w:type="pct"/>
          </w:tcPr>
          <w:p w:rsidR="002810EC"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A33BB7" w:rsidRDefault="002019C8"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A33BB7">
              <w:rPr>
                <w:rFonts w:eastAsia="Times New Roman" w:cs="Tahoma"/>
                <w:color w:val="000000"/>
              </w:rPr>
              <w:t>RWPA </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A33BB7">
              <w:rPr>
                <w:rFonts w:eastAsia="Times New Roman" w:cs="Tahoma"/>
                <w:color w:val="000000"/>
              </w:rPr>
              <w:t>Planning Council</w:t>
            </w:r>
          </w:p>
          <w:p w:rsidR="002810EC" w:rsidRPr="00A33BB7" w:rsidRDefault="002019C8" w:rsidP="002810EC">
            <w:pPr>
              <w:spacing w:before="0"/>
              <w:cnfStyle w:val="000000100000" w:firstRow="0" w:lastRow="0" w:firstColumn="0" w:lastColumn="0" w:oddVBand="0" w:evenVBand="0" w:oddHBand="1" w:evenHBand="0" w:firstRowFirstColumn="0" w:firstRowLastColumn="0" w:lastRowFirstColumn="0" w:lastRowLastColumn="0"/>
            </w:pPr>
            <w:r>
              <w:rPr>
                <w:rFonts w:eastAsia="Times New Roman" w:cs="Tahoma"/>
                <w:color w:val="000000"/>
              </w:rPr>
              <w:t>HPPG</w:t>
            </w:r>
          </w:p>
        </w:tc>
        <w:tc>
          <w:tcPr>
            <w:tcW w:w="153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Using information from listening sessions and components from other successful programs, identify the best locations, events, social media and other media strategi</w:t>
            </w:r>
            <w:r w:rsidR="00A33BB7">
              <w:t>es, etc. to reach target groups</w:t>
            </w:r>
          </w:p>
        </w:tc>
        <w:tc>
          <w:tcPr>
            <w:tcW w:w="529"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priority populations</w:t>
            </w:r>
          </w:p>
        </w:tc>
        <w:tc>
          <w:tcPr>
            <w:tcW w:w="105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Staff time to synthesize the information from the listening sessions and develop list of most promising placements for media in different c</w:t>
            </w:r>
            <w:r w:rsidR="00A33BB7">
              <w:t>ommunities</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Persons who are familiar with target group neighborhoods and comm</w:t>
            </w:r>
            <w:r w:rsidR="00A33BB7">
              <w:t xml:space="preserve">unities </w:t>
            </w:r>
            <w:r w:rsidR="00A33BB7">
              <w:lastRenderedPageBreak/>
              <w:t>throughout the state</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Change in policies to</w:t>
            </w:r>
            <w:r w:rsidR="00A33BB7">
              <w:t xml:space="preserve"> allow funding for advertising</w:t>
            </w:r>
          </w:p>
        </w:tc>
        <w:tc>
          <w:tcPr>
            <w:tcW w:w="627" w:type="pct"/>
          </w:tcPr>
          <w:p w:rsidR="002810EC" w:rsidRPr="00A33BB7" w:rsidRDefault="00A33BB7" w:rsidP="002810EC">
            <w:pPr>
              <w:spacing w:before="0"/>
              <w:cnfStyle w:val="000000100000" w:firstRow="0" w:lastRow="0" w:firstColumn="0" w:lastColumn="0" w:oddVBand="0" w:evenVBand="0" w:oddHBand="1" w:evenHBand="0" w:firstRowFirstColumn="0" w:firstRowLastColumn="0" w:lastRowFirstColumn="0" w:lastRowLastColumn="0"/>
            </w:pPr>
            <w:r>
              <w:lastRenderedPageBreak/>
              <w:t>#</w:t>
            </w:r>
            <w:r w:rsidR="002810EC" w:rsidRPr="00A33BB7">
              <w:t xml:space="preserve"> locations and platforms identified for each </w:t>
            </w:r>
            <w:r>
              <w:t>target group in each community</w:t>
            </w:r>
          </w:p>
        </w:tc>
      </w:tr>
      <w:tr w:rsidR="002810EC" w:rsidRPr="00A33BB7"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w:t>
            </w:r>
          </w:p>
        </w:tc>
        <w:tc>
          <w:tcPr>
            <w:tcW w:w="651" w:type="pct"/>
          </w:tcPr>
          <w:p w:rsidR="002810EC"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A33BB7" w:rsidRDefault="002019C8" w:rsidP="002019C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RWPA </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Planning Council</w:t>
            </w:r>
          </w:p>
          <w:p w:rsidR="002810EC" w:rsidRPr="00A33BB7" w:rsidRDefault="002019C8"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HPPG</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Local Health Districts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rPr>
                <w:rFonts w:eastAsia="Times New Roman" w:cs="Tahoma"/>
                <w:color w:val="000000"/>
              </w:rPr>
              <w:t>CBOs</w:t>
            </w:r>
          </w:p>
        </w:tc>
        <w:tc>
          <w:tcPr>
            <w:tcW w:w="1535" w:type="pct"/>
          </w:tcPr>
          <w:p w:rsidR="002810EC" w:rsidRPr="00A33BB7" w:rsidRDefault="002810EC" w:rsidP="00F0170C">
            <w:pPr>
              <w:spacing w:before="0"/>
              <w:cnfStyle w:val="000000000000" w:firstRow="0" w:lastRow="0" w:firstColumn="0" w:lastColumn="0" w:oddVBand="0" w:evenVBand="0" w:oddHBand="0" w:evenHBand="0" w:firstRowFirstColumn="0" w:firstRowLastColumn="0" w:lastRowFirstColumn="0" w:lastRowLastColumn="0"/>
            </w:pPr>
            <w:r w:rsidRPr="00A33BB7">
              <w:t>Using information from listening sessions and components from other successful programs, develop and implement group specific HIV 101 media and social media campaigns that 1) provide education about how to prevent HIV; 2) motivate people to get tested; and 3) empowe</w:t>
            </w:r>
            <w:r w:rsidR="00A33BB7">
              <w:t>r HIV+ people to get into care</w:t>
            </w:r>
          </w:p>
        </w:tc>
        <w:tc>
          <w:tcPr>
            <w:tcW w:w="529"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priority populations</w:t>
            </w:r>
          </w:p>
        </w:tc>
        <w:tc>
          <w:tcPr>
            <w:tcW w:w="1055"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Persons with expertise in media (all types including social media), health literacy, cultural competency, and public health outreach.</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Funding for media specialist, Spanish language translation, production of videos, radio and TV spots, posters, etc.  </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627" w:type="pct"/>
          </w:tcPr>
          <w:p w:rsidR="002810EC" w:rsidRPr="00A33BB7" w:rsidRDefault="00A33BB7" w:rsidP="002810EC">
            <w:pPr>
              <w:spacing w:before="0"/>
              <w:cnfStyle w:val="000000000000" w:firstRow="0" w:lastRow="0" w:firstColumn="0" w:lastColumn="0" w:oddVBand="0" w:evenVBand="0" w:oddHBand="0" w:evenHBand="0" w:firstRowFirstColumn="0" w:firstRowLastColumn="0" w:lastRowFirstColumn="0" w:lastRowLastColumn="0"/>
            </w:pPr>
            <w:r>
              <w:t>#</w:t>
            </w:r>
            <w:r w:rsidR="002810EC" w:rsidRPr="00A33BB7">
              <w:t xml:space="preserve"> educational efforts completed for each</w:t>
            </w:r>
            <w:r>
              <w:t xml:space="preserve"> target group in each community</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Change from baseline in percent of PLWH linked to</w:t>
            </w:r>
            <w:r w:rsidR="00A33BB7">
              <w:t xml:space="preserve"> care</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2018-2021</w:t>
            </w:r>
          </w:p>
        </w:tc>
        <w:tc>
          <w:tcPr>
            <w:tcW w:w="651" w:type="pct"/>
          </w:tcPr>
          <w:p w:rsidR="002810EC"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A33BB7" w:rsidRDefault="002019C8" w:rsidP="002019C8">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A33BB7">
              <w:rPr>
                <w:rFonts w:eastAsia="Times New Roman" w:cs="Tahoma"/>
                <w:color w:val="000000"/>
              </w:rPr>
              <w:t>RWPA </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A33BB7">
              <w:rPr>
                <w:rFonts w:eastAsia="Times New Roman" w:cs="Tahoma"/>
                <w:color w:val="000000"/>
              </w:rPr>
              <w:t>Planning Council</w:t>
            </w:r>
          </w:p>
          <w:p w:rsidR="002810EC" w:rsidRPr="00A33BB7" w:rsidRDefault="002019C8" w:rsidP="002810EC">
            <w:pPr>
              <w:spacing w:before="0"/>
              <w:cnfStyle w:val="000000100000" w:firstRow="0" w:lastRow="0" w:firstColumn="0" w:lastColumn="0" w:oddVBand="0" w:evenVBand="0" w:oddHBand="1" w:evenHBand="0" w:firstRowFirstColumn="0" w:firstRowLastColumn="0" w:lastRowFirstColumn="0" w:lastRowLastColumn="0"/>
            </w:pPr>
            <w:r>
              <w:rPr>
                <w:rFonts w:eastAsia="Times New Roman" w:cs="Tahoma"/>
                <w:color w:val="000000"/>
              </w:rPr>
              <w:t>HPPG</w:t>
            </w:r>
          </w:p>
        </w:tc>
        <w:tc>
          <w:tcPr>
            <w:tcW w:w="153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Evaluate social network strategies</w:t>
            </w:r>
          </w:p>
        </w:tc>
        <w:tc>
          <w:tcPr>
            <w:tcW w:w="529"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priority populations</w:t>
            </w:r>
          </w:p>
        </w:tc>
        <w:tc>
          <w:tcPr>
            <w:tcW w:w="105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Staff time</w:t>
            </w:r>
          </w:p>
        </w:tc>
        <w:tc>
          <w:tcPr>
            <w:tcW w:w="62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Evaluation report</w:t>
            </w:r>
          </w:p>
        </w:tc>
      </w:tr>
      <w:tr w:rsidR="002810EC" w:rsidRPr="00A33BB7"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2019-2021</w:t>
            </w:r>
          </w:p>
        </w:tc>
        <w:tc>
          <w:tcPr>
            <w:tcW w:w="651" w:type="pct"/>
          </w:tcPr>
          <w:p w:rsidR="002810EC"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A33BB7" w:rsidRDefault="002019C8" w:rsidP="002019C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RWPA </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Planning Council</w:t>
            </w:r>
          </w:p>
          <w:p w:rsidR="002810EC" w:rsidRPr="00A33BB7" w:rsidRDefault="002019C8"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HPPG</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Local Health Districts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rPr>
                <w:rFonts w:eastAsia="Times New Roman" w:cs="Tahoma"/>
                <w:color w:val="000000"/>
              </w:rPr>
              <w:t>CBOs</w:t>
            </w:r>
          </w:p>
        </w:tc>
        <w:tc>
          <w:tcPr>
            <w:tcW w:w="1535"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Evaluate effectiveness and reach of education provided:</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Compare baseline data (prior to 2017) on new infections per 100,000 population </w:t>
            </w:r>
            <w:r w:rsidR="00A33BB7">
              <w:t>to levels in each target group</w:t>
            </w:r>
          </w:p>
        </w:tc>
        <w:tc>
          <w:tcPr>
            <w:tcW w:w="529"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priority populations</w:t>
            </w:r>
          </w:p>
        </w:tc>
        <w:tc>
          <w:tcPr>
            <w:tcW w:w="1055"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Annual data on new infections by white and by target groups. </w:t>
            </w:r>
          </w:p>
        </w:tc>
        <w:tc>
          <w:tcPr>
            <w:tcW w:w="627" w:type="pct"/>
          </w:tcPr>
          <w:p w:rsidR="002810EC" w:rsidRPr="00A33BB7" w:rsidRDefault="00A33BB7" w:rsidP="002810EC">
            <w:pPr>
              <w:spacing w:before="0"/>
              <w:cnfStyle w:val="000000000000" w:firstRow="0" w:lastRow="0" w:firstColumn="0" w:lastColumn="0" w:oddVBand="0" w:evenVBand="0" w:oddHBand="0" w:evenHBand="0" w:firstRowFirstColumn="0" w:firstRowLastColumn="0" w:lastRowFirstColumn="0" w:lastRowLastColumn="0"/>
            </w:pPr>
            <w:r>
              <w:t>#</w:t>
            </w:r>
            <w:r w:rsidR="002810EC" w:rsidRPr="00A33BB7">
              <w:t xml:space="preserve"> new infections per 100,000 population, tar</w:t>
            </w:r>
            <w:r>
              <w:t>get groups vs white</w:t>
            </w:r>
          </w:p>
          <w:p w:rsidR="002810EC" w:rsidRPr="00A33BB7" w:rsidRDefault="00A33BB7" w:rsidP="002810EC">
            <w:pPr>
              <w:spacing w:before="0"/>
              <w:cnfStyle w:val="000000000000" w:firstRow="0" w:lastRow="0" w:firstColumn="0" w:lastColumn="0" w:oddVBand="0" w:evenVBand="0" w:oddHBand="0" w:evenHBand="0" w:firstRowFirstColumn="0" w:firstRowLastColumn="0" w:lastRowFirstColumn="0" w:lastRowLastColumn="0"/>
            </w:pPr>
            <w:r>
              <w:t xml:space="preserve">% </w:t>
            </w:r>
            <w:r w:rsidR="002810EC" w:rsidRPr="00A33BB7">
              <w:t>change in number of new infections in t</w:t>
            </w:r>
            <w:r>
              <w:t>arget groups from year to year</w:t>
            </w:r>
          </w:p>
        </w:tc>
      </w:tr>
      <w:tr w:rsidR="002810EC" w:rsidRPr="00A33BB7" w:rsidTr="00C65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t>2019-2021</w:t>
            </w:r>
          </w:p>
        </w:tc>
        <w:tc>
          <w:tcPr>
            <w:tcW w:w="651" w:type="pct"/>
          </w:tcPr>
          <w:p w:rsidR="00F0170C" w:rsidRDefault="00E73293"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A33BB7" w:rsidRDefault="002019C8" w:rsidP="002019C8">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A33BB7">
              <w:rPr>
                <w:rFonts w:eastAsia="Times New Roman" w:cs="Tahoma"/>
                <w:color w:val="000000"/>
              </w:rPr>
              <w:t>RWPA </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A33BB7">
              <w:rPr>
                <w:rFonts w:eastAsia="Times New Roman" w:cs="Tahoma"/>
                <w:color w:val="000000"/>
              </w:rPr>
              <w:t>Planning Council</w:t>
            </w:r>
          </w:p>
          <w:p w:rsidR="002810EC" w:rsidRPr="00A33BB7" w:rsidRDefault="002019C8" w:rsidP="002810EC">
            <w:pPr>
              <w:spacing w:before="0"/>
              <w:cnfStyle w:val="000000100000" w:firstRow="0" w:lastRow="0" w:firstColumn="0" w:lastColumn="0" w:oddVBand="0" w:evenVBand="0" w:oddHBand="1" w:evenHBand="0" w:firstRowFirstColumn="0" w:firstRowLastColumn="0" w:lastRowFirstColumn="0" w:lastRowLastColumn="0"/>
            </w:pPr>
            <w:r>
              <w:rPr>
                <w:rFonts w:eastAsia="Times New Roman" w:cs="Tahoma"/>
                <w:color w:val="000000"/>
              </w:rPr>
              <w:lastRenderedPageBreak/>
              <w:t>HPPG</w:t>
            </w:r>
          </w:p>
        </w:tc>
        <w:tc>
          <w:tcPr>
            <w:tcW w:w="153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lastRenderedPageBreak/>
              <w:t xml:space="preserve">Conduct listening sessions with individuals from target groups experiencing disparities to find out if they are familiar with any of the educational </w:t>
            </w:r>
            <w:r w:rsidRPr="00A33BB7">
              <w:lastRenderedPageBreak/>
              <w:t xml:space="preserve">efforts, and to find out what they know/believe about HIV. </w:t>
            </w:r>
          </w:p>
        </w:tc>
        <w:tc>
          <w:tcPr>
            <w:tcW w:w="529"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lastRenderedPageBreak/>
              <w:t xml:space="preserve">Black (male, female, youth); Hispanic; </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lastRenderedPageBreak/>
              <w:t>Asian/PI</w:t>
            </w:r>
          </w:p>
        </w:tc>
        <w:tc>
          <w:tcPr>
            <w:tcW w:w="1055"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lastRenderedPageBreak/>
              <w:t>Listening session topics/questions.</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xml:space="preserve">Partnerships with trusted </w:t>
            </w:r>
            <w:r w:rsidRPr="00A33BB7">
              <w:lastRenderedPageBreak/>
              <w:t>organizations, community leaders, and agencies serving priority groups to identify individuals’ willing to participate in listening sessions; etc.)</w:t>
            </w:r>
          </w:p>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t xml:space="preserve">Trained listeners </w:t>
            </w:r>
          </w:p>
          <w:p w:rsidR="002810EC" w:rsidRPr="00A33BB7" w:rsidRDefault="00A33BB7" w:rsidP="002810EC">
            <w:pPr>
              <w:spacing w:before="0"/>
              <w:cnfStyle w:val="000000100000" w:firstRow="0" w:lastRow="0" w:firstColumn="0" w:lastColumn="0" w:oddVBand="0" w:evenVBand="0" w:oddHBand="1" w:evenHBand="0" w:firstRowFirstColumn="0" w:firstRowLastColumn="0" w:lastRowFirstColumn="0" w:lastRowLastColumn="0"/>
            </w:pPr>
            <w:r>
              <w:t>F</w:t>
            </w:r>
            <w:r w:rsidR="002810EC" w:rsidRPr="00A33BB7">
              <w:t>unding to prov</w:t>
            </w:r>
            <w:r>
              <w:t>ide incentives for participants</w:t>
            </w:r>
          </w:p>
        </w:tc>
        <w:tc>
          <w:tcPr>
            <w:tcW w:w="627" w:type="pct"/>
          </w:tcPr>
          <w:p w:rsidR="002810EC" w:rsidRPr="00A33BB7"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A33BB7">
              <w:lastRenderedPageBreak/>
              <w:t xml:space="preserve">Number of individuals “heard”; number of persons </w:t>
            </w:r>
            <w:r w:rsidRPr="00A33BB7">
              <w:lastRenderedPageBreak/>
              <w:t xml:space="preserve">from each target group that participate. </w:t>
            </w:r>
          </w:p>
        </w:tc>
      </w:tr>
      <w:tr w:rsidR="002810EC" w:rsidRPr="00A33BB7" w:rsidTr="00C659A9">
        <w:tc>
          <w:tcPr>
            <w:cnfStyle w:val="001000000000" w:firstRow="0" w:lastRow="0" w:firstColumn="1" w:lastColumn="0" w:oddVBand="0" w:evenVBand="0" w:oddHBand="0" w:evenHBand="0" w:firstRowFirstColumn="0" w:firstRowLastColumn="0" w:lastRowFirstColumn="0" w:lastRowLastColumn="0"/>
            <w:tcW w:w="602" w:type="pct"/>
          </w:tcPr>
          <w:p w:rsidR="002810EC" w:rsidRPr="00A33BB7" w:rsidRDefault="002810EC" w:rsidP="002810EC">
            <w:pPr>
              <w:spacing w:before="0"/>
              <w:rPr>
                <w:b w:val="0"/>
              </w:rPr>
            </w:pPr>
            <w:r w:rsidRPr="00A33BB7">
              <w:rPr>
                <w:b w:val="0"/>
              </w:rPr>
              <w:lastRenderedPageBreak/>
              <w:t xml:space="preserve">2020-2021 </w:t>
            </w:r>
          </w:p>
        </w:tc>
        <w:tc>
          <w:tcPr>
            <w:tcW w:w="651" w:type="pct"/>
          </w:tcPr>
          <w:p w:rsidR="002810EC" w:rsidRDefault="00E73293"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w:t>
            </w:r>
          </w:p>
          <w:p w:rsidR="002019C8" w:rsidRPr="00A33BB7" w:rsidRDefault="002019C8" w:rsidP="002019C8">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RWPB</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RWPA </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Planning Council</w:t>
            </w:r>
          </w:p>
          <w:p w:rsidR="002810EC" w:rsidRPr="00A33BB7" w:rsidRDefault="002019C8"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HPPG</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A33BB7">
              <w:rPr>
                <w:rFonts w:eastAsia="Times New Roman" w:cs="Tahoma"/>
                <w:color w:val="000000"/>
              </w:rPr>
              <w:t>Local Health Districts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rPr>
                <w:rFonts w:eastAsia="Times New Roman" w:cs="Tahoma"/>
                <w:color w:val="000000"/>
              </w:rPr>
              <w:t>CBOs</w:t>
            </w:r>
          </w:p>
        </w:tc>
        <w:tc>
          <w:tcPr>
            <w:tcW w:w="1535"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Using information from listening sessions, identify the methods, messages, locations, radio or TV stations, bus routes, events, etc. that were mos</w:t>
            </w:r>
            <w:r w:rsidR="00A33BB7">
              <w:t>t likely to reach target groups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Using information from listening sessions, identify any new methods, messages, locations, radio or TV stations, bus routes, events, etc. that will be likely to reach target group</w:t>
            </w:r>
            <w:r w:rsidR="00A33BB7">
              <w:t>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Discontinue unsuccessful methods, continue successful one, and implement ne</w:t>
            </w:r>
            <w:r w:rsidR="00A33BB7">
              <w:t>w methods, messages, locations.</w:t>
            </w:r>
          </w:p>
        </w:tc>
        <w:tc>
          <w:tcPr>
            <w:tcW w:w="529" w:type="pct"/>
          </w:tcPr>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Black (male, female, youth); Hispanic; </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Asian/PI</w:t>
            </w:r>
          </w:p>
        </w:tc>
        <w:tc>
          <w:tcPr>
            <w:tcW w:w="1055" w:type="pct"/>
          </w:tcPr>
          <w:p w:rsidR="002810EC" w:rsidRPr="00A33BB7" w:rsidRDefault="00F0170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Staff </w:t>
            </w:r>
            <w:r w:rsidR="002810EC" w:rsidRPr="00A33BB7">
              <w:t>time to synthesize the information from the listening sessions and develop list of most successful placements and new placements for media in different communities.</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 xml:space="preserve">Persons who are familiar with target group neighborhoods and communities throughout the state.  </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627" w:type="pct"/>
          </w:tcPr>
          <w:p w:rsidR="002810EC" w:rsidRPr="00A33BB7" w:rsidRDefault="00A33BB7" w:rsidP="002810EC">
            <w:pPr>
              <w:spacing w:before="0"/>
              <w:cnfStyle w:val="000000000000" w:firstRow="0" w:lastRow="0" w:firstColumn="0" w:lastColumn="0" w:oddVBand="0" w:evenVBand="0" w:oddHBand="0" w:evenHBand="0" w:firstRowFirstColumn="0" w:firstRowLastColumn="0" w:lastRowFirstColumn="0" w:lastRowLastColumn="0"/>
            </w:pPr>
            <w:r>
              <w:t>#</w:t>
            </w:r>
            <w:r w:rsidR="002810EC" w:rsidRPr="00A33BB7">
              <w:t xml:space="preserve"> locations and platforms identified for each target group in each commun</w:t>
            </w:r>
            <w:r>
              <w:t>ity</w:t>
            </w:r>
          </w:p>
          <w:p w:rsidR="002810EC" w:rsidRPr="00A33BB7"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A33BB7">
              <w:t>Change from baseline in</w:t>
            </w:r>
            <w:r w:rsidR="00A33BB7">
              <w:t xml:space="preserve"> percent of PLWH linked to care</w:t>
            </w:r>
          </w:p>
        </w:tc>
      </w:tr>
    </w:tbl>
    <w:p w:rsidR="002810EC" w:rsidRPr="00F86F1A" w:rsidRDefault="002810EC" w:rsidP="002810EC">
      <w:pPr>
        <w:spacing w:before="0" w:after="0"/>
      </w:pPr>
    </w:p>
    <w:p w:rsidR="002810EC" w:rsidRPr="00A33BB7" w:rsidRDefault="002810EC" w:rsidP="002810EC">
      <w:pPr>
        <w:spacing w:before="0" w:after="0"/>
        <w:rPr>
          <w:b/>
          <w:sz w:val="22"/>
        </w:rPr>
      </w:pPr>
      <w:r w:rsidRPr="00A33BB7">
        <w:rPr>
          <w:b/>
          <w:sz w:val="22"/>
        </w:rPr>
        <w:t>O3a. Strategy 3:  Increase provider and organization capacity to test at sites in their communities</w:t>
      </w:r>
    </w:p>
    <w:tbl>
      <w:tblPr>
        <w:tblStyle w:val="GridTable4-Accent3"/>
        <w:tblW w:w="5000" w:type="pct"/>
        <w:tblLayout w:type="fixed"/>
        <w:tblLook w:val="04A0" w:firstRow="1" w:lastRow="0" w:firstColumn="1" w:lastColumn="0" w:noHBand="0" w:noVBand="1"/>
      </w:tblPr>
      <w:tblGrid>
        <w:gridCol w:w="1129"/>
        <w:gridCol w:w="1296"/>
        <w:gridCol w:w="2611"/>
        <w:gridCol w:w="1264"/>
        <w:gridCol w:w="1892"/>
        <w:gridCol w:w="1158"/>
      </w:tblGrid>
      <w:tr w:rsidR="002810EC" w:rsidRPr="00F86F1A" w:rsidTr="00A63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2810EC" w:rsidRPr="00F86F1A" w:rsidRDefault="002810EC" w:rsidP="002810EC">
            <w:pPr>
              <w:spacing w:before="0"/>
            </w:pPr>
            <w:r w:rsidRPr="00F86F1A">
              <w:t>Timeframe</w:t>
            </w:r>
          </w:p>
        </w:tc>
        <w:tc>
          <w:tcPr>
            <w:tcW w:w="693"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tc>
        <w:tc>
          <w:tcPr>
            <w:tcW w:w="139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67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tc>
        <w:tc>
          <w:tcPr>
            <w:tcW w:w="101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619"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 w:type="pct"/>
          </w:tcPr>
          <w:p w:rsidR="002810EC" w:rsidRPr="008C5291" w:rsidRDefault="002810EC" w:rsidP="002810EC">
            <w:pPr>
              <w:spacing w:before="0"/>
              <w:rPr>
                <w:b w:val="0"/>
              </w:rPr>
            </w:pPr>
            <w:r w:rsidRPr="008C5291">
              <w:rPr>
                <w:b w:val="0"/>
              </w:rPr>
              <w:t>2017-2019</w:t>
            </w:r>
          </w:p>
        </w:tc>
        <w:tc>
          <w:tcPr>
            <w:tcW w:w="693" w:type="pct"/>
          </w:tcPr>
          <w:p w:rsidR="002019C8" w:rsidRPr="00A33BB7" w:rsidRDefault="00E73293" w:rsidP="002019C8">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w:t>
            </w:r>
            <w:r w:rsidR="00A63A7C">
              <w:rPr>
                <w:rFonts w:eastAsia="Times New Roman" w:cs="Tahoma"/>
                <w:color w:val="000000"/>
              </w:rPr>
              <w:t xml:space="preserve">, </w:t>
            </w:r>
            <w:r w:rsidR="002019C8">
              <w:rPr>
                <w:rFonts w:eastAsia="Times New Roman" w:cs="Tahoma"/>
                <w:color w:val="000000"/>
              </w:rPr>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Local Health Districts</w:t>
            </w:r>
          </w:p>
        </w:tc>
        <w:tc>
          <w:tcPr>
            <w:tcW w:w="139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Training CBOs and communities with high risk to provide on-site testing</w:t>
            </w:r>
          </w:p>
        </w:tc>
        <w:tc>
          <w:tcPr>
            <w:tcW w:w="67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CBOs and 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tc>
        <w:tc>
          <w:tcPr>
            <w:tcW w:w="1012" w:type="pct"/>
          </w:tcPr>
          <w:p w:rsidR="002810EC" w:rsidRDefault="002810EC" w:rsidP="002810EC">
            <w:pPr>
              <w:spacing w:before="0"/>
              <w:cnfStyle w:val="000000100000" w:firstRow="0" w:lastRow="0" w:firstColumn="0" w:lastColumn="0" w:oddVBand="0" w:evenVBand="0" w:oddHBand="1" w:evenHBand="0" w:firstRowFirstColumn="0" w:firstRowLastColumn="0" w:lastRowFirstColumn="0" w:lastRowLastColumn="0"/>
            </w:pPr>
            <w:r>
              <w:t>Training materials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tc>
        <w:tc>
          <w:tcPr>
            <w:tcW w:w="619"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 of providers/CPO staff trained</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4" w:type="pct"/>
          </w:tcPr>
          <w:p w:rsidR="002810EC" w:rsidRPr="008C5291" w:rsidRDefault="002810EC" w:rsidP="002810EC">
            <w:pPr>
              <w:spacing w:before="0"/>
              <w:rPr>
                <w:b w:val="0"/>
              </w:rPr>
            </w:pPr>
            <w:r w:rsidRPr="008C5291">
              <w:rPr>
                <w:b w:val="0"/>
              </w:rPr>
              <w:t>2017-2020</w:t>
            </w:r>
          </w:p>
        </w:tc>
        <w:tc>
          <w:tcPr>
            <w:tcW w:w="693" w:type="pct"/>
          </w:tcPr>
          <w:p w:rsidR="00A63A7C" w:rsidRPr="00A33BB7" w:rsidRDefault="00A63A7C" w:rsidP="00A63A7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Pr>
                <w:rFonts w:eastAsia="Times New Roman" w:cs="Tahoma"/>
                <w:color w:val="000000"/>
              </w:rPr>
              <w:t>DPBH, 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rPr>
                <w:rFonts w:eastAsia="Times New Roman" w:cs="Tahoma"/>
                <w:color w:val="000000"/>
              </w:rPr>
              <w:t>Local Health Districts</w:t>
            </w:r>
          </w:p>
        </w:tc>
        <w:tc>
          <w:tcPr>
            <w:tcW w:w="139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Identify and recruit additional providers and CB</w:t>
            </w:r>
            <w:r>
              <w:t>0</w:t>
            </w:r>
            <w:r w:rsidRPr="00F86F1A">
              <w:t>s to have testing at their sites</w:t>
            </w:r>
          </w:p>
        </w:tc>
        <w:tc>
          <w:tcPr>
            <w:tcW w:w="67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CBOs and providers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Priority populations</w:t>
            </w:r>
          </w:p>
        </w:tc>
        <w:tc>
          <w:tcPr>
            <w:tcW w:w="1012"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tc>
        <w:tc>
          <w:tcPr>
            <w:tcW w:w="619" w:type="pct"/>
          </w:tcPr>
          <w:p w:rsidR="002810EC"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providers and CBOs recruited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t># of tests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04" w:type="pct"/>
          </w:tcPr>
          <w:p w:rsidR="002810EC" w:rsidRPr="008C5291" w:rsidRDefault="002810EC" w:rsidP="002810EC">
            <w:pPr>
              <w:spacing w:before="0"/>
              <w:rPr>
                <w:b w:val="0"/>
              </w:rPr>
            </w:pPr>
            <w:r w:rsidRPr="008C5291">
              <w:rPr>
                <w:b w:val="0"/>
              </w:rPr>
              <w:t>2020-2021</w:t>
            </w:r>
          </w:p>
        </w:tc>
        <w:tc>
          <w:tcPr>
            <w:tcW w:w="693" w:type="pct"/>
          </w:tcPr>
          <w:p w:rsidR="00A63A7C" w:rsidRPr="00A33BB7" w:rsidRDefault="00A63A7C" w:rsidP="00A63A7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Pr>
                <w:rFonts w:eastAsia="Times New Roman" w:cs="Tahoma"/>
                <w:color w:val="000000"/>
              </w:rPr>
              <w:t>DPBH, 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F86F1A">
              <w:rPr>
                <w:rFonts w:eastAsia="Times New Roman" w:cs="Tahoma"/>
                <w:color w:val="000000"/>
              </w:rPr>
              <w:t>RWPA </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rPr>
                <w:rFonts w:eastAsia="Times New Roman" w:cs="Tahoma"/>
                <w:color w:val="000000"/>
              </w:rPr>
              <w:t>Local Health Districts</w:t>
            </w:r>
          </w:p>
        </w:tc>
        <w:tc>
          <w:tcPr>
            <w:tcW w:w="139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Evaluate CBO on-site testing programs</w:t>
            </w:r>
          </w:p>
        </w:tc>
        <w:tc>
          <w:tcPr>
            <w:tcW w:w="67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CBOs and providers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Priority populations</w:t>
            </w:r>
          </w:p>
        </w:tc>
        <w:tc>
          <w:tcPr>
            <w:tcW w:w="101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Staff time</w:t>
            </w:r>
          </w:p>
        </w:tc>
        <w:tc>
          <w:tcPr>
            <w:tcW w:w="619"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t>Evaluation report</w:t>
            </w:r>
          </w:p>
        </w:tc>
      </w:tr>
    </w:tbl>
    <w:p w:rsidR="002810EC" w:rsidRPr="00F86F1A" w:rsidRDefault="002810EC" w:rsidP="002810EC">
      <w:pPr>
        <w:spacing w:before="0" w:after="0"/>
        <w:rPr>
          <w:b/>
        </w:rPr>
      </w:pPr>
    </w:p>
    <w:p w:rsidR="002810EC" w:rsidRPr="008C5291" w:rsidRDefault="002810EC" w:rsidP="00B639CA">
      <w:pPr>
        <w:spacing w:before="0" w:after="0"/>
        <w:jc w:val="both"/>
        <w:rPr>
          <w:b/>
          <w:sz w:val="22"/>
          <w:szCs w:val="24"/>
        </w:rPr>
      </w:pPr>
      <w:r w:rsidRPr="008C5291">
        <w:rPr>
          <w:b/>
          <w:sz w:val="22"/>
          <w:szCs w:val="24"/>
        </w:rPr>
        <w:t>Objective 3b. By 20</w:t>
      </w:r>
      <w:r w:rsidR="007F2D44">
        <w:rPr>
          <w:b/>
          <w:sz w:val="22"/>
          <w:szCs w:val="24"/>
        </w:rPr>
        <w:t>21</w:t>
      </w:r>
      <w:r w:rsidRPr="008C5291">
        <w:rPr>
          <w:b/>
          <w:sz w:val="22"/>
          <w:szCs w:val="24"/>
        </w:rPr>
        <w:t>, increase to 85% the percentage of newly diagnosed with HIV among Nevada’s priority populations who have been linked to a provider within the first 30 days.</w:t>
      </w:r>
    </w:p>
    <w:p w:rsidR="002810EC" w:rsidRPr="008C5291" w:rsidRDefault="002810EC" w:rsidP="00B639CA">
      <w:pPr>
        <w:pStyle w:val="NoSpacing"/>
        <w:jc w:val="both"/>
        <w:rPr>
          <w:rFonts w:cs="Arial"/>
          <w:sz w:val="22"/>
          <w:szCs w:val="22"/>
        </w:rPr>
      </w:pPr>
      <w:r w:rsidRPr="008C5291">
        <w:rPr>
          <w:rFonts w:cs="Arial"/>
          <w:sz w:val="22"/>
          <w:szCs w:val="22"/>
        </w:rPr>
        <w:t xml:space="preserve">Information from the Stakeholder meeting was also extremely helpful in crafting the strategies for accomplishing this objective to increase the percent of newly diagnosed individuals in priority populations who are linked to care within the first 30 days.  Improvement in the point(s) of first contact, proactive assistance in navigating the complex system of care, and increasing accessibility of HIV care and treatment information were the three overarching areas of need identified.  </w:t>
      </w:r>
    </w:p>
    <w:p w:rsidR="002810EC" w:rsidRPr="008C5291" w:rsidRDefault="002810EC" w:rsidP="00B639CA">
      <w:pPr>
        <w:pStyle w:val="NoSpacing"/>
        <w:jc w:val="both"/>
        <w:rPr>
          <w:rFonts w:cs="Arial"/>
          <w:sz w:val="22"/>
          <w:szCs w:val="22"/>
        </w:rPr>
      </w:pPr>
    </w:p>
    <w:p w:rsidR="002810EC" w:rsidRPr="008C5291" w:rsidRDefault="002810EC" w:rsidP="00B639CA">
      <w:pPr>
        <w:pStyle w:val="NoSpacing"/>
        <w:jc w:val="both"/>
        <w:rPr>
          <w:rFonts w:cs="Arial"/>
          <w:sz w:val="22"/>
          <w:szCs w:val="22"/>
        </w:rPr>
      </w:pPr>
      <w:r w:rsidRPr="008C5291">
        <w:rPr>
          <w:rFonts w:cs="Arial"/>
          <w:sz w:val="22"/>
          <w:szCs w:val="22"/>
        </w:rPr>
        <w:t xml:space="preserve">Many HIV infected individuals in priority populations experience multiple layers of stigma, and some may have had negative experiences or poor treatment from workers in the HIV or other social service care system that they attribute to this stigma. Such first-hand experiences or even just hearing second-hand about the experiences of others may cause people to avoid seeking services and getting into and staying in care.  This is especially true when there is a bad experience at the very first point of contact into care.  Strategies under this objective aim to use the listening session format discussed above to find out more about the experiences of HIV positive individuals in priority populations. There will be questions about their first contacts with the system, what stories they have heard from others about their experiences, what fears or frustrations they have or perceive that prevent them from seeking care or that make it less likely that they will access care.  Listeners will ask about ideas for what a “good” system would look like, what things would make it better, and what it would take for individuals to get back into care if they have had bad experiences or begin care if they are very fearful about how it will be. </w:t>
      </w:r>
    </w:p>
    <w:p w:rsidR="002810EC" w:rsidRPr="008C5291" w:rsidRDefault="002810EC" w:rsidP="00B639CA">
      <w:pPr>
        <w:pStyle w:val="NoSpacing"/>
        <w:jc w:val="both"/>
        <w:rPr>
          <w:rFonts w:cs="Arial"/>
          <w:sz w:val="22"/>
          <w:szCs w:val="22"/>
        </w:rPr>
      </w:pPr>
    </w:p>
    <w:p w:rsidR="002810EC" w:rsidRPr="008C5291" w:rsidRDefault="002810EC" w:rsidP="00B639CA">
      <w:pPr>
        <w:pStyle w:val="NoSpacing"/>
        <w:jc w:val="both"/>
        <w:rPr>
          <w:rFonts w:cs="Arial"/>
          <w:sz w:val="22"/>
          <w:szCs w:val="22"/>
        </w:rPr>
      </w:pPr>
      <w:r w:rsidRPr="008C5291">
        <w:rPr>
          <w:rFonts w:cs="Arial"/>
          <w:sz w:val="22"/>
          <w:szCs w:val="22"/>
        </w:rPr>
        <w:t xml:space="preserve">Ongoing training for personnel in HIV health and social service agencies will be needed to improve interactions with persons seeking care from priority populations to reduce the burden of stigma and reduce health disparities.  Humans all have prejudices, many we are not even aware of, so training will help sensitize workers to identify their own biases and improve their interactions with persons from all communities.  Follow up after trainings will be conducted with workers and clients to see what changes were made and sustained, and systems of rewards and incentives will be implemented to help sustain those improvements. </w:t>
      </w:r>
    </w:p>
    <w:p w:rsidR="002810EC" w:rsidRPr="008C5291" w:rsidRDefault="002810EC" w:rsidP="00B639CA">
      <w:pPr>
        <w:pStyle w:val="NoSpacing"/>
        <w:jc w:val="both"/>
        <w:rPr>
          <w:rFonts w:cs="Arial"/>
          <w:sz w:val="22"/>
          <w:szCs w:val="22"/>
        </w:rPr>
      </w:pPr>
    </w:p>
    <w:p w:rsidR="002810EC" w:rsidRPr="00B639CA" w:rsidRDefault="002810EC" w:rsidP="00B639CA">
      <w:pPr>
        <w:pStyle w:val="NoSpacing"/>
        <w:jc w:val="both"/>
        <w:rPr>
          <w:rFonts w:cs="Arial"/>
          <w:sz w:val="22"/>
          <w:szCs w:val="24"/>
        </w:rPr>
      </w:pPr>
      <w:r w:rsidRPr="008C5291">
        <w:rPr>
          <w:rFonts w:cs="Arial"/>
          <w:sz w:val="22"/>
          <w:szCs w:val="22"/>
        </w:rPr>
        <w:t>For most HIV positive individuals, whether they are a member of a priority population or not, navigating the system of care can be complicated, confusing, and frustrating.  Adding layers of stigma, poor treatment, prejudice, lack of understanding, poor explanations, low cultural competency,</w:t>
      </w:r>
      <w:r w:rsidRPr="00B639CA">
        <w:rPr>
          <w:rFonts w:cs="Arial"/>
          <w:sz w:val="22"/>
          <w:szCs w:val="24"/>
        </w:rPr>
        <w:t xml:space="preserve"> low health literacy, etc. to this already daunting system deters individuals from seeking and staying in care, resulting in the current disparities this objective seeks to address.  </w:t>
      </w:r>
    </w:p>
    <w:p w:rsidR="002810EC" w:rsidRPr="008569B0" w:rsidRDefault="002810EC" w:rsidP="002810EC">
      <w:pPr>
        <w:pStyle w:val="NoSpacing"/>
        <w:rPr>
          <w:rFonts w:cs="Arial"/>
          <w:szCs w:val="22"/>
        </w:rPr>
      </w:pPr>
    </w:p>
    <w:p w:rsidR="002810EC" w:rsidRPr="00B639CA" w:rsidRDefault="002810EC" w:rsidP="00B639CA">
      <w:pPr>
        <w:pStyle w:val="NoSpacing"/>
        <w:jc w:val="both"/>
        <w:rPr>
          <w:rFonts w:cs="Arial"/>
          <w:sz w:val="22"/>
          <w:szCs w:val="22"/>
        </w:rPr>
      </w:pPr>
      <w:r w:rsidRPr="00B639CA">
        <w:rPr>
          <w:rFonts w:cs="Arial"/>
          <w:sz w:val="22"/>
          <w:szCs w:val="22"/>
        </w:rPr>
        <w:t xml:space="preserve">Therefore, this objective includes strategies for addressing how individuals get information about the system of care and for helping them learn to navigate it.  Multiple systems are needed to disseminate information about the system of care (access, eligibility, cost, hours, locations, etc.) to all HIV positive individuals, but intensified outreach efforts are needed for individuals in priority populations.  Intensified outreach may include outreach efforts “on the ground” at community events, in popular “hang outs”, and in neighborhoods.  It also includes the development of a strong peer navigator program where a person from the same priority population group who is knowledgeable about the care system literally walks with a person to take them through the system, help with things like filling out forms, problem solving, coaching on dealing with different personalities, handling frustrating situations, knowing where to go to get more answers, etc.  Peer navigators will be trained to guide new clients from their first experiences to becoming self-sufficient care consumers.  One strategy also provides for the replication of the “Living Room”, a current successful model of entry into care. This is more of a drop in site as opposed to an agency or clinic </w:t>
      </w:r>
      <w:r w:rsidRPr="00B639CA">
        <w:rPr>
          <w:rFonts w:cs="Arial"/>
          <w:sz w:val="22"/>
          <w:szCs w:val="22"/>
        </w:rPr>
        <w:lastRenderedPageBreak/>
        <w:t xml:space="preserve">that is relaxed and friendly where newly diagnosed people or their friends and family can get information about getting tested and/or getting into care. </w:t>
      </w:r>
    </w:p>
    <w:p w:rsidR="002810EC" w:rsidRPr="00B639CA" w:rsidRDefault="002810EC" w:rsidP="00B639CA">
      <w:pPr>
        <w:pStyle w:val="NoSpacing"/>
        <w:jc w:val="both"/>
        <w:rPr>
          <w:rFonts w:cs="Arial"/>
          <w:sz w:val="22"/>
          <w:szCs w:val="22"/>
        </w:rPr>
      </w:pPr>
    </w:p>
    <w:p w:rsidR="002810EC" w:rsidRPr="00B639CA" w:rsidRDefault="002810EC" w:rsidP="00B639CA">
      <w:pPr>
        <w:pStyle w:val="NoSpacing"/>
        <w:jc w:val="both"/>
        <w:rPr>
          <w:rFonts w:cs="Arial"/>
          <w:sz w:val="22"/>
          <w:szCs w:val="22"/>
        </w:rPr>
      </w:pPr>
      <w:r w:rsidRPr="00B639CA">
        <w:rPr>
          <w:rFonts w:cs="Arial"/>
          <w:sz w:val="22"/>
          <w:szCs w:val="22"/>
        </w:rPr>
        <w:t>The effects of low health literacy on the health care system in general have been well documented. (It is perhaps more accurate to identify the real problem as being the materials and information that are too complex for most people.) The system of HIV care is very complex, and as such, it requires extra efforts to ensure that all of the materials (forms, flyers, enrollment information, eligibility guidelines, directions to services, maps to find services or bus routes, etc.) meet health literacy standards.  For many individuals in Nevada’s priority populations, this includes having the information in Spanish. Therefore, strategies under this objective also include reviewing and revising as needed all of the patient materials to meet basic health literacy standards, and assessing the strengths and weaknesses in the system for having materials and services provided in Spanish.</w:t>
      </w:r>
    </w:p>
    <w:p w:rsidR="002810EC" w:rsidRDefault="002810EC" w:rsidP="002810EC">
      <w:pPr>
        <w:widowControl w:val="0"/>
        <w:autoSpaceDE w:val="0"/>
        <w:autoSpaceDN w:val="0"/>
        <w:adjustRightInd w:val="0"/>
        <w:spacing w:before="0" w:after="0"/>
        <w:rPr>
          <w:rFonts w:cs="Calibri Light"/>
        </w:rPr>
      </w:pPr>
    </w:p>
    <w:p w:rsidR="002810EC" w:rsidRPr="008C5291" w:rsidRDefault="002810EC" w:rsidP="002810EC">
      <w:pPr>
        <w:spacing w:before="0" w:after="0"/>
        <w:rPr>
          <w:b/>
          <w:sz w:val="22"/>
        </w:rPr>
      </w:pPr>
      <w:r w:rsidRPr="008C5291">
        <w:rPr>
          <w:b/>
          <w:sz w:val="22"/>
        </w:rPr>
        <w:t xml:space="preserve">O3b. Strategy 1: Improve first contact and point of access to care for PLWH who experience multiple “layers” of stigma (eg: HIV infected, gay, minority, female, transgender, IV drug user, etc.) </w:t>
      </w:r>
    </w:p>
    <w:tbl>
      <w:tblPr>
        <w:tblStyle w:val="GridTable4-Accent3"/>
        <w:tblW w:w="5000" w:type="pct"/>
        <w:tblLook w:val="04A0" w:firstRow="1" w:lastRow="0" w:firstColumn="1" w:lastColumn="0" w:noHBand="0" w:noVBand="1"/>
      </w:tblPr>
      <w:tblGrid>
        <w:gridCol w:w="1125"/>
        <w:gridCol w:w="1218"/>
        <w:gridCol w:w="2426"/>
        <w:gridCol w:w="1331"/>
        <w:gridCol w:w="1848"/>
        <w:gridCol w:w="1402"/>
      </w:tblGrid>
      <w:tr w:rsidR="002810EC" w:rsidRPr="00F86F1A" w:rsidTr="008C5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F86F1A" w:rsidRDefault="002810EC" w:rsidP="002810EC">
            <w:pPr>
              <w:spacing w:before="0"/>
            </w:pPr>
            <w:r w:rsidRPr="00F86F1A">
              <w:t>Timeframe</w:t>
            </w:r>
          </w:p>
        </w:tc>
        <w:tc>
          <w:tcPr>
            <w:tcW w:w="55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tc>
        <w:tc>
          <w:tcPr>
            <w:tcW w:w="135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766"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tc>
        <w:tc>
          <w:tcPr>
            <w:tcW w:w="1042"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764"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8C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8C5291" w:rsidRDefault="002810EC" w:rsidP="002810EC">
            <w:pPr>
              <w:spacing w:before="0"/>
              <w:rPr>
                <w:b w:val="0"/>
              </w:rPr>
            </w:pPr>
            <w:r w:rsidRPr="008C5291">
              <w:rPr>
                <w:b w:val="0"/>
              </w:rPr>
              <w:t>2017</w:t>
            </w:r>
          </w:p>
        </w:tc>
        <w:tc>
          <w:tcPr>
            <w:tcW w:w="55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Planning Council </w:t>
            </w:r>
          </w:p>
        </w:tc>
        <w:tc>
          <w:tcPr>
            <w:tcW w:w="135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Conduct listening sessions with individuals from PLWH in underserved populations and high risk groups to 1) learn about their first contact experiences with HIV agencies; 2) find out if negative experiences in first or early contact prevented them from continuing or pursuing HIV care and/or accessing services; and 3) get ideas and suggestions </w:t>
            </w:r>
            <w:r w:rsidR="00F0170C">
              <w:t>for ways to make improvements</w:t>
            </w:r>
          </w:p>
        </w:tc>
        <w:tc>
          <w:tcPr>
            <w:tcW w:w="76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PLWH in underserved populations and high-risk groups </w:t>
            </w:r>
          </w:p>
        </w:tc>
        <w:tc>
          <w:tcPr>
            <w:tcW w:w="104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Lis</w:t>
            </w:r>
            <w:r w:rsidR="008C5291">
              <w:t>tening session topics/questions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Partnerships with trusted organizations, community leaders, and agencies serving priority groups to identify individuals’ willing to participate in listening sessions; etc.)</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Trained listeners </w:t>
            </w: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Funding</w:t>
            </w:r>
            <w:r w:rsidR="002810EC" w:rsidRPr="00F86F1A">
              <w:t xml:space="preserve"> to prov</w:t>
            </w:r>
            <w:r w:rsidR="00F0170C">
              <w:t>ide incentives for participants</w:t>
            </w:r>
          </w:p>
        </w:tc>
        <w:tc>
          <w:tcPr>
            <w:tcW w:w="764"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Tota</w:t>
            </w:r>
            <w:r w:rsidR="00F0170C">
              <w:t>l number of individuals “heard”</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 persons from each underserved or h</w:t>
            </w:r>
            <w:r w:rsidR="00F0170C">
              <w:t>igh risk group that participate</w:t>
            </w:r>
          </w:p>
        </w:tc>
      </w:tr>
      <w:tr w:rsidR="002810EC" w:rsidRPr="00F86F1A" w:rsidTr="008C5291">
        <w:tc>
          <w:tcPr>
            <w:cnfStyle w:val="001000000000" w:firstRow="0" w:lastRow="0" w:firstColumn="1" w:lastColumn="0" w:oddVBand="0" w:evenVBand="0" w:oddHBand="0" w:evenHBand="0" w:firstRowFirstColumn="0" w:firstRowLastColumn="0" w:lastRowFirstColumn="0" w:lastRowLastColumn="0"/>
            <w:tcW w:w="519" w:type="pct"/>
          </w:tcPr>
          <w:p w:rsidR="002810EC" w:rsidRPr="008C5291" w:rsidRDefault="002810EC" w:rsidP="002810EC">
            <w:pPr>
              <w:spacing w:before="0"/>
              <w:rPr>
                <w:b w:val="0"/>
              </w:rPr>
            </w:pPr>
            <w:r w:rsidRPr="008C5291">
              <w:rPr>
                <w:b w:val="0"/>
              </w:rPr>
              <w:t>2018</w:t>
            </w:r>
          </w:p>
        </w:tc>
        <w:tc>
          <w:tcPr>
            <w:tcW w:w="55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Planning Council</w:t>
            </w:r>
          </w:p>
        </w:tc>
        <w:tc>
          <w:tcPr>
            <w:tcW w:w="1352" w:type="pct"/>
          </w:tcPr>
          <w:p w:rsidR="00F0170C"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Review information gathered in listening ses</w:t>
            </w:r>
            <w:r w:rsidR="00F0170C">
              <w:t>sions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Develop new strategie</w:t>
            </w:r>
            <w:r w:rsidR="00F0170C">
              <w:t>s for improving first contacts</w:t>
            </w:r>
          </w:p>
        </w:tc>
        <w:tc>
          <w:tcPr>
            <w:tcW w:w="76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Employees and volunteers in HIV</w:t>
            </w:r>
            <w:r w:rsidR="00F0170C">
              <w:t xml:space="preserve"> care and service organizations</w:t>
            </w:r>
          </w:p>
        </w:tc>
        <w:tc>
          <w:tcPr>
            <w:tcW w:w="104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Staff (or possibly graduate students) time to synthesize the information from the listening sessions and develop list of suggestio</w:t>
            </w:r>
            <w:r w:rsidR="00F0170C">
              <w:t>ns</w:t>
            </w:r>
          </w:p>
        </w:tc>
        <w:tc>
          <w:tcPr>
            <w:tcW w:w="764" w:type="pct"/>
          </w:tcPr>
          <w:p w:rsidR="002810EC" w:rsidRPr="00F86F1A" w:rsidRDefault="008C5291" w:rsidP="002810EC">
            <w:pPr>
              <w:spacing w:before="0"/>
              <w:cnfStyle w:val="000000000000" w:firstRow="0" w:lastRow="0" w:firstColumn="0" w:lastColumn="0" w:oddVBand="0" w:evenVBand="0" w:oddHBand="0" w:evenHBand="0" w:firstRowFirstColumn="0" w:firstRowLastColumn="0" w:lastRowFirstColumn="0" w:lastRowLastColumn="0"/>
            </w:pPr>
            <w:r>
              <w:t xml:space="preserve"># </w:t>
            </w:r>
            <w:r w:rsidR="002810EC" w:rsidRPr="00F86F1A">
              <w:t>of HIV care and service organization employees and volunteers who receive information on how to imp</w:t>
            </w:r>
            <w:r w:rsidR="00F0170C">
              <w:t>rove first contact experiences</w:t>
            </w:r>
          </w:p>
        </w:tc>
      </w:tr>
      <w:tr w:rsidR="002810EC" w:rsidRPr="00F86F1A" w:rsidTr="008C5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pct"/>
          </w:tcPr>
          <w:p w:rsidR="002810EC" w:rsidRPr="008C5291" w:rsidRDefault="002810EC" w:rsidP="002810EC">
            <w:pPr>
              <w:spacing w:before="0"/>
              <w:rPr>
                <w:b w:val="0"/>
              </w:rPr>
            </w:pPr>
            <w:r w:rsidRPr="008C5291">
              <w:rPr>
                <w:b w:val="0"/>
              </w:rPr>
              <w:t xml:space="preserve">2017-2021 </w:t>
            </w:r>
          </w:p>
        </w:tc>
        <w:tc>
          <w:tcPr>
            <w:tcW w:w="55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lastRenderedPageBreak/>
              <w:t>Planning Council</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AETC in partnership with</w:t>
            </w:r>
            <w:r w:rsidR="008C5291">
              <w:t xml:space="preserve"> HIV care and service providers</w:t>
            </w:r>
          </w:p>
        </w:tc>
        <w:tc>
          <w:tcPr>
            <w:tcW w:w="135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lastRenderedPageBreak/>
              <w:t xml:space="preserve">Provide experiential training to employees and volunteers in HIV care and </w:t>
            </w:r>
            <w:r w:rsidRPr="00F86F1A">
              <w:lastRenderedPageBreak/>
              <w:t>service organizations about how personal bias and stigma can prevent PLWH in underserved populations and high-risk groups from</w:t>
            </w:r>
            <w:r w:rsidR="00F0170C">
              <w:t xml:space="preserve"> accessing and staying in care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Conduct brainstorming sessions on how to improve firs</w:t>
            </w:r>
            <w:r w:rsidR="00F0170C">
              <w:t>t access and point of contact</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Recognize persons and agencies</w:t>
            </w:r>
            <w:r w:rsidR="00F0170C">
              <w:t xml:space="preserve"> that PLWH deem most welcoming</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Follow up with trainees at 3 and 9 months post training to determine what changes or improv</w:t>
            </w:r>
            <w:r w:rsidR="00F0170C">
              <w:t>ements were made and sustained</w:t>
            </w:r>
          </w:p>
        </w:tc>
        <w:tc>
          <w:tcPr>
            <w:tcW w:w="766"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lastRenderedPageBreak/>
              <w:t xml:space="preserve">Employees and volunteers in </w:t>
            </w:r>
            <w:r w:rsidRPr="00F86F1A">
              <w:lastRenderedPageBreak/>
              <w:t>HIV</w:t>
            </w:r>
            <w:r w:rsidR="00F0170C">
              <w:t xml:space="preserve"> care and service organizations</w:t>
            </w:r>
          </w:p>
        </w:tc>
        <w:tc>
          <w:tcPr>
            <w:tcW w:w="1042"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lastRenderedPageBreak/>
              <w:t xml:space="preserve">Trainers, training facilities, time off </w:t>
            </w:r>
            <w:r w:rsidRPr="00F86F1A">
              <w:lastRenderedPageBreak/>
              <w:t>fo</w:t>
            </w:r>
            <w:r w:rsidR="00F0170C">
              <w:t>r employees to attend training</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Group and community-specific data on percent of PLWH in underserved and high risk gr</w:t>
            </w:r>
            <w:r w:rsidR="00F0170C">
              <w:t>oups that are retained in care</w:t>
            </w:r>
          </w:p>
          <w:p w:rsidR="009B63A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Method to reward and recognize per</w:t>
            </w:r>
            <w:r w:rsidR="00F0170C">
              <w:t>sons and agencies that improve</w:t>
            </w:r>
          </w:p>
          <w:p w:rsidR="002810EC" w:rsidRPr="009B63AA" w:rsidRDefault="002810EC" w:rsidP="009B63AA">
            <w:pPr>
              <w:cnfStyle w:val="000000100000" w:firstRow="0" w:lastRow="0" w:firstColumn="0" w:lastColumn="0" w:oddVBand="0" w:evenVBand="0" w:oddHBand="1" w:evenHBand="0" w:firstRowFirstColumn="0" w:firstRowLastColumn="0" w:lastRowFirstColumn="0" w:lastRowLastColumn="0"/>
            </w:pPr>
          </w:p>
        </w:tc>
        <w:tc>
          <w:tcPr>
            <w:tcW w:w="764" w:type="pct"/>
          </w:tcPr>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lastRenderedPageBreak/>
              <w:t xml:space="preserve"># </w:t>
            </w:r>
            <w:r w:rsidR="002810EC" w:rsidRPr="00F86F1A">
              <w:t>of e</w:t>
            </w:r>
            <w:r w:rsidR="00F0170C">
              <w:t xml:space="preserve">mployees and </w:t>
            </w:r>
            <w:r w:rsidR="00F0170C">
              <w:lastRenderedPageBreak/>
              <w:t>volunteers trained</w:t>
            </w: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 trainees who report maki</w:t>
            </w:r>
            <w:r w:rsidR="00F0170C">
              <w:t>ng and sustaining improvements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Change from baseline in percent of PLWH who are retained in care and who are virally suppress</w:t>
            </w:r>
            <w:r w:rsidR="00F0170C">
              <w:t>ed</w:t>
            </w:r>
          </w:p>
        </w:tc>
      </w:tr>
      <w:tr w:rsidR="002810EC" w:rsidRPr="00F86F1A" w:rsidTr="008C5291">
        <w:tc>
          <w:tcPr>
            <w:cnfStyle w:val="001000000000" w:firstRow="0" w:lastRow="0" w:firstColumn="1" w:lastColumn="0" w:oddVBand="0" w:evenVBand="0" w:oddHBand="0" w:evenHBand="0" w:firstRowFirstColumn="0" w:firstRowLastColumn="0" w:lastRowFirstColumn="0" w:lastRowLastColumn="0"/>
            <w:tcW w:w="519" w:type="pct"/>
          </w:tcPr>
          <w:p w:rsidR="002810EC" w:rsidRPr="008C5291" w:rsidRDefault="002810EC" w:rsidP="002810EC">
            <w:pPr>
              <w:spacing w:before="0"/>
              <w:rPr>
                <w:b w:val="0"/>
              </w:rPr>
            </w:pPr>
            <w:r w:rsidRPr="008C5291">
              <w:rPr>
                <w:b w:val="0"/>
              </w:rPr>
              <w:lastRenderedPageBreak/>
              <w:t>2020-2021</w:t>
            </w:r>
          </w:p>
        </w:tc>
        <w:tc>
          <w:tcPr>
            <w:tcW w:w="55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Planning Council</w:t>
            </w:r>
          </w:p>
        </w:tc>
        <w:tc>
          <w:tcPr>
            <w:tcW w:w="135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Repeat listening sessions with individuals from PLWH in underserved populations and high risk groups to see if there have been improvements in their first contact experiences with HIV agencies and get additional ideas and suggestions </w:t>
            </w:r>
            <w:r w:rsidR="00F0170C">
              <w:t>for ways to make improvements</w:t>
            </w:r>
          </w:p>
        </w:tc>
        <w:tc>
          <w:tcPr>
            <w:tcW w:w="766"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PLWH in underserved populations and high-risk groups </w:t>
            </w:r>
          </w:p>
        </w:tc>
        <w:tc>
          <w:tcPr>
            <w:tcW w:w="1042"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Lis</w:t>
            </w:r>
            <w:r w:rsidR="00F0170C">
              <w:t>tening session topics/questions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Partnerships with trusted organizations, community leaders, and agencies serving priority groups to identify individuals’ willing to participate in listening sessions; etc.)</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Trained listeners (staff or students) in different c</w:t>
            </w:r>
            <w:r w:rsidR="00F0170C">
              <w:t>ommunities throughout the state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May need funding to prov</w:t>
            </w:r>
            <w:r w:rsidR="00F0170C">
              <w:t>ide incentives for participants</w:t>
            </w:r>
          </w:p>
        </w:tc>
        <w:tc>
          <w:tcPr>
            <w:tcW w:w="764"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Tota</w:t>
            </w:r>
            <w:r w:rsidR="00F0170C">
              <w:t>l number of individuals “heard”</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8C5291" w:rsidP="002810EC">
            <w:pPr>
              <w:spacing w:before="0"/>
              <w:cnfStyle w:val="000000000000" w:firstRow="0" w:lastRow="0" w:firstColumn="0" w:lastColumn="0" w:oddVBand="0" w:evenVBand="0" w:oddHBand="0" w:evenHBand="0" w:firstRowFirstColumn="0" w:firstRowLastColumn="0" w:lastRowFirstColumn="0" w:lastRowLastColumn="0"/>
            </w:pPr>
            <w:r>
              <w:t xml:space="preserve"># </w:t>
            </w:r>
            <w:r w:rsidR="002810EC" w:rsidRPr="00F86F1A">
              <w:t>of persons from each underserved or hi</w:t>
            </w:r>
            <w:r w:rsidR="00F0170C">
              <w:t>gh risk group that participate</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Change from baseline in percent of PLWH who are retained in care</w:t>
            </w:r>
            <w:r w:rsidR="00F0170C">
              <w:t xml:space="preserve"> and who are virally suppressed</w:t>
            </w:r>
          </w:p>
        </w:tc>
      </w:tr>
    </w:tbl>
    <w:p w:rsidR="002810EC" w:rsidRPr="00F86F1A" w:rsidRDefault="002810EC" w:rsidP="002810EC">
      <w:pPr>
        <w:spacing w:before="0" w:after="0"/>
      </w:pPr>
    </w:p>
    <w:p w:rsidR="002810EC" w:rsidRDefault="002810EC" w:rsidP="002810EC">
      <w:pPr>
        <w:spacing w:before="0" w:after="0"/>
      </w:pPr>
    </w:p>
    <w:p w:rsidR="00A63A7C" w:rsidRDefault="00A63A7C" w:rsidP="002810EC">
      <w:pPr>
        <w:spacing w:before="0" w:after="0"/>
        <w:rPr>
          <w:b/>
          <w:sz w:val="22"/>
        </w:rPr>
      </w:pPr>
    </w:p>
    <w:p w:rsidR="00A63A7C" w:rsidRDefault="00A63A7C" w:rsidP="002810EC">
      <w:pPr>
        <w:spacing w:before="0" w:after="0"/>
        <w:rPr>
          <w:b/>
          <w:sz w:val="22"/>
        </w:rPr>
      </w:pPr>
    </w:p>
    <w:p w:rsidR="002810EC" w:rsidRPr="008C5291" w:rsidRDefault="002810EC" w:rsidP="002810EC">
      <w:pPr>
        <w:spacing w:before="0" w:after="0"/>
        <w:rPr>
          <w:b/>
          <w:sz w:val="22"/>
        </w:rPr>
      </w:pPr>
      <w:r w:rsidRPr="008C5291">
        <w:rPr>
          <w:b/>
          <w:sz w:val="22"/>
        </w:rPr>
        <w:lastRenderedPageBreak/>
        <w:t>O3b. Strategy 2: Improve the ability of PLWH in underserved or high risk groups to navigate the HIV system of care.</w:t>
      </w:r>
    </w:p>
    <w:tbl>
      <w:tblPr>
        <w:tblStyle w:val="GridTable4-Accent3"/>
        <w:tblW w:w="5000" w:type="pct"/>
        <w:tblLook w:val="04A0" w:firstRow="1" w:lastRow="0" w:firstColumn="1" w:lastColumn="0" w:noHBand="0" w:noVBand="1"/>
      </w:tblPr>
      <w:tblGrid>
        <w:gridCol w:w="1127"/>
        <w:gridCol w:w="1219"/>
        <w:gridCol w:w="2444"/>
        <w:gridCol w:w="1348"/>
        <w:gridCol w:w="1417"/>
        <w:gridCol w:w="1795"/>
      </w:tblGrid>
      <w:tr w:rsidR="002810EC" w:rsidRPr="00F86F1A" w:rsidTr="00A63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Timeframe</w:t>
            </w:r>
          </w:p>
        </w:tc>
        <w:tc>
          <w:tcPr>
            <w:tcW w:w="65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tc>
        <w:tc>
          <w:tcPr>
            <w:tcW w:w="1307"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72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758"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960"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8C5291" w:rsidRDefault="002810EC" w:rsidP="002810EC">
            <w:pPr>
              <w:spacing w:before="0"/>
              <w:rPr>
                <w:b w:val="0"/>
              </w:rPr>
            </w:pPr>
            <w:r w:rsidRPr="008C5291">
              <w:rPr>
                <w:b w:val="0"/>
              </w:rPr>
              <w:t>2017</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Planning Council</w:t>
            </w:r>
          </w:p>
        </w:tc>
        <w:tc>
          <w:tcPr>
            <w:tcW w:w="1307" w:type="pct"/>
          </w:tcPr>
          <w:p w:rsidR="002810EC" w:rsidRPr="00F86F1A" w:rsidRDefault="002810EC" w:rsidP="002019C8">
            <w:pPr>
              <w:spacing w:before="0"/>
              <w:cnfStyle w:val="000000100000" w:firstRow="0" w:lastRow="0" w:firstColumn="0" w:lastColumn="0" w:oddVBand="0" w:evenVBand="0" w:oddHBand="1" w:evenHBand="0" w:firstRowFirstColumn="0" w:firstRowLastColumn="0" w:lastRowFirstColumn="0" w:lastRowLastColumn="0"/>
            </w:pPr>
            <w:r w:rsidRPr="00F86F1A">
              <w:t xml:space="preserve">Develop HIV community-specific websites that are updated monthly to list available services, who is eligible to access the services, cost for services, who to call, how to access, locations, hours, etc.  </w:t>
            </w:r>
          </w:p>
        </w:tc>
        <w:tc>
          <w:tcPr>
            <w:tcW w:w="72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HIV care and</w:t>
            </w:r>
            <w:r w:rsidR="00F0170C">
              <w:t xml:space="preserve"> service “navigators” and PLWH</w:t>
            </w:r>
          </w:p>
        </w:tc>
        <w:tc>
          <w:tcPr>
            <w:tcW w:w="758"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Website that is constantly updated as services, providers, rules, phone numbers, </w:t>
            </w:r>
            <w:r w:rsidR="00F0170C">
              <w:t>etc. change</w:t>
            </w:r>
          </w:p>
        </w:tc>
        <w:tc>
          <w:tcPr>
            <w:tcW w:w="960"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Accurac</w:t>
            </w:r>
            <w:r w:rsidR="00F0170C">
              <w:t>y and timeliness of information</w:t>
            </w: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 xml:space="preserve"># </w:t>
            </w:r>
            <w:r w:rsidR="00F0170C">
              <w:t>“hits” on the website</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Change from baseline in percent of PLWH who are linked to care, retained in care,</w:t>
            </w:r>
            <w:r w:rsidR="00F0170C">
              <w:t xml:space="preserve"> and who are virally suppressed</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8C5291" w:rsidRDefault="002810EC" w:rsidP="002810EC">
            <w:pPr>
              <w:spacing w:before="0"/>
              <w:rPr>
                <w:b w:val="0"/>
              </w:rPr>
            </w:pPr>
            <w:r w:rsidRPr="008C5291">
              <w:rPr>
                <w:b w:val="0"/>
              </w:rPr>
              <w:t>2018</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Planning Council</w:t>
            </w:r>
          </w:p>
        </w:tc>
        <w:tc>
          <w:tcPr>
            <w:tcW w:w="1307" w:type="pct"/>
          </w:tcPr>
          <w:p w:rsidR="002810EC" w:rsidRPr="002019C8" w:rsidRDefault="002019C8" w:rsidP="002019C8">
            <w:pPr>
              <w:spacing w:before="0"/>
              <w:cnfStyle w:val="000000000000" w:firstRow="0" w:lastRow="0" w:firstColumn="0" w:lastColumn="0" w:oddVBand="0" w:evenVBand="0" w:oddHBand="0" w:evenHBand="0" w:firstRowFirstColumn="0" w:firstRowLastColumn="0" w:lastRowFirstColumn="0" w:lastRowLastColumn="0"/>
            </w:pPr>
            <w:r w:rsidRPr="002019C8">
              <w:rPr>
                <w:rFonts w:cs="Tahoma"/>
                <w:color w:val="000000"/>
              </w:rPr>
              <w:t>Hold a yearly provider showcase for all parts, where all services provided will be discussed and case studies will be reviewed in an effort to enhance service delivery between agencies to PLWH.</w:t>
            </w:r>
          </w:p>
        </w:tc>
        <w:tc>
          <w:tcPr>
            <w:tcW w:w="721" w:type="pct"/>
          </w:tcPr>
          <w:p w:rsidR="002810EC" w:rsidRPr="00F86F1A" w:rsidRDefault="002019C8" w:rsidP="002810EC">
            <w:pPr>
              <w:spacing w:before="0"/>
              <w:cnfStyle w:val="000000000000" w:firstRow="0" w:lastRow="0" w:firstColumn="0" w:lastColumn="0" w:oddVBand="0" w:evenVBand="0" w:oddHBand="0" w:evenHBand="0" w:firstRowFirstColumn="0" w:firstRowLastColumn="0" w:lastRowFirstColumn="0" w:lastRowLastColumn="0"/>
            </w:pPr>
            <w:r>
              <w:t>Providers</w:t>
            </w:r>
            <w:r w:rsidR="002810EC" w:rsidRPr="00F86F1A">
              <w:t xml:space="preserve"> </w:t>
            </w:r>
          </w:p>
        </w:tc>
        <w:tc>
          <w:tcPr>
            <w:tcW w:w="758" w:type="pct"/>
          </w:tcPr>
          <w:p w:rsidR="002810EC" w:rsidRDefault="002019C8" w:rsidP="002810EC">
            <w:pPr>
              <w:spacing w:before="0"/>
              <w:cnfStyle w:val="000000000000" w:firstRow="0" w:lastRow="0" w:firstColumn="0" w:lastColumn="0" w:oddVBand="0" w:evenVBand="0" w:oddHBand="0" w:evenHBand="0" w:firstRowFirstColumn="0" w:firstRowLastColumn="0" w:lastRowFirstColumn="0" w:lastRowLastColumn="0"/>
            </w:pPr>
            <w:r>
              <w:t>Staff time</w:t>
            </w:r>
          </w:p>
          <w:p w:rsidR="002019C8" w:rsidRPr="00F86F1A" w:rsidRDefault="002019C8" w:rsidP="002810EC">
            <w:pPr>
              <w:spacing w:before="0"/>
              <w:cnfStyle w:val="000000000000" w:firstRow="0" w:lastRow="0" w:firstColumn="0" w:lastColumn="0" w:oddVBand="0" w:evenVBand="0" w:oddHBand="0" w:evenHBand="0" w:firstRowFirstColumn="0" w:firstRowLastColumn="0" w:lastRowFirstColumn="0" w:lastRowLastColumn="0"/>
            </w:pPr>
            <w:r>
              <w:t>Location</w:t>
            </w:r>
          </w:p>
        </w:tc>
        <w:tc>
          <w:tcPr>
            <w:tcW w:w="960" w:type="pct"/>
          </w:tcPr>
          <w:p w:rsidR="002810EC" w:rsidRPr="00F86F1A" w:rsidRDefault="002019C8" w:rsidP="002810EC">
            <w:pPr>
              <w:spacing w:before="0"/>
              <w:cnfStyle w:val="000000000000" w:firstRow="0" w:lastRow="0" w:firstColumn="0" w:lastColumn="0" w:oddVBand="0" w:evenVBand="0" w:oddHBand="0" w:evenHBand="0" w:firstRowFirstColumn="0" w:firstRowLastColumn="0" w:lastRowFirstColumn="0" w:lastRowLastColumn="0"/>
            </w:pPr>
            <w:r>
              <w:t># providers participating</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8C5291" w:rsidRDefault="002810EC" w:rsidP="002810EC">
            <w:pPr>
              <w:spacing w:before="0"/>
              <w:rPr>
                <w:b w:val="0"/>
              </w:rPr>
            </w:pPr>
            <w:r w:rsidRPr="008C5291">
              <w:rPr>
                <w:b w:val="0"/>
              </w:rPr>
              <w:t>2018</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Planning Council</w:t>
            </w:r>
          </w:p>
          <w:p w:rsidR="002810EC" w:rsidRPr="00F86F1A" w:rsidRDefault="00F0170C" w:rsidP="002810EC">
            <w:pPr>
              <w:spacing w:before="0"/>
              <w:cnfStyle w:val="000000100000" w:firstRow="0" w:lastRow="0" w:firstColumn="0" w:lastColumn="0" w:oddVBand="0" w:evenVBand="0" w:oddHBand="1" w:evenHBand="0" w:firstRowFirstColumn="0" w:firstRowLastColumn="0" w:lastRowFirstColumn="0" w:lastRowLastColumn="0"/>
            </w:pPr>
            <w:r>
              <w:t>HIV care and service providers</w:t>
            </w:r>
          </w:p>
        </w:tc>
        <w:tc>
          <w:tcPr>
            <w:tcW w:w="1307"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Implement “peer navigator” program.  Role of peer navigators is to mentor newly diagnosed people, “hold their hand” early in the process of accessing services (help them fill out forms, go to agencies, get labs done, etc.), know when to reapply, and help them be</w:t>
            </w:r>
            <w:r w:rsidR="00F0170C">
              <w:t>come self-sufficient over time</w:t>
            </w:r>
          </w:p>
        </w:tc>
        <w:tc>
          <w:tcPr>
            <w:tcW w:w="72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PLWH in underserved populations and high-risk groups </w:t>
            </w:r>
          </w:p>
        </w:tc>
        <w:tc>
          <w:tcPr>
            <w:tcW w:w="758"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Funding, training, and trans</w:t>
            </w:r>
            <w:r w:rsidR="00F0170C">
              <w:t>portation for peer navigators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Staged system of assistance from dependency to</w:t>
            </w:r>
            <w:r w:rsidR="00F0170C">
              <w:t xml:space="preserve"> self-sufficiency</w:t>
            </w:r>
          </w:p>
        </w:tc>
        <w:tc>
          <w:tcPr>
            <w:tcW w:w="960" w:type="pct"/>
          </w:tcPr>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 P</w:t>
            </w:r>
            <w:r w:rsidR="00F0170C">
              <w:t>LWH assisted by peer navigators</w:t>
            </w: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who report feeling self-sufficient with regard to naviga</w:t>
            </w:r>
            <w:r w:rsidR="00F0170C">
              <w:t>ting the system within 6 months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Change from baseline in percent of PLWH who are linked to care, retained in care, and who are </w:t>
            </w:r>
            <w:r w:rsidR="00F0170C">
              <w:t>virally suppressed</w:t>
            </w:r>
          </w:p>
        </w:tc>
      </w:tr>
    </w:tbl>
    <w:p w:rsidR="00A63A7C" w:rsidRDefault="00A63A7C" w:rsidP="002810EC">
      <w:pPr>
        <w:spacing w:before="0" w:after="0"/>
        <w:rPr>
          <w:b/>
          <w:sz w:val="22"/>
        </w:rPr>
      </w:pPr>
    </w:p>
    <w:p w:rsidR="00A63A7C" w:rsidRDefault="00A63A7C" w:rsidP="002810EC">
      <w:pPr>
        <w:spacing w:before="0" w:after="0"/>
        <w:rPr>
          <w:b/>
          <w:sz w:val="22"/>
        </w:rPr>
      </w:pPr>
    </w:p>
    <w:p w:rsidR="00A63A7C" w:rsidRDefault="00A63A7C" w:rsidP="002810EC">
      <w:pPr>
        <w:spacing w:before="0" w:after="0"/>
        <w:rPr>
          <w:b/>
          <w:sz w:val="22"/>
        </w:rPr>
      </w:pPr>
    </w:p>
    <w:p w:rsidR="00A63A7C" w:rsidRDefault="00A63A7C" w:rsidP="002810EC">
      <w:pPr>
        <w:spacing w:before="0" w:after="0"/>
        <w:rPr>
          <w:b/>
          <w:sz w:val="22"/>
        </w:rPr>
      </w:pPr>
    </w:p>
    <w:p w:rsidR="00A63A7C" w:rsidRDefault="00A63A7C" w:rsidP="002810EC">
      <w:pPr>
        <w:spacing w:before="0" w:after="0"/>
        <w:rPr>
          <w:b/>
          <w:sz w:val="22"/>
        </w:rPr>
      </w:pPr>
    </w:p>
    <w:p w:rsidR="00A63A7C" w:rsidRDefault="00A63A7C" w:rsidP="002810EC">
      <w:pPr>
        <w:spacing w:before="0" w:after="0"/>
        <w:rPr>
          <w:b/>
          <w:sz w:val="22"/>
        </w:rPr>
      </w:pPr>
    </w:p>
    <w:p w:rsidR="00A63A7C" w:rsidRDefault="00A63A7C" w:rsidP="002810EC">
      <w:pPr>
        <w:spacing w:before="0" w:after="0"/>
        <w:rPr>
          <w:b/>
          <w:sz w:val="22"/>
        </w:rPr>
      </w:pPr>
    </w:p>
    <w:p w:rsidR="00A63A7C" w:rsidRDefault="00A63A7C" w:rsidP="002810EC">
      <w:pPr>
        <w:spacing w:before="0" w:after="0"/>
        <w:rPr>
          <w:b/>
          <w:sz w:val="22"/>
        </w:rPr>
      </w:pPr>
    </w:p>
    <w:p w:rsidR="002810EC" w:rsidRPr="008C5291" w:rsidRDefault="002810EC" w:rsidP="002810EC">
      <w:pPr>
        <w:spacing w:before="0" w:after="0"/>
        <w:rPr>
          <w:b/>
          <w:sz w:val="22"/>
        </w:rPr>
      </w:pPr>
      <w:r w:rsidRPr="008C5291">
        <w:rPr>
          <w:b/>
          <w:sz w:val="22"/>
        </w:rPr>
        <w:lastRenderedPageBreak/>
        <w:t>O3b. Strategy 3: Improve the accessibility of information for PLWH in underserved or high risk groups.</w:t>
      </w:r>
    </w:p>
    <w:tbl>
      <w:tblPr>
        <w:tblStyle w:val="GridTable4-Accent3"/>
        <w:tblW w:w="5000" w:type="pct"/>
        <w:tblLook w:val="04A0" w:firstRow="1" w:lastRow="0" w:firstColumn="1" w:lastColumn="0" w:noHBand="0" w:noVBand="1"/>
      </w:tblPr>
      <w:tblGrid>
        <w:gridCol w:w="1125"/>
        <w:gridCol w:w="1218"/>
        <w:gridCol w:w="1978"/>
        <w:gridCol w:w="1255"/>
        <w:gridCol w:w="2003"/>
        <w:gridCol w:w="1771"/>
      </w:tblGrid>
      <w:tr w:rsidR="002810EC" w:rsidRPr="00F86F1A" w:rsidTr="00A63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Timeframe</w:t>
            </w:r>
          </w:p>
        </w:tc>
        <w:tc>
          <w:tcPr>
            <w:tcW w:w="65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Responsible Parties</w:t>
            </w:r>
          </w:p>
        </w:tc>
        <w:tc>
          <w:tcPr>
            <w:tcW w:w="1058"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Activity/Intervention</w:t>
            </w:r>
          </w:p>
        </w:tc>
        <w:tc>
          <w:tcPr>
            <w:tcW w:w="67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Target Population</w:t>
            </w:r>
          </w:p>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p>
        </w:tc>
        <w:tc>
          <w:tcPr>
            <w:tcW w:w="1071"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Resources needed to implement activity</w:t>
            </w:r>
          </w:p>
        </w:tc>
        <w:tc>
          <w:tcPr>
            <w:tcW w:w="948" w:type="pct"/>
          </w:tcPr>
          <w:p w:rsidR="002810EC" w:rsidRPr="00F86F1A" w:rsidRDefault="002810EC" w:rsidP="002810EC">
            <w:pPr>
              <w:spacing w:before="0"/>
              <w:cnfStyle w:val="100000000000" w:firstRow="1" w:lastRow="0" w:firstColumn="0" w:lastColumn="0" w:oddVBand="0" w:evenVBand="0" w:oddHBand="0" w:evenHBand="0" w:firstRowFirstColumn="0" w:firstRowLastColumn="0" w:lastRowFirstColumn="0" w:lastRowLastColumn="0"/>
            </w:pPr>
            <w:r w:rsidRPr="00F86F1A">
              <w:t>Metrics</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8C5291" w:rsidRDefault="002810EC" w:rsidP="002810EC">
            <w:pPr>
              <w:spacing w:before="0"/>
              <w:rPr>
                <w:b w:val="0"/>
              </w:rPr>
            </w:pPr>
            <w:r w:rsidRPr="008C5291">
              <w:rPr>
                <w:b w:val="0"/>
              </w:rPr>
              <w:t>2018</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Planning Council</w:t>
            </w:r>
          </w:p>
          <w:p w:rsidR="002810EC" w:rsidRPr="00F86F1A" w:rsidRDefault="00F0170C" w:rsidP="002810EC">
            <w:pPr>
              <w:spacing w:before="0"/>
              <w:cnfStyle w:val="000000100000" w:firstRow="0" w:lastRow="0" w:firstColumn="0" w:lastColumn="0" w:oddVBand="0" w:evenVBand="0" w:oddHBand="1" w:evenHBand="0" w:firstRowFirstColumn="0" w:firstRowLastColumn="0" w:lastRowFirstColumn="0" w:lastRowLastColumn="0"/>
            </w:pPr>
            <w:r>
              <w:t>HIV care and service providers</w:t>
            </w:r>
          </w:p>
        </w:tc>
        <w:tc>
          <w:tcPr>
            <w:tcW w:w="1058"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Review all current patient materials (enrollment, list of services, patient responsibilities, timelines, payment, etc</w:t>
            </w:r>
            <w:r w:rsidR="00F0170C">
              <w:t>.) for health literacy criteria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Revis</w:t>
            </w:r>
            <w:r w:rsidR="00F0170C">
              <w:t xml:space="preserve">e materials as needed to be at </w:t>
            </w:r>
            <w:r w:rsidRPr="00F86F1A">
              <w:t>6</w:t>
            </w:r>
            <w:r w:rsidRPr="00F86F1A">
              <w:rPr>
                <w:vertAlign w:val="superscript"/>
              </w:rPr>
              <w:t>th</w:t>
            </w:r>
            <w:r w:rsidRPr="00F86F1A">
              <w:t xml:space="preserve"> grade rea</w:t>
            </w:r>
            <w:r w:rsidR="00F0170C">
              <w:t>ding level</w:t>
            </w:r>
          </w:p>
        </w:tc>
        <w:tc>
          <w:tcPr>
            <w:tcW w:w="67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PLWH in underserved populations and high-risk groups </w:t>
            </w:r>
          </w:p>
        </w:tc>
        <w:tc>
          <w:tcPr>
            <w:tcW w:w="107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Training for staff in health literacy (what it is, why it m</w:t>
            </w:r>
            <w:r w:rsidR="00F0170C">
              <w:t>atters, how to adapt materials)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Staff time</w:t>
            </w:r>
            <w:r w:rsidR="00F0170C">
              <w:t xml:space="preserve"> to review and revise materials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Training for staff in providing clear oral and written information for clients (using “living room language”, providing examples, checking in </w:t>
            </w:r>
            <w:r w:rsidR="00F0170C">
              <w:t>to ensure understanding, etc.)</w:t>
            </w:r>
          </w:p>
        </w:tc>
        <w:tc>
          <w:tcPr>
            <w:tcW w:w="948" w:type="pct"/>
          </w:tcPr>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 written materials mee</w:t>
            </w:r>
            <w:r w:rsidR="00F0170C">
              <w:t>ting health literacy standards</w:t>
            </w: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of s</w:t>
            </w:r>
            <w:r w:rsidR="00F0170C">
              <w:t>taff trained in health literacy</w:t>
            </w: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 staff reporting making changes in how they communicate with clients.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Change from baseline in percent of PLWH who are linked to care, retained in care,</w:t>
            </w:r>
            <w:r w:rsidR="00F0170C">
              <w:t xml:space="preserve"> and who are virally suppressed</w:t>
            </w:r>
          </w:p>
        </w:tc>
      </w:tr>
      <w:tr w:rsidR="002810EC" w:rsidRPr="00F86F1A" w:rsidTr="00A63A7C">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2017</w:t>
            </w:r>
          </w:p>
        </w:tc>
        <w:tc>
          <w:tcPr>
            <w:tcW w:w="65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RWPA</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RWPB</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Planning Council</w:t>
            </w:r>
          </w:p>
          <w:p w:rsidR="002810EC" w:rsidRPr="00F86F1A" w:rsidRDefault="00F0170C" w:rsidP="002810EC">
            <w:pPr>
              <w:spacing w:before="0"/>
              <w:cnfStyle w:val="000000000000" w:firstRow="0" w:lastRow="0" w:firstColumn="0" w:lastColumn="0" w:oddVBand="0" w:evenVBand="0" w:oddHBand="0" w:evenHBand="0" w:firstRowFirstColumn="0" w:firstRowLastColumn="0" w:lastRowFirstColumn="0" w:lastRowLastColumn="0"/>
            </w:pPr>
            <w:r>
              <w:t>HIV care and service providers</w:t>
            </w:r>
          </w:p>
        </w:tc>
        <w:tc>
          <w:tcPr>
            <w:tcW w:w="1058"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Assess staffing to identify strengths and weaknesses in meeting language needs (oral and writte</w:t>
            </w:r>
            <w:r w:rsidR="00F0170C">
              <w:t>n) for Spanish speaking clients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Determine the need for translation in o</w:t>
            </w:r>
            <w:r w:rsidR="00F0170C">
              <w:t>ther languages besides Spanish</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Hire bi-lingual staff who are fluent in differences in Spanish across va</w:t>
            </w:r>
            <w:r w:rsidR="00F0170C">
              <w:t>ried Hispanic cultures</w:t>
            </w:r>
          </w:p>
        </w:tc>
        <w:tc>
          <w:tcPr>
            <w:tcW w:w="67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PLWH in underserved populations and high-risk groups </w:t>
            </w:r>
          </w:p>
        </w:tc>
        <w:tc>
          <w:tcPr>
            <w:tcW w:w="1071" w:type="pct"/>
          </w:tcPr>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Hiring or reassignment of bilingual staff to ensure readily accessible translation service</w:t>
            </w:r>
            <w:r w:rsidR="00F0170C">
              <w:t>s for Spanish-speaking clients.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 xml:space="preserve">Purchase or translation time for having all materials </w:t>
            </w:r>
            <w:r w:rsidR="00F0170C">
              <w:t>in English and Spanish</w:t>
            </w:r>
          </w:p>
        </w:tc>
        <w:tc>
          <w:tcPr>
            <w:tcW w:w="948" w:type="pct"/>
          </w:tcPr>
          <w:p w:rsidR="002810EC" w:rsidRPr="00F86F1A" w:rsidRDefault="008C5291" w:rsidP="002810EC">
            <w:pPr>
              <w:spacing w:before="0"/>
              <w:cnfStyle w:val="000000000000" w:firstRow="0" w:lastRow="0" w:firstColumn="0" w:lastColumn="0" w:oddVBand="0" w:evenVBand="0" w:oddHBand="0" w:evenHBand="0" w:firstRowFirstColumn="0" w:firstRowLastColumn="0" w:lastRowFirstColumn="0" w:lastRowLastColumn="0"/>
            </w:pPr>
            <w:r>
              <w:t>%</w:t>
            </w:r>
            <w:r w:rsidR="002810EC" w:rsidRPr="00F86F1A">
              <w:t>of Spanish speaking clients who re</w:t>
            </w:r>
            <w:r w:rsidR="00F0170C">
              <w:t>port easy access to translators</w:t>
            </w: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p>
          <w:p w:rsidR="002810EC" w:rsidRPr="00F86F1A" w:rsidRDefault="002810EC" w:rsidP="002810EC">
            <w:pPr>
              <w:spacing w:before="0"/>
              <w:cnfStyle w:val="000000000000" w:firstRow="0" w:lastRow="0" w:firstColumn="0" w:lastColumn="0" w:oddVBand="0" w:evenVBand="0" w:oddHBand="0" w:evenHBand="0" w:firstRowFirstColumn="0" w:firstRowLastColumn="0" w:lastRowFirstColumn="0" w:lastRowLastColumn="0"/>
            </w:pPr>
            <w:r w:rsidRPr="00F86F1A">
              <w:t>Change from baseline in percent of PLWH who are linked to care, retained in care,</w:t>
            </w:r>
            <w:r w:rsidR="00F0170C">
              <w:t xml:space="preserve"> and who are virally suppressed</w:t>
            </w:r>
          </w:p>
        </w:tc>
      </w:tr>
      <w:tr w:rsidR="002810EC" w:rsidRPr="00F86F1A" w:rsidTr="00A63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rsidR="002810EC" w:rsidRPr="00F86F1A" w:rsidRDefault="002810EC" w:rsidP="002810EC">
            <w:pPr>
              <w:spacing w:before="0"/>
            </w:pPr>
            <w:r w:rsidRPr="00F86F1A">
              <w:t>2019</w:t>
            </w:r>
          </w:p>
        </w:tc>
        <w:tc>
          <w:tcPr>
            <w:tcW w:w="65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RWPA</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RWPB</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Planning Council</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HIV care </w:t>
            </w:r>
            <w:r w:rsidR="00F0170C">
              <w:t>and service providers</w:t>
            </w:r>
          </w:p>
        </w:tc>
        <w:tc>
          <w:tcPr>
            <w:tcW w:w="1058"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Replicate the “Living Room” program in different communities, at different “user friendly locations”, different times and days.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 xml:space="preserve">(The Living Room program is a welcoming, relaxed, friendly place where </w:t>
            </w:r>
            <w:r w:rsidRPr="00F86F1A">
              <w:lastRenderedPageBreak/>
              <w:t>newly diagnosed people and their family and friends can drop in to learn about what to expect from different agencies, how to access services, how to stay healthy, etc.)</w:t>
            </w:r>
          </w:p>
        </w:tc>
        <w:tc>
          <w:tcPr>
            <w:tcW w:w="671" w:type="pct"/>
          </w:tcPr>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lastRenderedPageBreak/>
              <w:t xml:space="preserve">PLWH in underserved populations and high-risk groups </w:t>
            </w:r>
          </w:p>
        </w:tc>
        <w:tc>
          <w:tcPr>
            <w:tcW w:w="1071" w:type="pct"/>
          </w:tcPr>
          <w:p w:rsidR="002810EC" w:rsidRPr="00F86F1A" w:rsidRDefault="00F0170C" w:rsidP="002810EC">
            <w:pPr>
              <w:spacing w:before="0"/>
              <w:cnfStyle w:val="000000100000" w:firstRow="0" w:lastRow="0" w:firstColumn="0" w:lastColumn="0" w:oddVBand="0" w:evenVBand="0" w:oddHBand="1" w:evenHBand="0" w:firstRowFirstColumn="0" w:firstRowLastColumn="0" w:lastRowFirstColumn="0" w:lastRowLastColumn="0"/>
            </w:pPr>
            <w:r>
              <w:t>Funding for staffing</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t>Identification of key locations for “Living Rooms” to attract underse</w:t>
            </w:r>
            <w:r w:rsidR="00F0170C">
              <w:t>rved and high risk individuals</w:t>
            </w:r>
          </w:p>
        </w:tc>
        <w:tc>
          <w:tcPr>
            <w:tcW w:w="948" w:type="pct"/>
          </w:tcPr>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w:t>
            </w:r>
            <w:r w:rsidR="00F0170C">
              <w:t xml:space="preserve"> Living Room programs conducted</w:t>
            </w: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 per</w:t>
            </w:r>
            <w:r w:rsidR="00F0170C">
              <w:t>sons coming to the Living Rooms</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p>
          <w:p w:rsidR="002810EC" w:rsidRPr="00F86F1A" w:rsidRDefault="008C5291" w:rsidP="002810EC">
            <w:pPr>
              <w:spacing w:before="0"/>
              <w:cnfStyle w:val="000000100000" w:firstRow="0" w:lastRow="0" w:firstColumn="0" w:lastColumn="0" w:oddVBand="0" w:evenVBand="0" w:oddHBand="1" w:evenHBand="0" w:firstRowFirstColumn="0" w:firstRowLastColumn="0" w:lastRowFirstColumn="0" w:lastRowLastColumn="0"/>
            </w:pPr>
            <w:r>
              <w:t>#</w:t>
            </w:r>
            <w:r w:rsidR="002810EC" w:rsidRPr="00F86F1A">
              <w:t xml:space="preserve"> of PLWH who report accessing services as a </w:t>
            </w:r>
            <w:r w:rsidR="00F0170C">
              <w:t>result of attending Living Room</w:t>
            </w:r>
          </w:p>
          <w:p w:rsidR="002810EC" w:rsidRPr="00F86F1A" w:rsidRDefault="002810EC" w:rsidP="002810EC">
            <w:pPr>
              <w:spacing w:before="0"/>
              <w:cnfStyle w:val="000000100000" w:firstRow="0" w:lastRow="0" w:firstColumn="0" w:lastColumn="0" w:oddVBand="0" w:evenVBand="0" w:oddHBand="1" w:evenHBand="0" w:firstRowFirstColumn="0" w:firstRowLastColumn="0" w:lastRowFirstColumn="0" w:lastRowLastColumn="0"/>
            </w:pPr>
            <w:r w:rsidRPr="00F86F1A">
              <w:lastRenderedPageBreak/>
              <w:t>Change from baseline in percent of PLWH who are linked to care, retained in care,</w:t>
            </w:r>
            <w:r w:rsidR="00F0170C">
              <w:t xml:space="preserve"> and who are virally suppressed</w:t>
            </w:r>
          </w:p>
        </w:tc>
      </w:tr>
    </w:tbl>
    <w:p w:rsidR="008C5291" w:rsidRDefault="002810EC" w:rsidP="00B639CA">
      <w:pPr>
        <w:widowControl w:val="0"/>
        <w:autoSpaceDE w:val="0"/>
        <w:autoSpaceDN w:val="0"/>
        <w:adjustRightInd w:val="0"/>
        <w:spacing w:before="0" w:after="0"/>
        <w:jc w:val="both"/>
        <w:rPr>
          <w:rFonts w:cstheme="majorHAnsi"/>
          <w:b/>
          <w:bCs/>
          <w:sz w:val="22"/>
        </w:rPr>
      </w:pPr>
      <w:r w:rsidRPr="00B639CA">
        <w:rPr>
          <w:rFonts w:cstheme="majorHAnsi"/>
          <w:b/>
          <w:bCs/>
          <w:sz w:val="22"/>
        </w:rPr>
        <w:lastRenderedPageBreak/>
        <w:t xml:space="preserve"> </w:t>
      </w:r>
    </w:p>
    <w:p w:rsidR="002810EC" w:rsidRPr="00B639CA" w:rsidRDefault="002810EC" w:rsidP="00B639CA">
      <w:pPr>
        <w:widowControl w:val="0"/>
        <w:autoSpaceDE w:val="0"/>
        <w:autoSpaceDN w:val="0"/>
        <w:adjustRightInd w:val="0"/>
        <w:spacing w:before="0" w:after="0"/>
        <w:jc w:val="both"/>
        <w:rPr>
          <w:rFonts w:cs="Calibri Light"/>
          <w:sz w:val="22"/>
        </w:rPr>
      </w:pPr>
      <w:r w:rsidRPr="00B639CA">
        <w:rPr>
          <w:rFonts w:cstheme="majorHAnsi"/>
          <w:b/>
          <w:sz w:val="22"/>
        </w:rPr>
        <w:t>Goal 3 anticipated challenges or barriers in implementing the plan:</w:t>
      </w:r>
      <w:r w:rsidRPr="00B639CA">
        <w:rPr>
          <w:rFonts w:cstheme="majorHAnsi"/>
          <w:sz w:val="22"/>
        </w:rPr>
        <w:t xml:space="preserve">  Achieving this goal will require additional funding and potentially a change in funding guidelines to allow for expanded outreach including use of different media platforms, development of web-based information systems, training and re-training of staff, hiring new staff who are bilingual, who work on inter-agency outreach teams, and who serve as patient navigators fo</w:t>
      </w:r>
      <w:r w:rsidR="008C5291">
        <w:rPr>
          <w:rFonts w:cstheme="majorHAnsi"/>
          <w:sz w:val="22"/>
        </w:rPr>
        <w:t>r the hardest to reach clients. I</w:t>
      </w:r>
      <w:r w:rsidRPr="00B639CA">
        <w:rPr>
          <w:rFonts w:cstheme="majorHAnsi"/>
          <w:sz w:val="22"/>
        </w:rPr>
        <w:t>t will also require, or at least be more likely to be achieved, with better interagency cooperation and communication that can be fostered by more coherent funding strategies and incentives.   Over time, cost savings can be realized as more PLWH enter and stay in care and achieve viral suppression.</w:t>
      </w:r>
    </w:p>
    <w:p w:rsidR="00512FE8" w:rsidRPr="00B639CA" w:rsidRDefault="00512FE8" w:rsidP="00B639CA">
      <w:pPr>
        <w:jc w:val="both"/>
        <w:rPr>
          <w:rFonts w:cs="Calibri Light"/>
          <w:b/>
          <w:bCs/>
          <w:sz w:val="24"/>
          <w:szCs w:val="22"/>
        </w:rPr>
        <w:sectPr w:rsidR="00512FE8" w:rsidRPr="00B639CA" w:rsidSect="009B63AA">
          <w:endnotePr>
            <w:numFmt w:val="decimal"/>
          </w:endnotePr>
          <w:pgSz w:w="12240" w:h="15840" w:code="1"/>
          <w:pgMar w:top="1440" w:right="1440" w:bottom="1440" w:left="1440" w:header="720" w:footer="720" w:gutter="0"/>
          <w:cols w:space="720"/>
          <w:docGrid w:linePitch="272"/>
        </w:sectPr>
      </w:pPr>
    </w:p>
    <w:p w:rsidR="00526310" w:rsidRPr="00526310" w:rsidRDefault="00526310" w:rsidP="00526310">
      <w:pPr>
        <w:pStyle w:val="Heading2"/>
      </w:pPr>
      <w:bookmarkStart w:id="54" w:name="_Toc461188597"/>
      <w:r w:rsidRPr="00526310">
        <w:lastRenderedPageBreak/>
        <w:t>B. Collaborations, Partnerships, and Stakeholder Involvement</w:t>
      </w:r>
      <w:bookmarkEnd w:id="54"/>
      <w:r w:rsidRPr="00526310">
        <w:t xml:space="preserve"> </w:t>
      </w:r>
    </w:p>
    <w:p w:rsidR="00526310" w:rsidRPr="00526310" w:rsidRDefault="00526310" w:rsidP="00526310">
      <w:pPr>
        <w:pStyle w:val="Heading3"/>
      </w:pPr>
      <w:bookmarkStart w:id="55" w:name="_Toc461188598"/>
      <w:r w:rsidRPr="00526310">
        <w:t>Contributions of Stakeholders and Key Partners</w:t>
      </w:r>
      <w:bookmarkEnd w:id="55"/>
    </w:p>
    <w:p w:rsidR="00517EF6" w:rsidRPr="00526310" w:rsidRDefault="00517EF6" w:rsidP="00E73293">
      <w:pPr>
        <w:pStyle w:val="ListParagraph"/>
        <w:widowControl w:val="0"/>
        <w:numPr>
          <w:ilvl w:val="0"/>
          <w:numId w:val="10"/>
        </w:numPr>
        <w:autoSpaceDE w:val="0"/>
        <w:autoSpaceDN w:val="0"/>
        <w:adjustRightInd w:val="0"/>
        <w:rPr>
          <w:rFonts w:cs="Calibri Light"/>
          <w:i/>
          <w:sz w:val="22"/>
          <w:szCs w:val="22"/>
        </w:rPr>
      </w:pPr>
      <w:r w:rsidRPr="00526310">
        <w:rPr>
          <w:rFonts w:cs="Calibri Light"/>
          <w:i/>
          <w:sz w:val="22"/>
          <w:szCs w:val="22"/>
        </w:rPr>
        <w:t xml:space="preserve">Describe the specific contributions of stakeholders and key partners to the development of the plan </w:t>
      </w:r>
    </w:p>
    <w:p w:rsidR="00627076" w:rsidRPr="00B0316C" w:rsidRDefault="00627076" w:rsidP="00627076">
      <w:pPr>
        <w:widowControl w:val="0"/>
        <w:autoSpaceDE w:val="0"/>
        <w:autoSpaceDN w:val="0"/>
        <w:adjustRightInd w:val="0"/>
        <w:spacing w:after="0"/>
        <w:jc w:val="both"/>
        <w:rPr>
          <w:rFonts w:cs="Calibri Light"/>
          <w:sz w:val="22"/>
          <w:szCs w:val="22"/>
        </w:rPr>
      </w:pPr>
      <w:r w:rsidRPr="00B0316C">
        <w:rPr>
          <w:rFonts w:cs="Calibri Light"/>
          <w:sz w:val="22"/>
          <w:szCs w:val="22"/>
        </w:rPr>
        <w:t xml:space="preserve">The needs assessment and SCSN planning process was initiated in late 2014 as the administrators of Parts A, B and Prevention agreed to collaborate to create one needs assessment and care plan for Nevada.  This made great sense to the planning bodies and to the clinical community as treatment and prevention represent two sides of the same coin and both are of equal importance in achieving better outcomes at the various points of the cascade.  Under the leadership of the State Office of HIV/AIDS and the Ryan White Part A program, the HIV Prevention and Care Integrated Plan Internal Workgroup was formed to guide the plan development process. The internal workgroup included representatives from </w:t>
      </w:r>
      <w:r w:rsidR="000B49F4">
        <w:rPr>
          <w:rFonts w:cs="Calibri Light"/>
          <w:sz w:val="22"/>
          <w:szCs w:val="22"/>
        </w:rPr>
        <w:t>RWPB,</w:t>
      </w:r>
      <w:r w:rsidRPr="00B0316C">
        <w:rPr>
          <w:rFonts w:cs="Calibri Light"/>
          <w:sz w:val="22"/>
          <w:szCs w:val="22"/>
        </w:rPr>
        <w:t xml:space="preserve"> the </w:t>
      </w:r>
      <w:r w:rsidR="000B49F4">
        <w:rPr>
          <w:rFonts w:cs="Calibri Light"/>
          <w:sz w:val="22"/>
          <w:szCs w:val="22"/>
        </w:rPr>
        <w:t xml:space="preserve">HIV </w:t>
      </w:r>
      <w:r w:rsidRPr="00B0316C">
        <w:rPr>
          <w:rFonts w:cs="Calibri Light"/>
          <w:sz w:val="22"/>
          <w:szCs w:val="22"/>
        </w:rPr>
        <w:t xml:space="preserve">Prevention, </w:t>
      </w:r>
      <w:r w:rsidR="000B49F4">
        <w:rPr>
          <w:rFonts w:cs="Calibri Light"/>
          <w:sz w:val="22"/>
          <w:szCs w:val="22"/>
        </w:rPr>
        <w:t>RWPA, SNHD</w:t>
      </w:r>
      <w:r w:rsidRPr="00B0316C">
        <w:rPr>
          <w:rFonts w:cs="Calibri Light"/>
          <w:sz w:val="22"/>
          <w:szCs w:val="22"/>
        </w:rPr>
        <w:t xml:space="preserve">, </w:t>
      </w:r>
      <w:r w:rsidR="000B49F4">
        <w:rPr>
          <w:rFonts w:cs="Calibri Light"/>
          <w:sz w:val="22"/>
          <w:szCs w:val="22"/>
        </w:rPr>
        <w:t xml:space="preserve">and WCHD. RWPB, HIV Prevention and RWPA </w:t>
      </w:r>
      <w:r w:rsidRPr="00B0316C">
        <w:rPr>
          <w:rFonts w:cs="Calibri Light"/>
          <w:sz w:val="22"/>
          <w:szCs w:val="22"/>
        </w:rPr>
        <w:t>contracted with the School of Community Health Sciences</w:t>
      </w:r>
      <w:r w:rsidR="000B49F4">
        <w:rPr>
          <w:rFonts w:cs="Calibri Light"/>
          <w:sz w:val="22"/>
          <w:szCs w:val="22"/>
        </w:rPr>
        <w:t xml:space="preserve"> (SCHS)</w:t>
      </w:r>
      <w:r w:rsidRPr="00B0316C">
        <w:rPr>
          <w:rFonts w:cs="Calibri Light"/>
          <w:sz w:val="22"/>
          <w:szCs w:val="22"/>
        </w:rPr>
        <w:t xml:space="preserve"> at UNR to conduct the needs assessment and write the state plan in collaboration with the internal workgroup and other stakeholders. </w:t>
      </w:r>
    </w:p>
    <w:p w:rsidR="00627076" w:rsidRPr="00317602" w:rsidRDefault="00627076" w:rsidP="00627076">
      <w:pPr>
        <w:widowControl w:val="0"/>
        <w:autoSpaceDE w:val="0"/>
        <w:autoSpaceDN w:val="0"/>
        <w:adjustRightInd w:val="0"/>
        <w:spacing w:before="0" w:after="0"/>
        <w:jc w:val="both"/>
        <w:rPr>
          <w:rFonts w:cs="Calibri Light"/>
          <w:sz w:val="22"/>
          <w:szCs w:val="22"/>
        </w:rPr>
      </w:pPr>
    </w:p>
    <w:p w:rsidR="00627076" w:rsidRPr="00317602" w:rsidRDefault="00627076" w:rsidP="00627076">
      <w:pPr>
        <w:widowControl w:val="0"/>
        <w:autoSpaceDE w:val="0"/>
        <w:autoSpaceDN w:val="0"/>
        <w:adjustRightInd w:val="0"/>
        <w:spacing w:before="0" w:after="0"/>
        <w:jc w:val="both"/>
        <w:rPr>
          <w:rFonts w:cs="Calibri Light"/>
          <w:sz w:val="22"/>
          <w:szCs w:val="22"/>
        </w:rPr>
      </w:pPr>
      <w:r w:rsidRPr="00317602">
        <w:rPr>
          <w:rFonts w:cs="Calibri Light"/>
          <w:sz w:val="22"/>
          <w:szCs w:val="22"/>
        </w:rPr>
        <w:t xml:space="preserve">As described </w:t>
      </w:r>
      <w:r>
        <w:rPr>
          <w:rFonts w:cs="Calibri Light"/>
          <w:sz w:val="22"/>
          <w:szCs w:val="22"/>
        </w:rPr>
        <w:t>previously,</w:t>
      </w:r>
      <w:r w:rsidRPr="00317602">
        <w:rPr>
          <w:rFonts w:cs="Calibri Light"/>
          <w:sz w:val="22"/>
          <w:szCs w:val="22"/>
        </w:rPr>
        <w:t xml:space="preserve"> stakeholders were invited to participate in meetings related to the plan development in April 2015 and March 2016. Stakeholders included</w:t>
      </w:r>
      <w:r>
        <w:rPr>
          <w:rFonts w:cs="Calibri Light"/>
          <w:sz w:val="22"/>
          <w:szCs w:val="22"/>
        </w:rPr>
        <w:t xml:space="preserve"> PLWH and</w:t>
      </w:r>
      <w:r w:rsidRPr="00317602">
        <w:rPr>
          <w:rFonts w:cs="Calibri Light"/>
          <w:sz w:val="22"/>
          <w:szCs w:val="22"/>
        </w:rPr>
        <w:t xml:space="preserve"> representatives from </w:t>
      </w:r>
      <w:r>
        <w:rPr>
          <w:rFonts w:cs="Calibri Light"/>
          <w:sz w:val="22"/>
          <w:szCs w:val="22"/>
        </w:rPr>
        <w:t>a variety of agencies, organizations, and providers around the state</w:t>
      </w:r>
      <w:r w:rsidRPr="00317602">
        <w:rPr>
          <w:rFonts w:cs="Calibri Light"/>
          <w:sz w:val="22"/>
          <w:szCs w:val="22"/>
        </w:rPr>
        <w:t xml:space="preserve">. Furthermore, providers and representatives from other agencies and organizations related to HIV prevention and care were invited to complete a </w:t>
      </w:r>
      <w:r>
        <w:rPr>
          <w:rFonts w:cs="Calibri Light"/>
          <w:sz w:val="22"/>
          <w:szCs w:val="22"/>
        </w:rPr>
        <w:t xml:space="preserve">statewide </w:t>
      </w:r>
      <w:r w:rsidRPr="00317602">
        <w:rPr>
          <w:rFonts w:cs="Calibri Light"/>
          <w:sz w:val="22"/>
          <w:szCs w:val="22"/>
        </w:rPr>
        <w:t xml:space="preserve">provider/organization survey and Part A providers completed surveys </w:t>
      </w:r>
      <w:r>
        <w:rPr>
          <w:rFonts w:cs="Calibri Light"/>
          <w:sz w:val="22"/>
          <w:szCs w:val="22"/>
        </w:rPr>
        <w:t>for the Part A Comprehensive Needs Assessment</w:t>
      </w:r>
      <w:r w:rsidRPr="00317602">
        <w:rPr>
          <w:rFonts w:cs="Calibri Light"/>
          <w:sz w:val="22"/>
          <w:szCs w:val="22"/>
        </w:rPr>
        <w:t xml:space="preserve">. </w:t>
      </w:r>
    </w:p>
    <w:p w:rsidR="00627076" w:rsidRPr="00317602" w:rsidRDefault="00627076" w:rsidP="00627076">
      <w:pPr>
        <w:widowControl w:val="0"/>
        <w:autoSpaceDE w:val="0"/>
        <w:autoSpaceDN w:val="0"/>
        <w:adjustRightInd w:val="0"/>
        <w:spacing w:before="0" w:after="0"/>
        <w:jc w:val="both"/>
        <w:rPr>
          <w:rFonts w:cs="Calibri Light"/>
          <w:sz w:val="22"/>
          <w:szCs w:val="22"/>
        </w:rPr>
      </w:pPr>
    </w:p>
    <w:p w:rsidR="00627076" w:rsidRPr="00317602" w:rsidRDefault="00627076" w:rsidP="00627076">
      <w:pPr>
        <w:widowControl w:val="0"/>
        <w:autoSpaceDE w:val="0"/>
        <w:autoSpaceDN w:val="0"/>
        <w:adjustRightInd w:val="0"/>
        <w:spacing w:before="0" w:after="0"/>
        <w:jc w:val="both"/>
        <w:rPr>
          <w:rFonts w:cs="Calibri Light"/>
          <w:sz w:val="22"/>
          <w:szCs w:val="22"/>
        </w:rPr>
      </w:pPr>
      <w:r w:rsidRPr="00317602">
        <w:rPr>
          <w:rFonts w:cs="Calibri Light"/>
          <w:sz w:val="22"/>
          <w:szCs w:val="22"/>
        </w:rPr>
        <w:t xml:space="preserve">Community members and people at higher risk for infection contributed to the development of the plan through participation in the Community Survey </w:t>
      </w:r>
      <w:r>
        <w:rPr>
          <w:rFonts w:cs="Calibri Light"/>
          <w:sz w:val="22"/>
          <w:szCs w:val="22"/>
        </w:rPr>
        <w:t xml:space="preserve">and a variety of focus groups. </w:t>
      </w:r>
      <w:r w:rsidRPr="00317602">
        <w:rPr>
          <w:rFonts w:cs="Calibri Light"/>
          <w:sz w:val="22"/>
          <w:szCs w:val="22"/>
        </w:rPr>
        <w:t xml:space="preserve">PLWH contributed to plan development through their participation in </w:t>
      </w:r>
      <w:r>
        <w:rPr>
          <w:rFonts w:cs="Calibri Light"/>
          <w:sz w:val="22"/>
          <w:szCs w:val="22"/>
        </w:rPr>
        <w:t xml:space="preserve">the </w:t>
      </w:r>
      <w:r w:rsidRPr="00317602">
        <w:rPr>
          <w:rFonts w:cs="Calibri Light"/>
          <w:sz w:val="22"/>
          <w:szCs w:val="22"/>
        </w:rPr>
        <w:t xml:space="preserve">Part A needs assessment and customer satisfaction surveys and focus groups and statewide/part B client survey </w:t>
      </w:r>
      <w:r>
        <w:rPr>
          <w:rFonts w:cs="Calibri Light"/>
          <w:sz w:val="22"/>
          <w:szCs w:val="22"/>
        </w:rPr>
        <w:t xml:space="preserve">and focus groups. </w:t>
      </w:r>
      <w:r w:rsidRPr="00317602">
        <w:rPr>
          <w:rFonts w:cs="Calibri Light"/>
          <w:sz w:val="22"/>
          <w:szCs w:val="22"/>
        </w:rPr>
        <w:t xml:space="preserve">Furthermore, PLWH, community members, providers, and community </w:t>
      </w:r>
      <w:r w:rsidR="000B49F4">
        <w:rPr>
          <w:rFonts w:cs="Calibri Light"/>
          <w:sz w:val="22"/>
          <w:szCs w:val="22"/>
        </w:rPr>
        <w:t xml:space="preserve">based </w:t>
      </w:r>
      <w:r w:rsidRPr="00317602">
        <w:rPr>
          <w:rFonts w:cs="Calibri Light"/>
          <w:sz w:val="22"/>
          <w:szCs w:val="22"/>
        </w:rPr>
        <w:t xml:space="preserve">organizations are represented in the membership of the planning groups in the north and south and in the Part A planning council. The planning group and council members were involved in the needs assessment activities, large stakeholder meetings, development of plan objectives and strategies, and review of the plan drafts. </w:t>
      </w:r>
    </w:p>
    <w:p w:rsidR="00627076" w:rsidRPr="00317602" w:rsidRDefault="00627076" w:rsidP="00E73293">
      <w:pPr>
        <w:pStyle w:val="ListParagraph"/>
        <w:widowControl w:val="0"/>
        <w:numPr>
          <w:ilvl w:val="0"/>
          <w:numId w:val="10"/>
        </w:numPr>
        <w:autoSpaceDE w:val="0"/>
        <w:autoSpaceDN w:val="0"/>
        <w:adjustRightInd w:val="0"/>
        <w:rPr>
          <w:rFonts w:cs="Calibri Light"/>
          <w:i/>
          <w:sz w:val="22"/>
          <w:szCs w:val="22"/>
        </w:rPr>
      </w:pPr>
      <w:r w:rsidRPr="00317602">
        <w:rPr>
          <w:rFonts w:cs="Calibri Light"/>
          <w:i/>
          <w:sz w:val="22"/>
          <w:szCs w:val="22"/>
        </w:rPr>
        <w:t xml:space="preserve">Describe stakeholders and partners not involved in the planning process, but who are needed to more effectively improve outcomes along the HIV Care Continuum </w:t>
      </w:r>
    </w:p>
    <w:p w:rsidR="00627076" w:rsidRDefault="00627076" w:rsidP="00627076">
      <w:pPr>
        <w:widowControl w:val="0"/>
        <w:autoSpaceDE w:val="0"/>
        <w:autoSpaceDN w:val="0"/>
        <w:adjustRightInd w:val="0"/>
        <w:rPr>
          <w:rFonts w:cs="Calibri Light"/>
          <w:sz w:val="22"/>
          <w:szCs w:val="22"/>
        </w:rPr>
      </w:pPr>
      <w:r>
        <w:rPr>
          <w:rFonts w:cs="Calibri Light"/>
          <w:sz w:val="22"/>
          <w:szCs w:val="22"/>
        </w:rPr>
        <w:t xml:space="preserve">While a wide variety of stakeholders were involved in Nevada’s integrated process, it would have been helpful to have some additional partners at the table. Representatives from churches, schools, other healthcare providers, mental health providers, dentists, additional community groups, cultural groups, substance abuse providers, and political groups are examples of potential partners to involve more in the planning process. This integrated plan includes strategies to involve other community partners and </w:t>
      </w:r>
      <w:r>
        <w:rPr>
          <w:rFonts w:cs="Calibri Light"/>
          <w:sz w:val="22"/>
          <w:szCs w:val="22"/>
        </w:rPr>
        <w:lastRenderedPageBreak/>
        <w:t xml:space="preserve">stakeholders in the HIV Prevention and Care efforts in the next five years. </w:t>
      </w:r>
    </w:p>
    <w:p w:rsidR="00627076" w:rsidRPr="00317602" w:rsidRDefault="00627076" w:rsidP="00E73293">
      <w:pPr>
        <w:pStyle w:val="ListParagraph"/>
        <w:widowControl w:val="0"/>
        <w:numPr>
          <w:ilvl w:val="0"/>
          <w:numId w:val="10"/>
        </w:numPr>
        <w:autoSpaceDE w:val="0"/>
        <w:autoSpaceDN w:val="0"/>
        <w:adjustRightInd w:val="0"/>
        <w:rPr>
          <w:rFonts w:cs="Calibri Light"/>
          <w:i/>
          <w:sz w:val="22"/>
          <w:szCs w:val="22"/>
        </w:rPr>
      </w:pPr>
      <w:r w:rsidRPr="00317602">
        <w:rPr>
          <w:rFonts w:cs="Calibri Light"/>
          <w:i/>
          <w:sz w:val="22"/>
          <w:szCs w:val="22"/>
        </w:rPr>
        <w:t xml:space="preserve">Provide a letter of concurrence to the goals and objectives of the Integrated HIV Prevention and Care Plan from the co-chairs of the planning body and the health department representatives </w:t>
      </w:r>
    </w:p>
    <w:p w:rsidR="00627076" w:rsidRDefault="00C6448A" w:rsidP="00627076">
      <w:pPr>
        <w:widowControl w:val="0"/>
        <w:autoSpaceDE w:val="0"/>
        <w:autoSpaceDN w:val="0"/>
        <w:adjustRightInd w:val="0"/>
        <w:rPr>
          <w:rFonts w:cs="Calibri Light"/>
          <w:sz w:val="22"/>
          <w:szCs w:val="22"/>
        </w:rPr>
      </w:pPr>
      <w:r>
        <w:rPr>
          <w:rFonts w:cs="Calibri Light"/>
          <w:noProof/>
          <w:sz w:val="22"/>
          <w:szCs w:val="22"/>
        </w:rPr>
        <w:drawing>
          <wp:anchor distT="0" distB="0" distL="114300" distR="114300" simplePos="0" relativeHeight="251805696" behindDoc="0" locked="0" layoutInCell="1" allowOverlap="1" wp14:anchorId="549F7EA0" wp14:editId="05C9B2EB">
            <wp:simplePos x="0" y="0"/>
            <wp:positionH relativeFrom="column">
              <wp:posOffset>4019550</wp:posOffset>
            </wp:positionH>
            <wp:positionV relativeFrom="paragraph">
              <wp:posOffset>281940</wp:posOffset>
            </wp:positionV>
            <wp:extent cx="1466850" cy="1361440"/>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nnhivppg.png"/>
                    <pic:cNvPicPr/>
                  </pic:nvPicPr>
                  <pic:blipFill>
                    <a:blip r:embed="rId43">
                      <a:extLst>
                        <a:ext uri="{28A0092B-C50C-407E-A947-70E740481C1C}">
                          <a14:useLocalDpi xmlns:a14="http://schemas.microsoft.com/office/drawing/2010/main" val="0"/>
                        </a:ext>
                      </a:extLst>
                    </a:blip>
                    <a:stretch>
                      <a:fillRect/>
                    </a:stretch>
                  </pic:blipFill>
                  <pic:spPr>
                    <a:xfrm>
                      <a:off x="0" y="0"/>
                      <a:ext cx="1466850" cy="1361440"/>
                    </a:xfrm>
                    <a:prstGeom prst="rect">
                      <a:avLst/>
                    </a:prstGeom>
                  </pic:spPr>
                </pic:pic>
              </a:graphicData>
            </a:graphic>
            <wp14:sizeRelH relativeFrom="page">
              <wp14:pctWidth>0</wp14:pctWidth>
            </wp14:sizeRelH>
            <wp14:sizeRelV relativeFrom="page">
              <wp14:pctHeight>0</wp14:pctHeight>
            </wp14:sizeRelV>
          </wp:anchor>
        </w:drawing>
      </w:r>
      <w:r w:rsidRPr="00C6448A">
        <w:rPr>
          <w:rFonts w:cs="Calibri Light"/>
          <w:noProof/>
          <w:sz w:val="22"/>
          <w:szCs w:val="22"/>
        </w:rPr>
        <w:drawing>
          <wp:anchor distT="0" distB="0" distL="114300" distR="114300" simplePos="0" relativeHeight="251804672" behindDoc="0" locked="0" layoutInCell="1" allowOverlap="1" wp14:anchorId="2F8CE01B" wp14:editId="4A7E26DA">
            <wp:simplePos x="0" y="0"/>
            <wp:positionH relativeFrom="column">
              <wp:posOffset>2324100</wp:posOffset>
            </wp:positionH>
            <wp:positionV relativeFrom="paragraph">
              <wp:posOffset>286385</wp:posOffset>
            </wp:positionV>
            <wp:extent cx="1360170" cy="1360170"/>
            <wp:effectExtent l="0" t="0" r="0" b="0"/>
            <wp:wrapSquare wrapText="bothSides"/>
            <wp:docPr id="247" name="Picture 6" descr="logo1"/>
            <wp:cNvGraphicFramePr/>
            <a:graphic xmlns:a="http://schemas.openxmlformats.org/drawingml/2006/main">
              <a:graphicData uri="http://schemas.openxmlformats.org/drawingml/2006/picture">
                <pic:pic xmlns:pic="http://schemas.openxmlformats.org/drawingml/2006/picture">
                  <pic:nvPicPr>
                    <pic:cNvPr id="7" name="Picture 6" descr="logo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6448A">
        <w:rPr>
          <w:rFonts w:cs="Calibri Light"/>
          <w:noProof/>
          <w:sz w:val="22"/>
          <w:szCs w:val="22"/>
        </w:rPr>
        <w:drawing>
          <wp:anchor distT="0" distB="0" distL="114300" distR="114300" simplePos="0" relativeHeight="251806720" behindDoc="0" locked="0" layoutInCell="1" allowOverlap="1" wp14:anchorId="64A55821" wp14:editId="3632C926">
            <wp:simplePos x="0" y="0"/>
            <wp:positionH relativeFrom="column">
              <wp:posOffset>628650</wp:posOffset>
            </wp:positionH>
            <wp:positionV relativeFrom="paragraph">
              <wp:posOffset>321310</wp:posOffset>
            </wp:positionV>
            <wp:extent cx="1304925" cy="1325704"/>
            <wp:effectExtent l="0" t="0" r="0" b="0"/>
            <wp:wrapSquare wrapText="bothSides"/>
            <wp:docPr id="246" name="Content Placeholder 5" descr="C:\Users\Owner\AppData\Local\Microsoft\Windows\Temporary Internet Files\Content.Outlook\0UII2B33\tdLVTGAPlanningCouncilLogoHiRes.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Owner\AppData\Local\Microsoft\Windows\Temporary Internet Files\Content.Outlook\0UII2B33\tdLVTGAPlanningCouncilLogoHiRes.png"/>
                    <pic:cNvPicPr>
                      <a:picLocks noGrp="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4925" cy="132570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27076">
        <w:rPr>
          <w:rFonts w:cs="Calibri Light"/>
          <w:sz w:val="22"/>
          <w:szCs w:val="22"/>
        </w:rPr>
        <w:t xml:space="preserve">Letters of Concurrence </w:t>
      </w:r>
      <w:r w:rsidR="00452644">
        <w:rPr>
          <w:rFonts w:cs="Calibri Light"/>
          <w:sz w:val="22"/>
          <w:szCs w:val="22"/>
        </w:rPr>
        <w:t>from the planning bodies are found</w:t>
      </w:r>
      <w:r w:rsidR="00627076">
        <w:rPr>
          <w:rFonts w:cs="Calibri Light"/>
          <w:sz w:val="22"/>
          <w:szCs w:val="22"/>
        </w:rPr>
        <w:t xml:space="preserve"> in </w:t>
      </w:r>
      <w:r w:rsidR="00627076" w:rsidRPr="00B639CA">
        <w:rPr>
          <w:rFonts w:cs="Calibri Light"/>
          <w:sz w:val="22"/>
          <w:szCs w:val="22"/>
        </w:rPr>
        <w:t xml:space="preserve">Appendix </w:t>
      </w:r>
      <w:r w:rsidR="000B49F4">
        <w:rPr>
          <w:rFonts w:cs="Calibri Light"/>
          <w:sz w:val="22"/>
          <w:szCs w:val="22"/>
        </w:rPr>
        <w:t>M</w:t>
      </w:r>
      <w:r w:rsidR="00627076" w:rsidRPr="00B639CA">
        <w:rPr>
          <w:rFonts w:cs="Calibri Light"/>
          <w:sz w:val="22"/>
          <w:szCs w:val="22"/>
        </w:rPr>
        <w:t>.</w:t>
      </w:r>
    </w:p>
    <w:p w:rsidR="00C6448A" w:rsidRDefault="00C6448A" w:rsidP="00627076">
      <w:pPr>
        <w:widowControl w:val="0"/>
        <w:autoSpaceDE w:val="0"/>
        <w:autoSpaceDN w:val="0"/>
        <w:adjustRightInd w:val="0"/>
        <w:rPr>
          <w:rFonts w:cs="Calibri Light"/>
          <w:sz w:val="22"/>
          <w:szCs w:val="22"/>
        </w:rPr>
      </w:pPr>
    </w:p>
    <w:p w:rsidR="00C6448A" w:rsidRDefault="00C6448A" w:rsidP="00627076">
      <w:pPr>
        <w:widowControl w:val="0"/>
        <w:autoSpaceDE w:val="0"/>
        <w:autoSpaceDN w:val="0"/>
        <w:adjustRightInd w:val="0"/>
        <w:rPr>
          <w:rFonts w:cs="Calibri Light"/>
          <w:sz w:val="22"/>
          <w:szCs w:val="22"/>
        </w:rPr>
      </w:pPr>
    </w:p>
    <w:p w:rsidR="00C6448A" w:rsidRDefault="00C6448A" w:rsidP="00627076">
      <w:pPr>
        <w:widowControl w:val="0"/>
        <w:autoSpaceDE w:val="0"/>
        <w:autoSpaceDN w:val="0"/>
        <w:adjustRightInd w:val="0"/>
        <w:rPr>
          <w:rFonts w:cs="Calibri Light"/>
          <w:sz w:val="22"/>
          <w:szCs w:val="22"/>
        </w:rPr>
      </w:pPr>
    </w:p>
    <w:p w:rsidR="00C6448A" w:rsidRDefault="00C6448A" w:rsidP="00627076">
      <w:pPr>
        <w:widowControl w:val="0"/>
        <w:autoSpaceDE w:val="0"/>
        <w:autoSpaceDN w:val="0"/>
        <w:adjustRightInd w:val="0"/>
        <w:rPr>
          <w:rFonts w:cs="Calibri Light"/>
          <w:sz w:val="22"/>
          <w:szCs w:val="22"/>
        </w:rPr>
      </w:pPr>
    </w:p>
    <w:p w:rsidR="00C6448A" w:rsidRPr="00317602" w:rsidRDefault="00C6448A" w:rsidP="00627076">
      <w:pPr>
        <w:widowControl w:val="0"/>
        <w:autoSpaceDE w:val="0"/>
        <w:autoSpaceDN w:val="0"/>
        <w:adjustRightInd w:val="0"/>
        <w:rPr>
          <w:rFonts w:cs="Calibri Light"/>
          <w:sz w:val="22"/>
          <w:szCs w:val="22"/>
        </w:rPr>
      </w:pPr>
    </w:p>
    <w:p w:rsidR="00627076" w:rsidRPr="00317602" w:rsidRDefault="00627076" w:rsidP="00627076">
      <w:pPr>
        <w:pStyle w:val="Heading2"/>
      </w:pPr>
      <w:bookmarkStart w:id="56" w:name="_Toc461188599"/>
      <w:r w:rsidRPr="00317602">
        <w:t>C. People Living With HIV (PLWH) and Community Engagement</w:t>
      </w:r>
      <w:bookmarkEnd w:id="56"/>
      <w:r w:rsidRPr="00317602">
        <w:t xml:space="preserve"> </w:t>
      </w:r>
    </w:p>
    <w:p w:rsidR="00627076" w:rsidRPr="00317602" w:rsidRDefault="00627076" w:rsidP="00E73293">
      <w:pPr>
        <w:pStyle w:val="ListParagraph"/>
        <w:widowControl w:val="0"/>
        <w:numPr>
          <w:ilvl w:val="0"/>
          <w:numId w:val="11"/>
        </w:numPr>
        <w:tabs>
          <w:tab w:val="left" w:pos="220"/>
          <w:tab w:val="left" w:pos="720"/>
        </w:tabs>
        <w:autoSpaceDE w:val="0"/>
        <w:autoSpaceDN w:val="0"/>
        <w:adjustRightInd w:val="0"/>
        <w:rPr>
          <w:rFonts w:cs="Calibri Light"/>
          <w:i/>
          <w:sz w:val="22"/>
          <w:szCs w:val="22"/>
        </w:rPr>
      </w:pPr>
      <w:r w:rsidRPr="00317602">
        <w:rPr>
          <w:rFonts w:cs="Calibri Light"/>
          <w:i/>
          <w:sz w:val="22"/>
          <w:szCs w:val="22"/>
        </w:rPr>
        <w:t xml:space="preserve">Describe how the people involved in developing the Integrated HIV Prevention and Care Plan are reflective of the epidemic in the jurisdiction. </w:t>
      </w:r>
      <w:r w:rsidRPr="00317602">
        <w:rPr>
          <w:rFonts w:ascii="MS Gothic" w:eastAsia="MS Gothic" w:hAnsi="MS Gothic" w:cs="MS Gothic" w:hint="eastAsia"/>
          <w:i/>
          <w:sz w:val="22"/>
          <w:szCs w:val="22"/>
        </w:rPr>
        <w:t> </w:t>
      </w:r>
    </w:p>
    <w:p w:rsidR="00627076" w:rsidRPr="007039CB" w:rsidRDefault="00627076" w:rsidP="00E73293">
      <w:pPr>
        <w:pStyle w:val="ListParagraph"/>
        <w:widowControl w:val="0"/>
        <w:numPr>
          <w:ilvl w:val="0"/>
          <w:numId w:val="11"/>
        </w:numPr>
        <w:tabs>
          <w:tab w:val="left" w:pos="220"/>
          <w:tab w:val="left" w:pos="720"/>
        </w:tabs>
        <w:autoSpaceDE w:val="0"/>
        <w:autoSpaceDN w:val="0"/>
        <w:adjustRightInd w:val="0"/>
        <w:rPr>
          <w:rFonts w:cs="Calibri Light"/>
          <w:i/>
          <w:sz w:val="22"/>
          <w:szCs w:val="22"/>
        </w:rPr>
      </w:pPr>
      <w:r w:rsidRPr="00317602">
        <w:rPr>
          <w:rFonts w:cs="Calibri Light"/>
          <w:i/>
          <w:sz w:val="22"/>
          <w:szCs w:val="22"/>
        </w:rPr>
        <w:t xml:space="preserve">Describe how the inclusion of PLWH contributed to the plan development. </w:t>
      </w:r>
      <w:r w:rsidRPr="00317602">
        <w:rPr>
          <w:rFonts w:ascii="MS Gothic" w:eastAsia="MS Gothic" w:hAnsi="MS Gothic" w:cs="MS Gothic" w:hint="eastAsia"/>
          <w:i/>
          <w:sz w:val="22"/>
          <w:szCs w:val="22"/>
        </w:rPr>
        <w:t> </w:t>
      </w:r>
    </w:p>
    <w:p w:rsidR="00627076" w:rsidRPr="00317602" w:rsidRDefault="00627076" w:rsidP="00E73293">
      <w:pPr>
        <w:pStyle w:val="ListParagraph"/>
        <w:widowControl w:val="0"/>
        <w:numPr>
          <w:ilvl w:val="0"/>
          <w:numId w:val="11"/>
        </w:numPr>
        <w:tabs>
          <w:tab w:val="left" w:pos="220"/>
          <w:tab w:val="left" w:pos="720"/>
        </w:tabs>
        <w:autoSpaceDE w:val="0"/>
        <w:autoSpaceDN w:val="0"/>
        <w:adjustRightInd w:val="0"/>
        <w:rPr>
          <w:rFonts w:cs="Calibri Light"/>
          <w:i/>
          <w:sz w:val="22"/>
          <w:szCs w:val="22"/>
        </w:rPr>
      </w:pPr>
      <w:r w:rsidRPr="00317602">
        <w:rPr>
          <w:rFonts w:cs="Calibri Light"/>
          <w:i/>
          <w:sz w:val="22"/>
          <w:szCs w:val="22"/>
        </w:rPr>
        <w:t xml:space="preserve">Describe the methods used to engage communities, people living with HIV, those at substantial risk of acquiring HIV infection and other impacted population groups to ensure that HIV prevention and care activities are responsive to their needs in the service area. </w:t>
      </w:r>
    </w:p>
    <w:p w:rsidR="00627076" w:rsidRPr="00317602" w:rsidRDefault="00627076" w:rsidP="00E73293">
      <w:pPr>
        <w:pStyle w:val="ListParagraph"/>
        <w:widowControl w:val="0"/>
        <w:numPr>
          <w:ilvl w:val="0"/>
          <w:numId w:val="11"/>
        </w:numPr>
        <w:tabs>
          <w:tab w:val="left" w:pos="220"/>
          <w:tab w:val="left" w:pos="720"/>
        </w:tabs>
        <w:autoSpaceDE w:val="0"/>
        <w:autoSpaceDN w:val="0"/>
        <w:adjustRightInd w:val="0"/>
        <w:rPr>
          <w:rFonts w:cs="Calibri Light"/>
          <w:i/>
          <w:sz w:val="22"/>
          <w:szCs w:val="22"/>
        </w:rPr>
      </w:pPr>
      <w:r w:rsidRPr="00317602">
        <w:rPr>
          <w:rFonts w:cs="Calibri Light"/>
          <w:i/>
          <w:sz w:val="22"/>
          <w:szCs w:val="22"/>
        </w:rPr>
        <w:t xml:space="preserve">Describe how impacted communities are engaged in the planning process to provide critical insight into developing solutions to health problems to assure the availability of necessary resources. </w:t>
      </w:r>
      <w:r w:rsidRPr="00317602">
        <w:rPr>
          <w:rFonts w:ascii="MS Gothic" w:eastAsia="MS Gothic" w:hAnsi="MS Gothic" w:cs="MS Gothic" w:hint="eastAsia"/>
          <w:i/>
          <w:sz w:val="22"/>
          <w:szCs w:val="22"/>
        </w:rPr>
        <w:t> </w:t>
      </w:r>
    </w:p>
    <w:p w:rsidR="00627076" w:rsidRDefault="00627076" w:rsidP="00627076">
      <w:pPr>
        <w:widowControl w:val="0"/>
        <w:tabs>
          <w:tab w:val="left" w:pos="220"/>
          <w:tab w:val="left" w:pos="720"/>
        </w:tabs>
        <w:autoSpaceDE w:val="0"/>
        <w:autoSpaceDN w:val="0"/>
        <w:adjustRightInd w:val="0"/>
        <w:jc w:val="both"/>
        <w:rPr>
          <w:rFonts w:cs="MS Gothic"/>
          <w:sz w:val="22"/>
          <w:szCs w:val="22"/>
        </w:rPr>
      </w:pPr>
      <w:r w:rsidRPr="00456D53">
        <w:rPr>
          <w:rFonts w:cs="Calibri Light"/>
          <w:sz w:val="22"/>
          <w:szCs w:val="22"/>
        </w:rPr>
        <w:t xml:space="preserve">People involved in developing the Integrated HIV Prevention and Care Plan are reflective of the epidemic in Nevada in a variety of ways. </w:t>
      </w:r>
      <w:r>
        <w:rPr>
          <w:rFonts w:cs="MS Gothic"/>
          <w:sz w:val="22"/>
          <w:szCs w:val="22"/>
        </w:rPr>
        <w:t xml:space="preserve">People from all areas of the state were invited to participate in meetings, focus groups, paper surveys, and online surveys. PLWH and people at risk for HIV infection were included in all stages of the needs assessment and plan development. Participants in the needs assessment were diverse and represented the Nevada population of people PLWH and at risk for HIV very well. As shown in Figure </w:t>
      </w:r>
      <w:r w:rsidR="00B639CA">
        <w:rPr>
          <w:rFonts w:cs="MS Gothic"/>
          <w:sz w:val="22"/>
          <w:szCs w:val="22"/>
        </w:rPr>
        <w:t>2</w:t>
      </w:r>
      <w:r w:rsidR="00452644">
        <w:rPr>
          <w:rFonts w:cs="MS Gothic"/>
          <w:sz w:val="22"/>
          <w:szCs w:val="22"/>
        </w:rPr>
        <w:t>7,</w:t>
      </w:r>
      <w:r>
        <w:rPr>
          <w:rFonts w:cs="MS Gothic"/>
          <w:sz w:val="22"/>
          <w:szCs w:val="22"/>
        </w:rPr>
        <w:t xml:space="preserve"> PLWH who participated in the HIV positive focus groups matched the sex and gender identity percentages of PLWH in Nevada—with nearly identical percentages of female, male and transgender participants. Client survey participants closely matched PLWH in Nevada with a slight overrepresentation of females and slight underrepresentation of males among the survey respondents. Participants in the client survey and HIV positive focus groups were also fairly representative of PLWH in Nevada with respect to ethnicity (Figure </w:t>
      </w:r>
      <w:r w:rsidR="00B639CA">
        <w:rPr>
          <w:rFonts w:cs="MS Gothic"/>
          <w:sz w:val="22"/>
          <w:szCs w:val="22"/>
        </w:rPr>
        <w:t>2</w:t>
      </w:r>
      <w:r w:rsidR="008C5291">
        <w:rPr>
          <w:rFonts w:cs="MS Gothic"/>
          <w:sz w:val="22"/>
          <w:szCs w:val="22"/>
        </w:rPr>
        <w:t>8</w:t>
      </w:r>
      <w:r>
        <w:rPr>
          <w:rFonts w:cs="MS Gothic"/>
          <w:sz w:val="22"/>
          <w:szCs w:val="22"/>
        </w:rPr>
        <w:t xml:space="preserve">). Hispanic were underrepresented in the survey and focus groups; however, multi-race </w:t>
      </w:r>
      <w:r w:rsidR="00DE7943">
        <w:rPr>
          <w:rFonts w:cs="MS Gothic"/>
          <w:sz w:val="22"/>
          <w:szCs w:val="22"/>
        </w:rPr>
        <w:t xml:space="preserve">respondents </w:t>
      </w:r>
      <w:r>
        <w:rPr>
          <w:rFonts w:cs="MS Gothic"/>
          <w:sz w:val="22"/>
          <w:szCs w:val="22"/>
        </w:rPr>
        <w:t xml:space="preserve">were overrepresented which could account for some of the disparity. Several focus groups were held in Spanish and the survey was available in both Spanish and English. Blacks were also overrepresented in the survey and focus group samples; however, with the disproportionate burden of </w:t>
      </w:r>
      <w:r>
        <w:rPr>
          <w:rFonts w:cs="MS Gothic"/>
          <w:sz w:val="22"/>
          <w:szCs w:val="22"/>
        </w:rPr>
        <w:lastRenderedPageBreak/>
        <w:t xml:space="preserve">HIV among blacks in Nevada, it was a high priority group to include in data collection efforts. </w:t>
      </w:r>
    </w:p>
    <w:p w:rsidR="00627076" w:rsidRPr="00456D53" w:rsidRDefault="00627076" w:rsidP="00627076">
      <w:pPr>
        <w:widowControl w:val="0"/>
        <w:tabs>
          <w:tab w:val="left" w:pos="220"/>
          <w:tab w:val="left" w:pos="720"/>
        </w:tabs>
        <w:autoSpaceDE w:val="0"/>
        <w:autoSpaceDN w:val="0"/>
        <w:adjustRightInd w:val="0"/>
        <w:jc w:val="both"/>
        <w:rPr>
          <w:rFonts w:cs="MS Gothic"/>
          <w:sz w:val="22"/>
          <w:szCs w:val="22"/>
        </w:rPr>
      </w:pPr>
      <w:r w:rsidRPr="00E23FD2">
        <w:rPr>
          <w:noProof/>
          <w:sz w:val="24"/>
          <w:szCs w:val="24"/>
        </w:rPr>
        <w:drawing>
          <wp:inline distT="0" distB="0" distL="0" distR="0" wp14:anchorId="4E00B38A" wp14:editId="0BF49019">
            <wp:extent cx="5876014" cy="2286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27076" w:rsidRDefault="00627076" w:rsidP="00627076">
      <w:pPr>
        <w:widowControl w:val="0"/>
        <w:tabs>
          <w:tab w:val="left" w:pos="220"/>
          <w:tab w:val="left" w:pos="720"/>
        </w:tabs>
        <w:autoSpaceDE w:val="0"/>
        <w:autoSpaceDN w:val="0"/>
        <w:adjustRightInd w:val="0"/>
        <w:spacing w:before="0" w:after="0"/>
        <w:jc w:val="both"/>
        <w:rPr>
          <w:rFonts w:cs="MS Gothic"/>
          <w:sz w:val="22"/>
          <w:szCs w:val="22"/>
        </w:rPr>
      </w:pPr>
      <w:r w:rsidRPr="00E23FD2">
        <w:rPr>
          <w:noProof/>
          <w:sz w:val="24"/>
          <w:szCs w:val="24"/>
        </w:rPr>
        <w:drawing>
          <wp:inline distT="0" distB="0" distL="0" distR="0" wp14:anchorId="4048D630" wp14:editId="454DD7BD">
            <wp:extent cx="5935980" cy="3419475"/>
            <wp:effectExtent l="0" t="0" r="762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27076" w:rsidRPr="00317602" w:rsidRDefault="00627076" w:rsidP="00627076">
      <w:pPr>
        <w:widowControl w:val="0"/>
        <w:tabs>
          <w:tab w:val="left" w:pos="220"/>
          <w:tab w:val="left" w:pos="720"/>
        </w:tabs>
        <w:autoSpaceDE w:val="0"/>
        <w:autoSpaceDN w:val="0"/>
        <w:adjustRightInd w:val="0"/>
        <w:spacing w:before="0" w:after="0"/>
        <w:jc w:val="both"/>
        <w:rPr>
          <w:rFonts w:cs="MS Gothic"/>
          <w:sz w:val="22"/>
          <w:szCs w:val="22"/>
        </w:rPr>
      </w:pPr>
      <w:r w:rsidRPr="00317602">
        <w:rPr>
          <w:rFonts w:cs="MS Gothic"/>
          <w:sz w:val="22"/>
          <w:szCs w:val="22"/>
        </w:rPr>
        <w:t xml:space="preserve">PLWH were included in plan development in a variety of ways. PLWH are members of the planning groups in the north and south as well as the Part A Planning Council. </w:t>
      </w:r>
      <w:r>
        <w:rPr>
          <w:rFonts w:cs="MS Gothic"/>
          <w:sz w:val="22"/>
          <w:szCs w:val="22"/>
        </w:rPr>
        <w:t>The Part A Planning Council is comprised of 48% PLWH</w:t>
      </w:r>
      <w:r w:rsidR="00B639CA">
        <w:rPr>
          <w:rFonts w:cs="MS Gothic"/>
          <w:sz w:val="22"/>
          <w:szCs w:val="22"/>
        </w:rPr>
        <w:t>,</w:t>
      </w:r>
      <w:r>
        <w:rPr>
          <w:rFonts w:cs="MS Gothic"/>
          <w:sz w:val="22"/>
          <w:szCs w:val="22"/>
        </w:rPr>
        <w:t xml:space="preserve"> of which 39% are non-aligned consumers</w:t>
      </w:r>
      <w:r w:rsidR="00B639CA">
        <w:rPr>
          <w:rFonts w:cs="MS Gothic"/>
          <w:sz w:val="22"/>
          <w:szCs w:val="22"/>
        </w:rPr>
        <w:t xml:space="preserve"> (i.e. a </w:t>
      </w:r>
      <w:r w:rsidR="00E73293">
        <w:rPr>
          <w:rFonts w:cs="MS Gothic"/>
          <w:sz w:val="22"/>
          <w:szCs w:val="22"/>
        </w:rPr>
        <w:t>non-aligned consumer</w:t>
      </w:r>
      <w:r w:rsidR="00B639CA">
        <w:rPr>
          <w:rFonts w:cs="MS Gothic"/>
          <w:sz w:val="22"/>
          <w:szCs w:val="22"/>
        </w:rPr>
        <w:t xml:space="preserve"> receive</w:t>
      </w:r>
      <w:r w:rsidR="007A79C2">
        <w:rPr>
          <w:rFonts w:cs="MS Gothic"/>
          <w:sz w:val="22"/>
          <w:szCs w:val="22"/>
        </w:rPr>
        <w:t>s Part A or MAI-funded HIV-related</w:t>
      </w:r>
      <w:r w:rsidR="00B639CA">
        <w:rPr>
          <w:rFonts w:cs="MS Gothic"/>
          <w:sz w:val="22"/>
          <w:szCs w:val="22"/>
        </w:rPr>
        <w:t xml:space="preserve"> services but is not an officer, employee or representative of, or consultant to, any agency receiving Part A or MAI funds)</w:t>
      </w:r>
      <w:r w:rsidRPr="00B639CA">
        <w:rPr>
          <w:rFonts w:cs="MS Gothic"/>
          <w:sz w:val="22"/>
          <w:szCs w:val="22"/>
        </w:rPr>
        <w:t>.</w:t>
      </w:r>
      <w:r>
        <w:rPr>
          <w:rFonts w:cs="MS Gothic"/>
          <w:sz w:val="22"/>
          <w:szCs w:val="22"/>
        </w:rPr>
        <w:t xml:space="preserve"> </w:t>
      </w:r>
      <w:r w:rsidRPr="00317602">
        <w:rPr>
          <w:rFonts w:cs="MS Gothic"/>
          <w:sz w:val="22"/>
          <w:szCs w:val="22"/>
        </w:rPr>
        <w:t xml:space="preserve">The </w:t>
      </w:r>
      <w:r w:rsidR="00FE5055">
        <w:rPr>
          <w:rFonts w:cs="MS Gothic"/>
          <w:sz w:val="22"/>
          <w:szCs w:val="22"/>
        </w:rPr>
        <w:t>p</w:t>
      </w:r>
      <w:r w:rsidRPr="00317602">
        <w:rPr>
          <w:rFonts w:cs="MS Gothic"/>
          <w:sz w:val="22"/>
          <w:szCs w:val="22"/>
        </w:rPr>
        <w:t>lanning groups and council were actively invol</w:t>
      </w:r>
      <w:r>
        <w:rPr>
          <w:rFonts w:cs="MS Gothic"/>
          <w:sz w:val="22"/>
          <w:szCs w:val="22"/>
        </w:rPr>
        <w:t xml:space="preserve">ved in the stakeholder meetings; </w:t>
      </w:r>
      <w:r w:rsidRPr="00317602">
        <w:rPr>
          <w:rFonts w:cs="MS Gothic"/>
          <w:sz w:val="22"/>
          <w:szCs w:val="22"/>
        </w:rPr>
        <w:t>and they reviewed the integrated plan drafts and provided feedback to the plan development workgroup. PLWH also contributed to plan development through their participation in the needs assessment focus groups, client</w:t>
      </w:r>
      <w:r>
        <w:rPr>
          <w:rFonts w:cs="MS Gothic"/>
          <w:sz w:val="22"/>
          <w:szCs w:val="22"/>
        </w:rPr>
        <w:t xml:space="preserve"> surveys, and community surveys. Focus groups conducted for the statewide needs assessment included 43% of participants who had tested positive for HIV (some focus groups were specifically for HIV clients, while others were for community members/people at risk for HIV).  </w:t>
      </w:r>
      <w:r>
        <w:rPr>
          <w:rFonts w:cs="MS Gothic"/>
          <w:sz w:val="22"/>
          <w:szCs w:val="22"/>
        </w:rPr>
        <w:lastRenderedPageBreak/>
        <w:t xml:space="preserve">Focus groups conducted for the Part A needs assessments included all PLWH as that was the focus population. The inclusion of PLWH was extremely valuable to the development of the plan. Their voices were key to determining the needs of PLWH and to generate ideas for improving HIV prevention and care in the state of Nevada. </w:t>
      </w:r>
    </w:p>
    <w:p w:rsidR="00627076" w:rsidRDefault="00627076" w:rsidP="00627076">
      <w:pPr>
        <w:widowControl w:val="0"/>
        <w:tabs>
          <w:tab w:val="left" w:pos="220"/>
          <w:tab w:val="left" w:pos="720"/>
        </w:tabs>
        <w:autoSpaceDE w:val="0"/>
        <w:autoSpaceDN w:val="0"/>
        <w:adjustRightInd w:val="0"/>
        <w:spacing w:before="0" w:after="0"/>
        <w:jc w:val="both"/>
        <w:rPr>
          <w:rFonts w:cs="MS Gothic"/>
          <w:sz w:val="22"/>
          <w:szCs w:val="22"/>
          <w:highlight w:val="yellow"/>
        </w:rPr>
      </w:pPr>
    </w:p>
    <w:p w:rsidR="00517EF6" w:rsidRDefault="00627076" w:rsidP="00627076">
      <w:pPr>
        <w:widowControl w:val="0"/>
        <w:tabs>
          <w:tab w:val="left" w:pos="220"/>
          <w:tab w:val="left" w:pos="720"/>
        </w:tabs>
        <w:autoSpaceDE w:val="0"/>
        <w:autoSpaceDN w:val="0"/>
        <w:adjustRightInd w:val="0"/>
        <w:spacing w:before="0" w:after="0"/>
        <w:jc w:val="both"/>
        <w:rPr>
          <w:rFonts w:cs="MS Gothic"/>
          <w:sz w:val="22"/>
          <w:szCs w:val="22"/>
        </w:rPr>
      </w:pPr>
      <w:r w:rsidRPr="007039CB">
        <w:rPr>
          <w:rFonts w:cs="MS Gothic"/>
          <w:sz w:val="22"/>
          <w:szCs w:val="22"/>
        </w:rPr>
        <w:t>A variety of methods were used to engage communities, people living with HIV, those at substantial risk of acquiring HIV infection and other impacted groups to ensure that HIV prevention and care activities were responsive to their needs in</w:t>
      </w:r>
      <w:r>
        <w:rPr>
          <w:rFonts w:cs="MS Gothic"/>
          <w:sz w:val="22"/>
          <w:szCs w:val="22"/>
        </w:rPr>
        <w:t xml:space="preserve"> t</w:t>
      </w:r>
      <w:r w:rsidRPr="007039CB">
        <w:rPr>
          <w:rFonts w:cs="MS Gothic"/>
          <w:sz w:val="22"/>
          <w:szCs w:val="22"/>
        </w:rPr>
        <w:t>h</w:t>
      </w:r>
      <w:r>
        <w:rPr>
          <w:rFonts w:cs="MS Gothic"/>
          <w:sz w:val="22"/>
          <w:szCs w:val="22"/>
        </w:rPr>
        <w:t>e</w:t>
      </w:r>
      <w:r w:rsidRPr="007039CB">
        <w:rPr>
          <w:rFonts w:cs="MS Gothic"/>
          <w:sz w:val="22"/>
          <w:szCs w:val="22"/>
        </w:rPr>
        <w:t xml:space="preserve"> service area. As described previously, </w:t>
      </w:r>
      <w:r>
        <w:rPr>
          <w:rFonts w:cs="MS Gothic"/>
          <w:sz w:val="22"/>
          <w:szCs w:val="22"/>
        </w:rPr>
        <w:t>community members and people at risk for HIV infection were sought out to complete the community survey and to participate in focus groups. The community survey was administered in paper and online in many different settings to engage a diverse group of people in the state. Focus groups were held in diverse locations. The needs of PLWH were assessed through client needs assessment surveys and client satisfaction surveys at different times, locations, and modes. Furthermore, client focus groups were used to further understand the needs of PLWH. Finally, in the stakeholder meetings, planning group and planning council meetings, and through review of the plan drafts, PLWH and community members had further opportunities to have their voices heard in the process. The stakeholder meetings and planning groups and councils proved to be valuable means for generating ideas and solutions to challenges in the HIV prevention and care system. Attendees participated actively in these meetings and were fully engaged in the process.</w:t>
      </w:r>
    </w:p>
    <w:p w:rsidR="00517EF6" w:rsidRDefault="00517EF6">
      <w:pPr>
        <w:rPr>
          <w:rFonts w:cs="MS Gothic"/>
          <w:sz w:val="22"/>
          <w:szCs w:val="22"/>
        </w:rPr>
      </w:pPr>
      <w:r>
        <w:rPr>
          <w:rFonts w:cs="MS Gothic"/>
          <w:sz w:val="22"/>
          <w:szCs w:val="22"/>
        </w:rPr>
        <w:br w:type="page"/>
      </w:r>
    </w:p>
    <w:p w:rsidR="00512FE8" w:rsidRPr="00317602" w:rsidRDefault="00512FE8" w:rsidP="00424743">
      <w:pPr>
        <w:pStyle w:val="Heading1"/>
      </w:pPr>
      <w:bookmarkStart w:id="57" w:name="_Toc461188600"/>
      <w:r w:rsidRPr="00317602">
        <w:lastRenderedPageBreak/>
        <w:t>Section III: Monitoring and Improvement</w:t>
      </w:r>
      <w:bookmarkEnd w:id="57"/>
      <w:r w:rsidRPr="00317602">
        <w:t xml:space="preserve"> </w:t>
      </w:r>
    </w:p>
    <w:p w:rsidR="00512FE8" w:rsidRPr="00317602" w:rsidRDefault="00512FE8" w:rsidP="00E73293">
      <w:pPr>
        <w:pStyle w:val="ListParagraph"/>
        <w:widowControl w:val="0"/>
        <w:numPr>
          <w:ilvl w:val="0"/>
          <w:numId w:val="12"/>
        </w:numPr>
        <w:tabs>
          <w:tab w:val="left" w:pos="220"/>
          <w:tab w:val="left" w:pos="720"/>
        </w:tabs>
        <w:autoSpaceDE w:val="0"/>
        <w:autoSpaceDN w:val="0"/>
        <w:adjustRightInd w:val="0"/>
        <w:rPr>
          <w:rFonts w:cs="Calibri Light"/>
          <w:i/>
          <w:sz w:val="22"/>
          <w:szCs w:val="22"/>
        </w:rPr>
      </w:pPr>
      <w:r w:rsidRPr="00317602">
        <w:rPr>
          <w:rFonts w:cs="Calibri Light"/>
          <w:i/>
          <w:sz w:val="22"/>
          <w:szCs w:val="22"/>
        </w:rPr>
        <w:t xml:space="preserve">Describe the process for regularly updating planning bodies and stakeholders on the </w:t>
      </w:r>
      <w:r w:rsidRPr="00317602">
        <w:rPr>
          <w:rFonts w:ascii="MS Gothic" w:eastAsia="MS Gothic" w:hAnsi="MS Gothic" w:cs="MS Gothic" w:hint="eastAsia"/>
          <w:i/>
          <w:sz w:val="22"/>
          <w:szCs w:val="22"/>
        </w:rPr>
        <w:t> </w:t>
      </w:r>
      <w:r w:rsidRPr="00317602">
        <w:rPr>
          <w:rFonts w:cs="Calibri Light"/>
          <w:i/>
          <w:sz w:val="22"/>
          <w:szCs w:val="22"/>
        </w:rPr>
        <w:t xml:space="preserve">progress of plan implementation, soliciting feedback, and using the feedback from stakeholders for plan improvements. </w:t>
      </w:r>
      <w:r w:rsidRPr="00317602">
        <w:rPr>
          <w:rFonts w:ascii="MS Gothic" w:eastAsia="MS Gothic" w:hAnsi="MS Gothic" w:cs="MS Gothic" w:hint="eastAsia"/>
          <w:i/>
          <w:sz w:val="22"/>
          <w:szCs w:val="22"/>
        </w:rPr>
        <w:t> </w:t>
      </w:r>
    </w:p>
    <w:p w:rsidR="00512FE8" w:rsidRPr="00317602" w:rsidRDefault="00512FE8" w:rsidP="00E73293">
      <w:pPr>
        <w:pStyle w:val="ListParagraph"/>
        <w:widowControl w:val="0"/>
        <w:numPr>
          <w:ilvl w:val="0"/>
          <w:numId w:val="12"/>
        </w:numPr>
        <w:tabs>
          <w:tab w:val="left" w:pos="220"/>
          <w:tab w:val="left" w:pos="720"/>
        </w:tabs>
        <w:autoSpaceDE w:val="0"/>
        <w:autoSpaceDN w:val="0"/>
        <w:adjustRightInd w:val="0"/>
        <w:rPr>
          <w:rFonts w:cs="Calibri Light"/>
          <w:i/>
          <w:sz w:val="22"/>
          <w:szCs w:val="22"/>
        </w:rPr>
      </w:pPr>
      <w:r w:rsidRPr="00317602">
        <w:rPr>
          <w:rFonts w:cs="Calibri Light"/>
          <w:i/>
          <w:sz w:val="22"/>
          <w:szCs w:val="22"/>
        </w:rPr>
        <w:t xml:space="preserve">Describe the plan to monitor and evaluate implementation of the goals and SMART objectives from Section II: Integrated HIV Prevention and Care Plan. </w:t>
      </w:r>
      <w:r w:rsidRPr="00317602">
        <w:rPr>
          <w:rFonts w:ascii="MS Gothic" w:eastAsia="MS Gothic" w:hAnsi="MS Gothic" w:cs="MS Gothic" w:hint="eastAsia"/>
          <w:i/>
          <w:sz w:val="22"/>
          <w:szCs w:val="22"/>
        </w:rPr>
        <w:t> </w:t>
      </w:r>
    </w:p>
    <w:p w:rsidR="00512FE8" w:rsidRPr="00317602" w:rsidRDefault="00512FE8" w:rsidP="00E73293">
      <w:pPr>
        <w:pStyle w:val="ListParagraph"/>
        <w:widowControl w:val="0"/>
        <w:numPr>
          <w:ilvl w:val="0"/>
          <w:numId w:val="12"/>
        </w:numPr>
        <w:tabs>
          <w:tab w:val="left" w:pos="220"/>
          <w:tab w:val="left" w:pos="720"/>
        </w:tabs>
        <w:autoSpaceDE w:val="0"/>
        <w:autoSpaceDN w:val="0"/>
        <w:adjustRightInd w:val="0"/>
        <w:rPr>
          <w:rFonts w:cs="Calibri Light"/>
          <w:i/>
          <w:sz w:val="22"/>
          <w:szCs w:val="22"/>
        </w:rPr>
      </w:pPr>
      <w:r w:rsidRPr="00317602">
        <w:rPr>
          <w:rFonts w:cs="Calibri Light"/>
          <w:i/>
          <w:sz w:val="22"/>
          <w:szCs w:val="22"/>
        </w:rPr>
        <w:t xml:space="preserve">Describe the strategy to utilize surveillance and program data to assess and improve health outcomes along the HIV Care Continuum, which will be used to impact the quality of the HIV service delivery system, including strategic long-range planning. </w:t>
      </w:r>
      <w:r w:rsidRPr="00317602">
        <w:rPr>
          <w:rFonts w:ascii="MS Gothic" w:eastAsia="MS Gothic" w:hAnsi="MS Gothic" w:cs="MS Gothic" w:hint="eastAsia"/>
          <w:i/>
          <w:sz w:val="22"/>
          <w:szCs w:val="22"/>
        </w:rPr>
        <w:t> </w:t>
      </w:r>
    </w:p>
    <w:p w:rsidR="00627076" w:rsidRPr="00627076" w:rsidRDefault="00627076" w:rsidP="00627076">
      <w:pPr>
        <w:spacing w:line="256" w:lineRule="auto"/>
        <w:jc w:val="both"/>
        <w:rPr>
          <w:rFonts w:cs="Calibri Light"/>
          <w:sz w:val="22"/>
          <w:szCs w:val="22"/>
        </w:rPr>
      </w:pPr>
      <w:r w:rsidRPr="00627076">
        <w:rPr>
          <w:rFonts w:cs="Calibri Light"/>
          <w:sz w:val="22"/>
          <w:szCs w:val="22"/>
        </w:rPr>
        <w:t xml:space="preserve">The HIV Prevention and Care Integrated Plan Internal Workgroup will meet every six months to review progress on plan implementation. At the regularly scheduled meetings following the six-month review, representatives to the planning groups and council will update those bodies on plan progress and use that opportunity to solicit feedback from the planning groups which can be built back into the plan for improvements. </w:t>
      </w:r>
    </w:p>
    <w:p w:rsidR="00627076" w:rsidRPr="00627076" w:rsidRDefault="00627076" w:rsidP="00627076">
      <w:pPr>
        <w:spacing w:line="256" w:lineRule="auto"/>
        <w:jc w:val="both"/>
        <w:rPr>
          <w:rFonts w:cs="Calibri Light"/>
          <w:sz w:val="22"/>
          <w:szCs w:val="22"/>
        </w:rPr>
      </w:pPr>
      <w:r w:rsidRPr="00627076">
        <w:rPr>
          <w:rFonts w:cs="Calibri Light"/>
          <w:sz w:val="22"/>
          <w:szCs w:val="22"/>
        </w:rPr>
        <w:t xml:space="preserve">The Part A, Part B and Prevention programs have contracted the </w:t>
      </w:r>
      <w:r w:rsidR="00FE5055">
        <w:rPr>
          <w:rFonts w:cs="Calibri Light"/>
          <w:sz w:val="22"/>
          <w:szCs w:val="22"/>
        </w:rPr>
        <w:t>School of Community Health Sciences (SCHS)</w:t>
      </w:r>
      <w:r w:rsidRPr="00627076">
        <w:rPr>
          <w:rFonts w:cs="Calibri Light"/>
          <w:sz w:val="22"/>
          <w:szCs w:val="22"/>
        </w:rPr>
        <w:t xml:space="preserve"> at the University of Nevada, Reno to oversee the evaluation and monitoring of the plan. </w:t>
      </w:r>
      <w:r w:rsidR="00FE5055">
        <w:rPr>
          <w:rFonts w:cs="Calibri Light"/>
          <w:sz w:val="22"/>
          <w:szCs w:val="22"/>
        </w:rPr>
        <w:t>SCHS</w:t>
      </w:r>
      <w:r w:rsidRPr="00627076">
        <w:rPr>
          <w:rFonts w:cs="Calibri Light"/>
          <w:sz w:val="22"/>
          <w:szCs w:val="22"/>
        </w:rPr>
        <w:t xml:space="preserve"> will collaborate with the workgroup and planning bodies throughout the evaluation and monitoring process. An evaluation report will be produced annually to document the implementation process as well as progress towards the plan goals and objectives. The report will be shared with the workgroup and planning bodies. Also on an annual basis, current epidemiology data will be reviewed in relation to the goals and objectives </w:t>
      </w:r>
      <w:r w:rsidR="0001340D">
        <w:rPr>
          <w:rFonts w:cs="Calibri Light"/>
          <w:sz w:val="22"/>
          <w:szCs w:val="22"/>
        </w:rPr>
        <w:t>and will be used to make</w:t>
      </w:r>
      <w:r w:rsidRPr="00627076">
        <w:rPr>
          <w:rFonts w:cs="Calibri Light"/>
          <w:sz w:val="22"/>
          <w:szCs w:val="22"/>
        </w:rPr>
        <w:t xml:space="preserve"> adjustments to the plan as needed. </w:t>
      </w:r>
    </w:p>
    <w:p w:rsidR="00627076" w:rsidRDefault="00627076" w:rsidP="00627076">
      <w:pPr>
        <w:jc w:val="both"/>
        <w:rPr>
          <w:rFonts w:cs="Calibri Light"/>
          <w:sz w:val="22"/>
          <w:szCs w:val="22"/>
        </w:rPr>
      </w:pPr>
      <w:r w:rsidRPr="00627076">
        <w:rPr>
          <w:rFonts w:cs="Calibri Light"/>
          <w:sz w:val="22"/>
          <w:szCs w:val="22"/>
        </w:rPr>
        <w:t xml:space="preserve">Surveillance and program data will continue to be used regularly to improve service delivery. The Integrated plan incorporates use of data in multiple strategies such as targeted HIV testing, prevention and resource/service awareness campaigns to maximize resources and impact of programs and services. QM data is used regularly to </w:t>
      </w:r>
      <w:r w:rsidR="00157DDD">
        <w:rPr>
          <w:rFonts w:cs="Calibri Light"/>
          <w:sz w:val="22"/>
          <w:szCs w:val="22"/>
        </w:rPr>
        <w:t xml:space="preserve">make </w:t>
      </w:r>
      <w:r w:rsidR="007A79C2">
        <w:rPr>
          <w:rFonts w:cs="Calibri Light"/>
          <w:sz w:val="22"/>
          <w:szCs w:val="22"/>
        </w:rPr>
        <w:t>improvement</w:t>
      </w:r>
      <w:r w:rsidR="00157DDD">
        <w:rPr>
          <w:rFonts w:cs="Calibri Light"/>
          <w:sz w:val="22"/>
          <w:szCs w:val="22"/>
        </w:rPr>
        <w:t xml:space="preserve">s in </w:t>
      </w:r>
      <w:r w:rsidRPr="00627076">
        <w:rPr>
          <w:rFonts w:cs="Calibri Light"/>
          <w:sz w:val="22"/>
          <w:szCs w:val="22"/>
        </w:rPr>
        <w:t xml:space="preserve">service </w:t>
      </w:r>
      <w:r w:rsidR="00157DDD" w:rsidRPr="00627076">
        <w:rPr>
          <w:rFonts w:cs="Calibri Light"/>
          <w:sz w:val="22"/>
          <w:szCs w:val="22"/>
        </w:rPr>
        <w:t>deliver</w:t>
      </w:r>
      <w:r w:rsidR="00157DDD">
        <w:rPr>
          <w:rFonts w:cs="Calibri Light"/>
          <w:sz w:val="22"/>
          <w:szCs w:val="22"/>
        </w:rPr>
        <w:t xml:space="preserve">y </w:t>
      </w:r>
      <w:r w:rsidRPr="00627076">
        <w:rPr>
          <w:rFonts w:cs="Calibri Light"/>
          <w:sz w:val="22"/>
          <w:szCs w:val="22"/>
        </w:rPr>
        <w:t>and to revise plans. To ensure stakeholder involvement in quality management activities and processes, the Ryan White Part A and B programs jointly implemented a Ryan White Part A, B, C, D, F and prevention Cross-Part Collaborative Quality Management team in March 2013. The purpose of the team is to provide a mechanism for the objective review, evaluation and continuing improvement of the quality management system. It is also responsible for guiding the direction of quality improvement projects, forming quality improvement committees when necessary, documenting improvements</w:t>
      </w:r>
      <w:r w:rsidR="00157DDD">
        <w:rPr>
          <w:rFonts w:cs="Calibri Light"/>
          <w:sz w:val="22"/>
          <w:szCs w:val="22"/>
        </w:rPr>
        <w:t xml:space="preserve"> and</w:t>
      </w:r>
      <w:r w:rsidR="00157DDD" w:rsidRPr="00627076">
        <w:rPr>
          <w:rFonts w:cs="Calibri Light"/>
          <w:sz w:val="22"/>
          <w:szCs w:val="22"/>
        </w:rPr>
        <w:t xml:space="preserve"> </w:t>
      </w:r>
      <w:r w:rsidRPr="00627076">
        <w:rPr>
          <w:rFonts w:cs="Calibri Light"/>
          <w:sz w:val="22"/>
          <w:szCs w:val="22"/>
        </w:rPr>
        <w:t xml:space="preserve">results, and guiding the implementation of successful practices statewide. </w:t>
      </w:r>
      <w:r w:rsidR="00157DDD">
        <w:rPr>
          <w:rFonts w:cs="Calibri Light"/>
          <w:sz w:val="22"/>
          <w:szCs w:val="22"/>
        </w:rPr>
        <w:t>A s</w:t>
      </w:r>
      <w:r w:rsidRPr="00627076">
        <w:rPr>
          <w:rFonts w:cs="Calibri Light"/>
          <w:sz w:val="22"/>
          <w:szCs w:val="22"/>
        </w:rPr>
        <w:t>tatewide QM Plan has been developed and will be reviewed and updated regularly. Monthly QM Committee meetings via teleconference provide a statewide communication</w:t>
      </w:r>
      <w:r w:rsidR="00157DDD">
        <w:rPr>
          <w:rFonts w:cs="Calibri Light"/>
          <w:sz w:val="22"/>
          <w:szCs w:val="22"/>
        </w:rPr>
        <w:t xml:space="preserve"> vehicle</w:t>
      </w:r>
      <w:r w:rsidRPr="00627076">
        <w:rPr>
          <w:rFonts w:cs="Calibri Light"/>
          <w:sz w:val="22"/>
          <w:szCs w:val="22"/>
        </w:rPr>
        <w:t xml:space="preserve"> to discuss projects, performance measures, standards and activities or events that may affect program quality management initiatives. Part A and Part B are working on data sharing agreements that will include surveillance in order to have a more comprehensive reporting of viral loads. </w:t>
      </w:r>
    </w:p>
    <w:p w:rsidR="007A79C2" w:rsidRDefault="007A79C2">
      <w:pPr>
        <w:rPr>
          <w:rFonts w:cs="Calibri Light"/>
          <w:sz w:val="22"/>
          <w:szCs w:val="22"/>
        </w:rPr>
      </w:pPr>
      <w:r>
        <w:rPr>
          <w:rFonts w:cs="Calibri Light"/>
          <w:sz w:val="22"/>
          <w:szCs w:val="22"/>
        </w:rPr>
        <w:br w:type="page"/>
      </w:r>
    </w:p>
    <w:p w:rsidR="00342034" w:rsidRDefault="00342034" w:rsidP="00342034">
      <w:pPr>
        <w:pStyle w:val="Heading1"/>
      </w:pPr>
      <w:bookmarkStart w:id="58" w:name="_Toc461188601"/>
      <w:r>
        <w:lastRenderedPageBreak/>
        <w:t>Appendices</w:t>
      </w:r>
      <w:bookmarkEnd w:id="58"/>
    </w:p>
    <w:p w:rsidR="007952AA" w:rsidRDefault="007952AA" w:rsidP="00342034">
      <w:pPr>
        <w:pStyle w:val="Heading2"/>
      </w:pPr>
      <w:bookmarkStart w:id="59" w:name="_Toc461188602"/>
      <w:r>
        <w:t>Appendix A: List of Acronyms and Definitions</w:t>
      </w:r>
      <w:bookmarkEnd w:id="59"/>
    </w:p>
    <w:p w:rsidR="007952AA" w:rsidRDefault="007952AA" w:rsidP="00342034">
      <w:pPr>
        <w:pStyle w:val="Heading2"/>
        <w:rPr>
          <w:rFonts w:cs="Calibri Light"/>
        </w:rPr>
        <w:sectPr w:rsidR="007952AA" w:rsidSect="009B63AA">
          <w:headerReference w:type="even" r:id="rId48"/>
          <w:headerReference w:type="default" r:id="rId49"/>
          <w:footerReference w:type="even" r:id="rId50"/>
          <w:footerReference w:type="default" r:id="rId51"/>
          <w:headerReference w:type="first" r:id="rId52"/>
          <w:footerReference w:type="first" r:id="rId53"/>
          <w:pgSz w:w="12240" w:h="15840" w:code="1"/>
          <w:pgMar w:top="1440" w:right="1440" w:bottom="1440" w:left="1440" w:header="0" w:footer="288" w:gutter="0"/>
          <w:cols w:space="720"/>
          <w:titlePg/>
          <w:docGrid w:linePitch="360"/>
        </w:sectPr>
      </w:pPr>
    </w:p>
    <w:p w:rsidR="007952AA" w:rsidRDefault="007952AA" w:rsidP="007952AA">
      <w:pPr>
        <w:spacing w:before="0" w:after="0"/>
        <w:rPr>
          <w:rFonts w:cs="Calibri Light"/>
          <w:b/>
          <w:sz w:val="24"/>
          <w:szCs w:val="22"/>
        </w:rPr>
      </w:pPr>
    </w:p>
    <w:p w:rsidR="007952AA" w:rsidRPr="00DF1D79" w:rsidRDefault="007952AA" w:rsidP="007952AA">
      <w:pPr>
        <w:spacing w:before="0" w:after="0"/>
        <w:rPr>
          <w:rFonts w:cs="Calibri Light"/>
          <w:b/>
          <w:sz w:val="24"/>
          <w:szCs w:val="22"/>
        </w:rPr>
        <w:sectPr w:rsidR="007952AA" w:rsidRPr="00DF1D79" w:rsidSect="009B63AA">
          <w:type w:val="continuous"/>
          <w:pgSz w:w="12240" w:h="15840" w:code="1"/>
          <w:pgMar w:top="1440" w:right="1440" w:bottom="1440" w:left="1440" w:header="0" w:footer="288" w:gutter="0"/>
          <w:cols w:space="720"/>
          <w:titlePg/>
          <w:docGrid w:linePitch="360"/>
        </w:sectPr>
      </w:pPr>
      <w:r w:rsidRPr="00DF1D79">
        <w:rPr>
          <w:rFonts w:cs="Calibri Light"/>
          <w:b/>
          <w:sz w:val="24"/>
          <w:szCs w:val="22"/>
        </w:rPr>
        <w:t>Definitions</w:t>
      </w:r>
      <w:r>
        <w:rPr>
          <w:rFonts w:cs="Calibri Light"/>
          <w:b/>
          <w:sz w:val="24"/>
          <w:szCs w:val="22"/>
        </w:rPr>
        <w:t xml:space="preserve"> and Terminology</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All other counties</w:t>
      </w:r>
    </w:p>
    <w:p w:rsidR="007952AA" w:rsidRPr="00BA4E0E" w:rsidRDefault="007952AA" w:rsidP="007952AA">
      <w:pPr>
        <w:widowControl w:val="0"/>
        <w:spacing w:before="0" w:after="0"/>
        <w:jc w:val="both"/>
        <w:rPr>
          <w:color w:val="000000"/>
          <w:sz w:val="22"/>
          <w:szCs w:val="22"/>
        </w:rPr>
      </w:pPr>
      <w:r w:rsidRPr="00BA4E0E">
        <w:rPr>
          <w:sz w:val="22"/>
          <w:szCs w:val="22"/>
        </w:rPr>
        <w:t xml:space="preserve">The category </w:t>
      </w:r>
      <w:r w:rsidRPr="00BA4E0E">
        <w:rPr>
          <w:i/>
          <w:iCs/>
          <w:sz w:val="22"/>
          <w:szCs w:val="22"/>
        </w:rPr>
        <w:t xml:space="preserve">all other counties </w:t>
      </w:r>
      <w:r w:rsidRPr="00BA4E0E">
        <w:rPr>
          <w:sz w:val="22"/>
          <w:szCs w:val="22"/>
        </w:rPr>
        <w:t xml:space="preserve">includes all counties in Nevada other than Clark and Washoe counties. This includes Carson City, Churchill, Douglas, Elko, Esmeralda, Eureka, Humboldt, Lander, Lincoln, Lyon, Mineral, Nye, Pershing, Storey, and White Pine Counties.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Age at diagnosis</w:t>
      </w:r>
    </w:p>
    <w:p w:rsidR="007952AA" w:rsidRPr="00BA4E0E" w:rsidRDefault="007952AA" w:rsidP="007952AA">
      <w:pPr>
        <w:widowControl w:val="0"/>
        <w:spacing w:before="0" w:after="0"/>
        <w:jc w:val="both"/>
        <w:rPr>
          <w:color w:val="000000"/>
          <w:sz w:val="22"/>
          <w:szCs w:val="22"/>
        </w:rPr>
      </w:pPr>
      <w:r w:rsidRPr="00BA4E0E">
        <w:rPr>
          <w:sz w:val="22"/>
          <w:szCs w:val="22"/>
        </w:rPr>
        <w:t>Age at diagnosis is the age of the individual at the time he/she was diagnosed with HIV and/or HIV stage 3 (AIDS).</w:t>
      </w:r>
    </w:p>
    <w:p w:rsidR="007952AA" w:rsidRPr="00BA4E0E" w:rsidRDefault="007952AA" w:rsidP="007952AA">
      <w:pPr>
        <w:widowControl w:val="0"/>
        <w:spacing w:before="0" w:after="0"/>
        <w:jc w:val="both"/>
        <w:rPr>
          <w:sz w:val="22"/>
          <w:szCs w:val="22"/>
        </w:rPr>
      </w:pPr>
      <w:r w:rsidRPr="00BA4E0E">
        <w:rPr>
          <w:sz w:val="22"/>
          <w:szCs w:val="22"/>
        </w:rPr>
        <w:t> </w:t>
      </w:r>
    </w:p>
    <w:p w:rsidR="007952AA" w:rsidRPr="00BA4E0E" w:rsidRDefault="007952AA" w:rsidP="007952AA">
      <w:pPr>
        <w:widowControl w:val="0"/>
        <w:spacing w:before="0" w:after="0"/>
        <w:jc w:val="both"/>
        <w:rPr>
          <w:color w:val="003366"/>
          <w:sz w:val="22"/>
          <w:szCs w:val="22"/>
        </w:rPr>
      </w:pPr>
      <w:r w:rsidRPr="00BA4E0E">
        <w:rPr>
          <w:b/>
          <w:bCs/>
          <w:color w:val="003366"/>
          <w:sz w:val="22"/>
          <w:szCs w:val="22"/>
        </w:rPr>
        <w:t>Age at end of year</w:t>
      </w:r>
    </w:p>
    <w:p w:rsidR="007952AA" w:rsidRPr="00BA4E0E" w:rsidRDefault="007952AA" w:rsidP="007952AA">
      <w:pPr>
        <w:widowControl w:val="0"/>
        <w:spacing w:before="0" w:after="0"/>
        <w:jc w:val="both"/>
        <w:rPr>
          <w:color w:val="000000"/>
          <w:sz w:val="22"/>
          <w:szCs w:val="22"/>
        </w:rPr>
      </w:pPr>
      <w:r w:rsidRPr="00BA4E0E">
        <w:rPr>
          <w:sz w:val="22"/>
          <w:szCs w:val="22"/>
        </w:rPr>
        <w:t>Age at end of year is calculated based on a person’s date of birth</w:t>
      </w:r>
      <w:r w:rsidRPr="00BA4E0E">
        <w:rPr>
          <w:b/>
          <w:bCs/>
          <w:sz w:val="22"/>
          <w:szCs w:val="22"/>
        </w:rPr>
        <w:t xml:space="preserve">, </w:t>
      </w:r>
      <w:r w:rsidRPr="00BA4E0E">
        <w:rPr>
          <w:sz w:val="22"/>
          <w:szCs w:val="22"/>
        </w:rPr>
        <w:t xml:space="preserve">and is the person’s age at the end of the report year. If the date of birth is incomplete or unknown, age at end of year cannot be calculated. </w:t>
      </w:r>
    </w:p>
    <w:p w:rsidR="007952AA" w:rsidRDefault="007952AA" w:rsidP="007952AA">
      <w:pPr>
        <w:widowControl w:val="0"/>
        <w:spacing w:before="0" w:after="0"/>
        <w:jc w:val="both"/>
        <w:rPr>
          <w:sz w:val="22"/>
          <w:szCs w:val="22"/>
        </w:rPr>
      </w:pPr>
      <w:r w:rsidRPr="00BA4E0E">
        <w:rPr>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Cumulative deaths</w:t>
      </w:r>
    </w:p>
    <w:p w:rsidR="007952AA" w:rsidRPr="00BA4E0E" w:rsidRDefault="007952AA" w:rsidP="007952AA">
      <w:pPr>
        <w:widowControl w:val="0"/>
        <w:spacing w:before="0" w:after="0"/>
        <w:jc w:val="both"/>
        <w:rPr>
          <w:color w:val="000000"/>
          <w:sz w:val="22"/>
          <w:szCs w:val="22"/>
        </w:rPr>
      </w:pPr>
      <w:r w:rsidRPr="00BA4E0E">
        <w:rPr>
          <w:sz w:val="22"/>
          <w:szCs w:val="22"/>
        </w:rPr>
        <w:t xml:space="preserve">The total number of deaths from the beginning of the epidemic through the end of the report year. </w:t>
      </w:r>
    </w:p>
    <w:p w:rsidR="007952AA" w:rsidRPr="00BA4E0E" w:rsidRDefault="007952AA" w:rsidP="007952AA">
      <w:pPr>
        <w:widowControl w:val="0"/>
        <w:spacing w:before="0" w:after="0"/>
        <w:jc w:val="both"/>
        <w:rPr>
          <w:sz w:val="22"/>
          <w:szCs w:val="22"/>
        </w:rPr>
      </w:pPr>
      <w:r w:rsidRPr="00BA4E0E">
        <w:rPr>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Deaths among persons living with HIV</w:t>
      </w:r>
    </w:p>
    <w:p w:rsidR="007952AA" w:rsidRPr="00BA4E0E" w:rsidRDefault="007952AA" w:rsidP="007952AA">
      <w:pPr>
        <w:widowControl w:val="0"/>
        <w:spacing w:before="0" w:after="0"/>
        <w:jc w:val="both"/>
        <w:rPr>
          <w:color w:val="000000"/>
          <w:sz w:val="22"/>
          <w:szCs w:val="22"/>
        </w:rPr>
      </w:pPr>
      <w:r w:rsidRPr="00BA4E0E">
        <w:rPr>
          <w:sz w:val="22"/>
          <w:szCs w:val="22"/>
        </w:rPr>
        <w:t>Deaths among persons living with HIV (all stages), including HIV stage 3 (AIDS), may or may not have been due to HIV or HIV stage 3 (AIDS). Deaths are counted for those persons whose current residence was Nevada at the end of the report year; therefore, cases that have died out of state may not be reflected in this data</w:t>
      </w:r>
      <w:r w:rsidRPr="00BA4E0E">
        <w:rPr>
          <w:rFonts w:ascii="Times New Roman" w:hAnsi="Times New Roman"/>
          <w:sz w:val="22"/>
          <w:szCs w:val="22"/>
          <w:lang w:val="es-ES_tradnl"/>
        </w:rPr>
        <w:t>.</w:t>
      </w:r>
    </w:p>
    <w:p w:rsidR="007952AA" w:rsidRPr="00BA4E0E" w:rsidRDefault="007952AA" w:rsidP="007952AA">
      <w:pPr>
        <w:spacing w:before="0" w:after="0"/>
        <w:jc w:val="both"/>
        <w:rPr>
          <w:b/>
          <w:bCs/>
          <w:color w:val="365F91"/>
          <w:sz w:val="22"/>
          <w:szCs w:val="22"/>
        </w:rPr>
      </w:pPr>
      <w:r w:rsidRPr="00BA4E0E">
        <w:rPr>
          <w:b/>
          <w:bCs/>
          <w:color w:val="365F91"/>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eHARS</w:t>
      </w:r>
    </w:p>
    <w:p w:rsidR="007952AA" w:rsidRPr="00BA4E0E" w:rsidRDefault="007952AA" w:rsidP="007952AA">
      <w:pPr>
        <w:widowControl w:val="0"/>
        <w:spacing w:before="0" w:after="0"/>
        <w:jc w:val="both"/>
        <w:rPr>
          <w:color w:val="000000"/>
          <w:sz w:val="22"/>
          <w:szCs w:val="22"/>
        </w:rPr>
      </w:pPr>
      <w:r w:rsidRPr="00BA4E0E">
        <w:rPr>
          <w:sz w:val="22"/>
          <w:szCs w:val="22"/>
        </w:rPr>
        <w:t xml:space="preserve">Enhanced HIV/AIDS Reporting System; a document based data management system for tracking surveillance of HIV all stages, including HIV stage 3 (AIDS).  </w:t>
      </w:r>
    </w:p>
    <w:p w:rsidR="007952AA" w:rsidRPr="00BA4E0E" w:rsidRDefault="007952AA" w:rsidP="007952AA">
      <w:pPr>
        <w:widowControl w:val="0"/>
        <w:spacing w:before="0" w:after="0"/>
        <w:jc w:val="both"/>
        <w:rPr>
          <w:b/>
          <w:bCs/>
          <w:sz w:val="22"/>
          <w:szCs w:val="22"/>
        </w:rPr>
      </w:pPr>
      <w:r w:rsidRPr="00BA4E0E">
        <w:rPr>
          <w:b/>
          <w:bCs/>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HIV/ HIV Stage 3 (AIDS) surveillance</w:t>
      </w:r>
    </w:p>
    <w:p w:rsidR="007952AA" w:rsidRPr="00BA4E0E" w:rsidRDefault="007952AA" w:rsidP="007952AA">
      <w:pPr>
        <w:widowControl w:val="0"/>
        <w:spacing w:before="0" w:after="0"/>
        <w:jc w:val="both"/>
        <w:rPr>
          <w:color w:val="000000"/>
          <w:sz w:val="22"/>
          <w:szCs w:val="22"/>
        </w:rPr>
      </w:pPr>
      <w:r w:rsidRPr="00BA4E0E">
        <w:rPr>
          <w:sz w:val="22"/>
          <w:szCs w:val="22"/>
        </w:rPr>
        <w:t xml:space="preserve">The systematic collection, analysis, interpretation, dissemination, and evaluation of population-based information about persons with a diagnosis of HIV infection and persons with a diagnosis of HIV stage 3 (AIDS).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Morbidity</w:t>
      </w:r>
    </w:p>
    <w:p w:rsidR="007952AA" w:rsidRPr="00BA4E0E" w:rsidRDefault="007952AA" w:rsidP="007952AA">
      <w:pPr>
        <w:widowControl w:val="0"/>
        <w:spacing w:before="0" w:after="0"/>
        <w:jc w:val="both"/>
        <w:rPr>
          <w:color w:val="000000"/>
          <w:sz w:val="22"/>
          <w:szCs w:val="22"/>
        </w:rPr>
      </w:pPr>
      <w:r w:rsidRPr="00BA4E0E">
        <w:rPr>
          <w:sz w:val="22"/>
          <w:szCs w:val="22"/>
        </w:rPr>
        <w:t>The occurrence of an illness, disease, or injury.</w:t>
      </w:r>
    </w:p>
    <w:p w:rsidR="007952AA" w:rsidRPr="00BA4E0E" w:rsidRDefault="007952AA" w:rsidP="007952AA">
      <w:pPr>
        <w:widowControl w:val="0"/>
        <w:spacing w:before="0" w:after="0"/>
        <w:jc w:val="both"/>
        <w:rPr>
          <w:b/>
          <w:bCs/>
          <w:color w:val="003366"/>
          <w:sz w:val="22"/>
          <w:szCs w:val="22"/>
        </w:rPr>
      </w:pP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xml:space="preserve">New HIV infections/ New HIV Diagnoses </w:t>
      </w:r>
    </w:p>
    <w:p w:rsidR="007952AA" w:rsidRPr="00BA4E0E" w:rsidRDefault="007952AA" w:rsidP="007952AA">
      <w:pPr>
        <w:widowControl w:val="0"/>
        <w:spacing w:before="0" w:after="0"/>
        <w:jc w:val="both"/>
        <w:rPr>
          <w:color w:val="221E1F"/>
          <w:sz w:val="22"/>
          <w:szCs w:val="22"/>
        </w:rPr>
      </w:pPr>
      <w:r w:rsidRPr="00BA4E0E">
        <w:rPr>
          <w:color w:val="221E1F"/>
          <w:sz w:val="22"/>
          <w:szCs w:val="22"/>
        </w:rPr>
        <w:t xml:space="preserve">The category </w:t>
      </w:r>
      <w:r w:rsidRPr="00BA4E0E">
        <w:rPr>
          <w:i/>
          <w:iCs/>
          <w:color w:val="221E1F"/>
          <w:sz w:val="22"/>
          <w:szCs w:val="22"/>
        </w:rPr>
        <w:t>new HIV infections</w:t>
      </w:r>
      <w:r w:rsidRPr="00BA4E0E">
        <w:rPr>
          <w:color w:val="221E1F"/>
          <w:sz w:val="22"/>
          <w:szCs w:val="22"/>
        </w:rPr>
        <w:t xml:space="preserve"> includes persons newly diagnosed with HIV infection in Nevada (both </w:t>
      </w:r>
      <w:r w:rsidRPr="00BA4E0E">
        <w:rPr>
          <w:color w:val="221E1F"/>
          <w:sz w:val="22"/>
          <w:szCs w:val="22"/>
        </w:rPr>
        <w:lastRenderedPageBreak/>
        <w:t xml:space="preserve">living and deceased) and excludes persons who were diagnosed in another state but who currently live in Nevada. This category also includes persons who were newly diagnosed with HIV and HIV stage 3 (AIDS) in the same year. Thus, the categories </w:t>
      </w:r>
      <w:r w:rsidRPr="00BA4E0E">
        <w:rPr>
          <w:i/>
          <w:iCs/>
          <w:color w:val="221E1F"/>
          <w:sz w:val="22"/>
          <w:szCs w:val="22"/>
        </w:rPr>
        <w:t xml:space="preserve">new HIV infections </w:t>
      </w:r>
      <w:r w:rsidRPr="00BA4E0E">
        <w:rPr>
          <w:color w:val="221E1F"/>
          <w:sz w:val="22"/>
          <w:szCs w:val="22"/>
        </w:rPr>
        <w:t xml:space="preserve">and </w:t>
      </w:r>
      <w:r w:rsidRPr="00BA4E0E">
        <w:rPr>
          <w:i/>
          <w:iCs/>
          <w:color w:val="221E1F"/>
          <w:sz w:val="22"/>
          <w:szCs w:val="22"/>
        </w:rPr>
        <w:t xml:space="preserve">new HIV stage 3 (AIDS) diagnoses </w:t>
      </w:r>
      <w:r w:rsidRPr="00BA4E0E">
        <w:rPr>
          <w:color w:val="221E1F"/>
          <w:sz w:val="22"/>
          <w:szCs w:val="22"/>
        </w:rPr>
        <w:t xml:space="preserve">will duplicate case counts for the same report year and cannot be combined. </w:t>
      </w:r>
    </w:p>
    <w:p w:rsidR="007952AA" w:rsidRPr="00BA4E0E" w:rsidRDefault="007952AA" w:rsidP="007952AA">
      <w:pPr>
        <w:widowControl w:val="0"/>
        <w:spacing w:before="0" w:after="0"/>
        <w:jc w:val="both"/>
        <w:rPr>
          <w:color w:val="000000"/>
          <w:sz w:val="22"/>
          <w:szCs w:val="22"/>
        </w:rPr>
      </w:pPr>
      <w:r w:rsidRPr="00BA4E0E">
        <w:rPr>
          <w:sz w:val="22"/>
          <w:szCs w:val="22"/>
        </w:rPr>
        <w:t xml:space="preserve">  </w:t>
      </w:r>
    </w:p>
    <w:p w:rsidR="007952AA" w:rsidRPr="00BA4E0E" w:rsidRDefault="007952AA" w:rsidP="007952AA">
      <w:pPr>
        <w:widowControl w:val="0"/>
        <w:spacing w:before="0" w:after="0"/>
        <w:jc w:val="both"/>
        <w:rPr>
          <w:sz w:val="22"/>
          <w:szCs w:val="22"/>
        </w:rPr>
      </w:pPr>
      <w:r w:rsidRPr="00BA4E0E">
        <w:rPr>
          <w:sz w:val="22"/>
          <w:szCs w:val="22"/>
        </w:rPr>
        <w:t>In addition, the category new HIV infections is based on diagnoses of HIV infection and does not include every person who has been infected with HIV. Many people do not get tested for HIV and cannot be included in surveillance statistics. Furthermore, a recent diagnosis may not reflect a new infection; an individual may be diagnosed with HIV many years after he/she was first infected.</w:t>
      </w:r>
    </w:p>
    <w:p w:rsidR="007952AA" w:rsidRPr="00BA4E0E" w:rsidRDefault="007952AA" w:rsidP="007952AA">
      <w:pPr>
        <w:widowControl w:val="0"/>
        <w:spacing w:before="0" w:after="0"/>
        <w:jc w:val="both"/>
        <w:rPr>
          <w:sz w:val="22"/>
          <w:szCs w:val="22"/>
        </w:rPr>
      </w:pPr>
      <w:r w:rsidRPr="00BA4E0E">
        <w:rPr>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New HIV Stage 3 (AIDS) diagnoses</w:t>
      </w:r>
    </w:p>
    <w:p w:rsidR="007952AA" w:rsidRPr="00BA4E0E" w:rsidRDefault="007952AA" w:rsidP="007952AA">
      <w:pPr>
        <w:widowControl w:val="0"/>
        <w:spacing w:before="0" w:after="0"/>
        <w:jc w:val="both"/>
        <w:rPr>
          <w:color w:val="221E1F"/>
          <w:sz w:val="22"/>
          <w:szCs w:val="22"/>
        </w:rPr>
      </w:pPr>
      <w:r w:rsidRPr="00BA4E0E">
        <w:rPr>
          <w:color w:val="221E1F"/>
          <w:sz w:val="22"/>
          <w:szCs w:val="22"/>
        </w:rPr>
        <w:t xml:space="preserve">The category </w:t>
      </w:r>
      <w:r w:rsidRPr="00BA4E0E">
        <w:rPr>
          <w:i/>
          <w:iCs/>
          <w:color w:val="221E1F"/>
          <w:sz w:val="22"/>
          <w:szCs w:val="22"/>
        </w:rPr>
        <w:t>New HIV stage 3 (AIDS) Diagnoses</w:t>
      </w:r>
      <w:r w:rsidRPr="00BA4E0E">
        <w:rPr>
          <w:color w:val="221E1F"/>
          <w:sz w:val="22"/>
          <w:szCs w:val="22"/>
        </w:rPr>
        <w:t xml:space="preserve"> includes persons newly diagnosed with HIV stage 3 (AIDS) in Nevada (both living and deceased) and excludes persons who were diagnosed in another state but who currently live in Nevada.  This category also includes persons who were newly diagnosed with HIV stage 3 (AIDS) and HIV in the same year. Thus, the categories </w:t>
      </w:r>
      <w:r w:rsidRPr="00BA4E0E">
        <w:rPr>
          <w:i/>
          <w:iCs/>
          <w:color w:val="221E1F"/>
          <w:sz w:val="22"/>
          <w:szCs w:val="22"/>
        </w:rPr>
        <w:t xml:space="preserve">new HIV stage 3 (AIDS) diagnoses </w:t>
      </w:r>
      <w:r w:rsidRPr="00BA4E0E">
        <w:rPr>
          <w:color w:val="221E1F"/>
          <w:sz w:val="22"/>
          <w:szCs w:val="22"/>
        </w:rPr>
        <w:t xml:space="preserve">and </w:t>
      </w:r>
      <w:r w:rsidRPr="00BA4E0E">
        <w:rPr>
          <w:i/>
          <w:iCs/>
          <w:color w:val="221E1F"/>
          <w:sz w:val="22"/>
          <w:szCs w:val="22"/>
        </w:rPr>
        <w:t xml:space="preserve">new HIV infections/diagnoses </w:t>
      </w:r>
      <w:r w:rsidRPr="00BA4E0E">
        <w:rPr>
          <w:color w:val="221E1F"/>
          <w:sz w:val="22"/>
          <w:szCs w:val="22"/>
        </w:rPr>
        <w:t xml:space="preserve">will duplicate case counts for the same report year and cannot be combined. </w:t>
      </w:r>
    </w:p>
    <w:p w:rsidR="007952AA" w:rsidRPr="00BA4E0E" w:rsidRDefault="007952AA" w:rsidP="007952AA">
      <w:pPr>
        <w:widowControl w:val="0"/>
        <w:spacing w:before="0" w:after="0"/>
        <w:jc w:val="both"/>
        <w:rPr>
          <w:color w:val="221E1F"/>
          <w:sz w:val="22"/>
          <w:szCs w:val="22"/>
        </w:rPr>
      </w:pPr>
      <w:r w:rsidRPr="00BA4E0E">
        <w:rPr>
          <w:color w:val="221E1F"/>
          <w:sz w:val="22"/>
          <w:szCs w:val="22"/>
        </w:rPr>
        <w:t> </w:t>
      </w:r>
    </w:p>
    <w:p w:rsidR="007952AA" w:rsidRPr="00BA4E0E" w:rsidRDefault="007952AA" w:rsidP="007952AA">
      <w:pPr>
        <w:widowControl w:val="0"/>
        <w:spacing w:before="0" w:after="0"/>
        <w:jc w:val="both"/>
        <w:rPr>
          <w:color w:val="000000"/>
          <w:sz w:val="22"/>
          <w:szCs w:val="22"/>
        </w:rPr>
      </w:pPr>
      <w:r w:rsidRPr="00BA4E0E">
        <w:rPr>
          <w:sz w:val="22"/>
          <w:szCs w:val="22"/>
        </w:rPr>
        <w:t>The criteria for an HIV stage 3 (AIDS) diagnosis are: (1) a confirmed HIV infection and (2) either an HIV stage 3 (AIDS)-defining opportunistic infection or a CD4+ T-lymphocyte count of less than 200 cells/µL or percentage of less than 14 if no CD4+ T-lymphocyte count is present.</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xml:space="preserve">Persons living with HIV (not HIV Stage 3 (AIDS)) </w:t>
      </w:r>
    </w:p>
    <w:p w:rsidR="007952AA" w:rsidRPr="00BA4E0E" w:rsidRDefault="007952AA" w:rsidP="007952AA">
      <w:pPr>
        <w:spacing w:before="0" w:after="0"/>
        <w:jc w:val="both"/>
        <w:rPr>
          <w:color w:val="000000"/>
          <w:sz w:val="22"/>
          <w:szCs w:val="22"/>
        </w:rPr>
      </w:pPr>
      <w:r w:rsidRPr="00BA4E0E">
        <w:rPr>
          <w:sz w:val="22"/>
          <w:szCs w:val="22"/>
        </w:rPr>
        <w:t xml:space="preserve">This category includes persons currently living with HIV (not HIV stage 3 (AIDS) in Nevada, based on the most current address in eHARS. </w:t>
      </w:r>
      <w:r w:rsidRPr="00BA4E0E">
        <w:rPr>
          <w:color w:val="1D0000"/>
          <w:sz w:val="22"/>
          <w:szCs w:val="22"/>
        </w:rPr>
        <w:t xml:space="preserve">These persons may or may not have been diagnosed with HIV in Nevada.  </w:t>
      </w:r>
    </w:p>
    <w:p w:rsidR="007952AA" w:rsidRPr="00BA4E0E" w:rsidRDefault="007952AA" w:rsidP="007952AA">
      <w:pPr>
        <w:widowControl w:val="0"/>
        <w:spacing w:before="0" w:after="0"/>
        <w:jc w:val="both"/>
        <w:rPr>
          <w:b/>
          <w:bCs/>
          <w:color w:val="003366"/>
          <w:sz w:val="22"/>
          <w:szCs w:val="22"/>
        </w:rPr>
      </w:pP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xml:space="preserve">Persons living with HIV Stage 3 (AIDS) </w:t>
      </w:r>
    </w:p>
    <w:p w:rsidR="007952AA" w:rsidRPr="00BA4E0E" w:rsidRDefault="007952AA" w:rsidP="007952AA">
      <w:pPr>
        <w:spacing w:before="0" w:after="0"/>
        <w:jc w:val="both"/>
        <w:rPr>
          <w:color w:val="1D0000"/>
          <w:sz w:val="22"/>
          <w:szCs w:val="22"/>
        </w:rPr>
      </w:pPr>
      <w:r w:rsidRPr="00BA4E0E">
        <w:rPr>
          <w:sz w:val="22"/>
          <w:szCs w:val="22"/>
        </w:rPr>
        <w:t xml:space="preserve">This category includes persons currently living with HIV stage 3 (AIDS) in Nevada based on the most current address in eHARS. </w:t>
      </w:r>
      <w:r w:rsidRPr="00BA4E0E">
        <w:rPr>
          <w:color w:val="1D0000"/>
          <w:sz w:val="22"/>
          <w:szCs w:val="22"/>
        </w:rPr>
        <w:t xml:space="preserve">These persons may or may not have been diagnosed with HIV or HIV stage 3 (AIDS) in Nevada.  </w:t>
      </w:r>
    </w:p>
    <w:p w:rsidR="007952AA" w:rsidRPr="00BA4E0E" w:rsidRDefault="007952AA" w:rsidP="007952AA">
      <w:pPr>
        <w:spacing w:before="0" w:after="0"/>
        <w:jc w:val="both"/>
        <w:rPr>
          <w:color w:val="1D0000"/>
          <w:sz w:val="22"/>
          <w:szCs w:val="22"/>
        </w:rPr>
      </w:pPr>
      <w:r w:rsidRPr="00BA4E0E">
        <w:rPr>
          <w:color w:val="1D0000"/>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xml:space="preserve">Persons living with HIV </w:t>
      </w:r>
    </w:p>
    <w:p w:rsidR="007952AA" w:rsidRPr="00BA4E0E" w:rsidRDefault="007952AA" w:rsidP="007952AA">
      <w:pPr>
        <w:widowControl w:val="0"/>
        <w:spacing w:before="0" w:after="0"/>
        <w:jc w:val="both"/>
        <w:rPr>
          <w:color w:val="221E1F"/>
          <w:sz w:val="22"/>
          <w:szCs w:val="22"/>
        </w:rPr>
      </w:pPr>
      <w:r w:rsidRPr="00BA4E0E">
        <w:rPr>
          <w:sz w:val="22"/>
          <w:szCs w:val="22"/>
        </w:rPr>
        <w:t xml:space="preserve">This category includes the total number of persons currently living with HIV, including HIV stage 3 (AIDS), in Nevada, based on the most current address in eHARS. </w:t>
      </w:r>
      <w:r w:rsidRPr="00BA4E0E">
        <w:rPr>
          <w:color w:val="1D0000"/>
          <w:sz w:val="22"/>
          <w:szCs w:val="22"/>
        </w:rPr>
        <w:t>These persons may or may not have been diagnosed with HIV</w:t>
      </w:r>
      <w:r w:rsidRPr="00BA4E0E">
        <w:rPr>
          <w:sz w:val="22"/>
          <w:szCs w:val="22"/>
        </w:rPr>
        <w:t xml:space="preserve">, including HIV stage 3 (AIDS), </w:t>
      </w:r>
      <w:r w:rsidRPr="00BA4E0E">
        <w:rPr>
          <w:color w:val="1D0000"/>
          <w:sz w:val="22"/>
          <w:szCs w:val="22"/>
        </w:rPr>
        <w:t xml:space="preserve">in Nevada.  </w:t>
      </w:r>
      <w:r w:rsidRPr="00BA4E0E">
        <w:rPr>
          <w:color w:val="221E1F"/>
          <w:sz w:val="22"/>
          <w:szCs w:val="22"/>
        </w:rPr>
        <w:t xml:space="preserve">The categories </w:t>
      </w:r>
      <w:r w:rsidRPr="00BA4E0E">
        <w:rPr>
          <w:i/>
          <w:iCs/>
          <w:color w:val="221E1F"/>
          <w:sz w:val="22"/>
          <w:szCs w:val="22"/>
        </w:rPr>
        <w:t xml:space="preserve">persons living with HIV (not HIV stage 3 (AIDS)) </w:t>
      </w:r>
      <w:r w:rsidRPr="00BA4E0E">
        <w:rPr>
          <w:color w:val="221E1F"/>
          <w:sz w:val="22"/>
          <w:szCs w:val="22"/>
        </w:rPr>
        <w:t xml:space="preserve">and </w:t>
      </w:r>
      <w:r w:rsidRPr="00BA4E0E">
        <w:rPr>
          <w:i/>
          <w:iCs/>
          <w:color w:val="221E1F"/>
          <w:sz w:val="22"/>
          <w:szCs w:val="22"/>
        </w:rPr>
        <w:t xml:space="preserve">persons living with HIV stage 3 (AIDS), </w:t>
      </w:r>
      <w:r w:rsidRPr="00BA4E0E">
        <w:rPr>
          <w:color w:val="221E1F"/>
          <w:sz w:val="22"/>
          <w:szCs w:val="22"/>
        </w:rPr>
        <w:t xml:space="preserve">are mutually exclusive and can be combined to calculate the total number of persons living with HIV.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Race/Ethnicity</w:t>
      </w:r>
    </w:p>
    <w:p w:rsidR="007952AA" w:rsidRPr="00BA4E0E" w:rsidRDefault="007952AA" w:rsidP="007952AA">
      <w:pPr>
        <w:spacing w:before="0" w:after="0"/>
        <w:jc w:val="both"/>
        <w:rPr>
          <w:sz w:val="22"/>
          <w:szCs w:val="22"/>
        </w:rPr>
      </w:pPr>
      <w:r w:rsidRPr="00BA4E0E">
        <w:rPr>
          <w:sz w:val="22"/>
          <w:szCs w:val="22"/>
        </w:rPr>
        <w:t xml:space="preserve">The collection of race/ethnicity data in HIV surveillance follows the guidelines set forth by the Office of Management and Budget (OMB) in 1997. </w:t>
      </w:r>
      <w:r w:rsidRPr="00BA4E0E">
        <w:rPr>
          <w:sz w:val="22"/>
          <w:szCs w:val="22"/>
        </w:rPr>
        <w:tab/>
      </w:r>
    </w:p>
    <w:p w:rsidR="007952AA" w:rsidRPr="00BA4E0E" w:rsidRDefault="007952AA" w:rsidP="007952AA">
      <w:pPr>
        <w:spacing w:before="0" w:after="0"/>
        <w:jc w:val="both"/>
        <w:rPr>
          <w:color w:val="000000"/>
          <w:sz w:val="22"/>
          <w:szCs w:val="22"/>
        </w:rPr>
      </w:pPr>
    </w:p>
    <w:p w:rsidR="007952AA" w:rsidRPr="00BA4E0E" w:rsidRDefault="007952AA" w:rsidP="007952AA">
      <w:pPr>
        <w:widowControl w:val="0"/>
        <w:spacing w:before="0" w:after="0"/>
        <w:ind w:left="270"/>
        <w:jc w:val="both"/>
        <w:rPr>
          <w:b/>
          <w:bCs/>
          <w:color w:val="003366"/>
          <w:sz w:val="22"/>
          <w:szCs w:val="22"/>
        </w:rPr>
        <w:sectPr w:rsidR="007952AA" w:rsidRPr="00BA4E0E" w:rsidSect="009B63AA">
          <w:type w:val="continuous"/>
          <w:pgSz w:w="12240" w:h="15840" w:code="1"/>
          <w:pgMar w:top="1440" w:right="1440" w:bottom="1440" w:left="1440" w:header="0" w:footer="288" w:gutter="0"/>
          <w:pgNumType w:fmt="lowerRoman"/>
          <w:cols w:space="432"/>
          <w:titlePg/>
          <w:docGrid w:linePitch="360"/>
        </w:sectPr>
      </w:pPr>
    </w:p>
    <w:p w:rsidR="007952AA" w:rsidRPr="00BA4E0E" w:rsidRDefault="007952AA" w:rsidP="007952AA">
      <w:pPr>
        <w:widowControl w:val="0"/>
        <w:spacing w:before="0" w:after="0"/>
        <w:ind w:left="270"/>
        <w:jc w:val="both"/>
        <w:rPr>
          <w:sz w:val="22"/>
          <w:szCs w:val="22"/>
        </w:rPr>
      </w:pPr>
      <w:r w:rsidRPr="00BA4E0E">
        <w:rPr>
          <w:b/>
          <w:bCs/>
          <w:color w:val="003366"/>
          <w:sz w:val="22"/>
          <w:szCs w:val="22"/>
        </w:rPr>
        <w:lastRenderedPageBreak/>
        <w:t xml:space="preserve">Ethnicity: </w:t>
      </w:r>
      <w:r w:rsidRPr="00BA4E0E">
        <w:rPr>
          <w:sz w:val="22"/>
          <w:szCs w:val="22"/>
        </w:rPr>
        <w:t>There are two ethnicity categories: Hispanic/Latino and not Hispanic/Latino. All persons who identified as Hispanic/Latino are classified as Hispanic/Latino regardless of their racial identification.</w:t>
      </w:r>
    </w:p>
    <w:p w:rsidR="007952AA" w:rsidRPr="00BA4E0E" w:rsidRDefault="007952AA" w:rsidP="007952AA">
      <w:pPr>
        <w:widowControl w:val="0"/>
        <w:spacing w:before="0" w:after="0"/>
        <w:ind w:left="270"/>
        <w:rPr>
          <w:sz w:val="22"/>
          <w:szCs w:val="22"/>
        </w:rPr>
      </w:pPr>
      <w:r w:rsidRPr="00BA4E0E">
        <w:rPr>
          <w:sz w:val="22"/>
          <w:szCs w:val="22"/>
        </w:rPr>
        <w:t> </w:t>
      </w:r>
    </w:p>
    <w:p w:rsidR="007952AA" w:rsidRPr="00BA4E0E" w:rsidRDefault="007952AA" w:rsidP="007952AA">
      <w:pPr>
        <w:widowControl w:val="0"/>
        <w:spacing w:before="0" w:after="0"/>
        <w:ind w:left="270"/>
        <w:jc w:val="both"/>
        <w:rPr>
          <w:sz w:val="22"/>
          <w:szCs w:val="22"/>
        </w:rPr>
      </w:pPr>
      <w:r w:rsidRPr="00BA4E0E">
        <w:rPr>
          <w:b/>
          <w:bCs/>
          <w:color w:val="003366"/>
          <w:sz w:val="22"/>
          <w:szCs w:val="22"/>
        </w:rPr>
        <w:t xml:space="preserve">Race:  </w:t>
      </w:r>
      <w:r w:rsidRPr="00BA4E0E">
        <w:rPr>
          <w:sz w:val="22"/>
          <w:szCs w:val="22"/>
        </w:rPr>
        <w:t>There are four race categories: White, Black/African American, Asian/Native Hawaiian/Pacific Islander (API), and American Indian/Alaska Native (AI/AN).  The categories Asian, Native Hawaiian, and Pacific Islander were combined into the single category API due to their small population size in Nevada. Persons categorized by race were not Hispanic/Latino.</w:t>
      </w:r>
    </w:p>
    <w:p w:rsidR="007952AA" w:rsidRPr="00BA4E0E" w:rsidRDefault="007952AA" w:rsidP="007952AA">
      <w:pPr>
        <w:widowControl w:val="0"/>
        <w:spacing w:before="0" w:after="0"/>
        <w:ind w:left="270"/>
        <w:jc w:val="both"/>
        <w:rPr>
          <w:b/>
          <w:bCs/>
          <w:color w:val="003366"/>
          <w:sz w:val="22"/>
          <w:szCs w:val="22"/>
        </w:rPr>
      </w:pPr>
      <w:r w:rsidRPr="00BA4E0E">
        <w:rPr>
          <w:b/>
          <w:bCs/>
          <w:color w:val="003366"/>
          <w:sz w:val="22"/>
          <w:szCs w:val="22"/>
        </w:rPr>
        <w:t> </w:t>
      </w:r>
    </w:p>
    <w:p w:rsidR="007952AA" w:rsidRPr="00BA4E0E" w:rsidRDefault="007952AA" w:rsidP="007952AA">
      <w:pPr>
        <w:widowControl w:val="0"/>
        <w:spacing w:before="0" w:after="0"/>
        <w:jc w:val="both"/>
        <w:rPr>
          <w:b/>
          <w:bCs/>
          <w:color w:val="003366"/>
          <w:sz w:val="22"/>
          <w:szCs w:val="22"/>
        </w:rPr>
      </w:pPr>
      <w:r w:rsidRPr="00BA4E0E">
        <w:rPr>
          <w:b/>
          <w:bCs/>
          <w:color w:val="003366"/>
          <w:sz w:val="22"/>
          <w:szCs w:val="22"/>
        </w:rPr>
        <w:t>Rate</w:t>
      </w:r>
    </w:p>
    <w:p w:rsidR="007952AA" w:rsidRPr="00BA4E0E" w:rsidRDefault="007952AA" w:rsidP="007952AA">
      <w:pPr>
        <w:widowControl w:val="0"/>
        <w:spacing w:before="0" w:after="0"/>
        <w:jc w:val="both"/>
        <w:rPr>
          <w:color w:val="000000"/>
          <w:sz w:val="22"/>
          <w:szCs w:val="22"/>
        </w:rPr>
      </w:pPr>
      <w:r w:rsidRPr="00BA4E0E">
        <w:rPr>
          <w:sz w:val="22"/>
          <w:szCs w:val="22"/>
        </w:rPr>
        <w:t>The rapidity at which a health event occurs as indicated by the number of cases per number of people during a specific time period. In this report, rates were calculated for the 12-month period per 100,000 population using population estimates from the Nevada State Demographer’s Office. Rates in the tables calculated using counts under 12 have been suppressed due to a relative standard error greater than 30% denoted by ~.</w:t>
      </w:r>
    </w:p>
    <w:p w:rsidR="007952AA" w:rsidRPr="00BA4E0E" w:rsidRDefault="007952AA" w:rsidP="007952AA">
      <w:pPr>
        <w:widowControl w:val="0"/>
        <w:spacing w:before="0" w:after="0"/>
        <w:rPr>
          <w:sz w:val="22"/>
          <w:szCs w:val="22"/>
        </w:rPr>
      </w:pPr>
      <w:r w:rsidRPr="00BA4E0E">
        <w:rPr>
          <w:sz w:val="22"/>
          <w:szCs w:val="22"/>
        </w:rPr>
        <w:t> </w:t>
      </w:r>
    </w:p>
    <w:p w:rsidR="007952AA" w:rsidRPr="00BA4E0E" w:rsidRDefault="007952AA" w:rsidP="007952AA">
      <w:pPr>
        <w:widowControl w:val="0"/>
        <w:spacing w:before="0" w:after="0"/>
        <w:rPr>
          <w:b/>
          <w:bCs/>
          <w:color w:val="1F497D"/>
          <w:sz w:val="22"/>
          <w:szCs w:val="22"/>
        </w:rPr>
      </w:pPr>
      <w:r w:rsidRPr="00BA4E0E">
        <w:rPr>
          <w:b/>
          <w:bCs/>
          <w:color w:val="1F497D"/>
          <w:sz w:val="22"/>
          <w:szCs w:val="22"/>
        </w:rPr>
        <w:t>Transgender</w:t>
      </w:r>
    </w:p>
    <w:p w:rsidR="007952AA" w:rsidRPr="00BA4E0E" w:rsidRDefault="007952AA" w:rsidP="007952AA">
      <w:pPr>
        <w:widowControl w:val="0"/>
        <w:spacing w:before="0" w:after="0"/>
        <w:jc w:val="both"/>
        <w:rPr>
          <w:color w:val="000000"/>
          <w:sz w:val="22"/>
          <w:szCs w:val="22"/>
        </w:rPr>
      </w:pPr>
      <w:r w:rsidRPr="00BA4E0E">
        <w:rPr>
          <w:sz w:val="22"/>
          <w:szCs w:val="22"/>
        </w:rPr>
        <w:t xml:space="preserve">Persons whose gender identity, expression or behaviors are different from those typically associated with their assigned sex at birth. HIV surveillance programs use two variables, </w:t>
      </w:r>
      <w:r w:rsidRPr="00BA4E0E">
        <w:rPr>
          <w:i/>
          <w:iCs/>
          <w:sz w:val="22"/>
          <w:szCs w:val="22"/>
        </w:rPr>
        <w:t xml:space="preserve">sex at birth </w:t>
      </w:r>
      <w:r w:rsidRPr="00BA4E0E">
        <w:rPr>
          <w:sz w:val="22"/>
          <w:szCs w:val="22"/>
        </w:rPr>
        <w:t xml:space="preserve">and </w:t>
      </w:r>
      <w:r w:rsidRPr="00BA4E0E">
        <w:rPr>
          <w:i/>
          <w:iCs/>
          <w:sz w:val="22"/>
          <w:szCs w:val="22"/>
        </w:rPr>
        <w:t>current gender identity</w:t>
      </w:r>
      <w:r w:rsidRPr="00BA4E0E">
        <w:rPr>
          <w:sz w:val="22"/>
          <w:szCs w:val="22"/>
        </w:rPr>
        <w:t>, to identify transgender individuals and commonly use the following gender categories:</w:t>
      </w:r>
    </w:p>
    <w:p w:rsidR="007952AA" w:rsidRPr="00BA4E0E" w:rsidRDefault="007952AA" w:rsidP="007952AA">
      <w:pPr>
        <w:widowControl w:val="0"/>
        <w:spacing w:before="0" w:after="0"/>
        <w:ind w:left="270"/>
        <w:jc w:val="both"/>
        <w:rPr>
          <w:sz w:val="22"/>
          <w:szCs w:val="22"/>
        </w:rPr>
      </w:pPr>
      <w:r w:rsidRPr="00BA4E0E">
        <w:rPr>
          <w:sz w:val="22"/>
          <w:szCs w:val="22"/>
        </w:rPr>
        <w:t> </w:t>
      </w:r>
    </w:p>
    <w:p w:rsidR="007952AA" w:rsidRPr="00BA4E0E" w:rsidRDefault="007952AA" w:rsidP="007952AA">
      <w:pPr>
        <w:widowControl w:val="0"/>
        <w:spacing w:before="0" w:after="0"/>
        <w:ind w:left="270"/>
        <w:jc w:val="both"/>
        <w:rPr>
          <w:sz w:val="22"/>
          <w:szCs w:val="22"/>
        </w:rPr>
      </w:pPr>
      <w:r w:rsidRPr="00BA4E0E">
        <w:rPr>
          <w:b/>
          <w:bCs/>
          <w:color w:val="1F497D"/>
          <w:sz w:val="22"/>
          <w:szCs w:val="22"/>
        </w:rPr>
        <w:t xml:space="preserve">Male to Female (MTF): </w:t>
      </w:r>
      <w:r w:rsidRPr="00BA4E0E">
        <w:rPr>
          <w:sz w:val="22"/>
          <w:szCs w:val="22"/>
        </w:rPr>
        <w:t>An individual who was born as a male but currently identifies as a female.</w:t>
      </w:r>
    </w:p>
    <w:p w:rsidR="007952AA" w:rsidRPr="00BA4E0E" w:rsidRDefault="007952AA" w:rsidP="007952AA">
      <w:pPr>
        <w:widowControl w:val="0"/>
        <w:spacing w:before="0" w:after="0"/>
        <w:rPr>
          <w:sz w:val="22"/>
          <w:szCs w:val="22"/>
        </w:rPr>
      </w:pPr>
      <w:r w:rsidRPr="00BA4E0E">
        <w:rPr>
          <w:sz w:val="22"/>
          <w:szCs w:val="22"/>
        </w:rPr>
        <w:t> </w:t>
      </w:r>
    </w:p>
    <w:p w:rsidR="007952AA" w:rsidRPr="00BA4E0E" w:rsidRDefault="007952AA" w:rsidP="007952AA">
      <w:pPr>
        <w:widowControl w:val="0"/>
        <w:spacing w:before="0" w:after="0"/>
        <w:ind w:left="270"/>
        <w:jc w:val="both"/>
        <w:rPr>
          <w:sz w:val="22"/>
          <w:szCs w:val="22"/>
        </w:rPr>
      </w:pPr>
      <w:r w:rsidRPr="00BA4E0E">
        <w:rPr>
          <w:b/>
          <w:bCs/>
          <w:color w:val="1F497D"/>
          <w:sz w:val="22"/>
          <w:szCs w:val="22"/>
        </w:rPr>
        <w:t xml:space="preserve">Female to Male (FTM): </w:t>
      </w:r>
      <w:r w:rsidRPr="00BA4E0E">
        <w:rPr>
          <w:sz w:val="22"/>
          <w:szCs w:val="22"/>
        </w:rPr>
        <w:t xml:space="preserve">An individual who was born as a female but currently identifies as a male. </w:t>
      </w:r>
    </w:p>
    <w:p w:rsidR="007952AA" w:rsidRPr="00BA4E0E" w:rsidRDefault="007952AA" w:rsidP="007952AA">
      <w:pPr>
        <w:widowControl w:val="0"/>
        <w:spacing w:before="0" w:after="0"/>
        <w:ind w:left="270"/>
        <w:jc w:val="both"/>
        <w:rPr>
          <w:b/>
          <w:bCs/>
          <w:color w:val="1F497D"/>
          <w:sz w:val="22"/>
          <w:szCs w:val="22"/>
        </w:rPr>
      </w:pPr>
    </w:p>
    <w:p w:rsidR="007952AA" w:rsidRPr="00BA4E0E" w:rsidRDefault="007952AA" w:rsidP="007952AA">
      <w:pPr>
        <w:widowControl w:val="0"/>
        <w:spacing w:before="0" w:after="0"/>
        <w:ind w:left="270"/>
        <w:jc w:val="both"/>
        <w:rPr>
          <w:sz w:val="22"/>
          <w:szCs w:val="22"/>
        </w:rPr>
      </w:pPr>
      <w:r w:rsidRPr="00BA4E0E">
        <w:rPr>
          <w:b/>
          <w:bCs/>
          <w:color w:val="1F497D"/>
          <w:sz w:val="22"/>
          <w:szCs w:val="22"/>
        </w:rPr>
        <w:t xml:space="preserve">Additional gender identity: </w:t>
      </w:r>
      <w:r w:rsidRPr="00BA4E0E">
        <w:rPr>
          <w:sz w:val="22"/>
          <w:szCs w:val="22"/>
        </w:rPr>
        <w:t>Gender identities other than male, female, MTF, and FTM. For example, genderqueer, gender fluid, and bi-gender.</w:t>
      </w:r>
    </w:p>
    <w:p w:rsidR="007952AA" w:rsidRPr="00BA4E0E" w:rsidRDefault="007952AA" w:rsidP="007952AA">
      <w:pPr>
        <w:widowControl w:val="0"/>
        <w:spacing w:before="0" w:after="0"/>
        <w:ind w:left="270"/>
        <w:jc w:val="both"/>
        <w:rPr>
          <w:sz w:val="22"/>
          <w:szCs w:val="22"/>
        </w:rPr>
      </w:pPr>
      <w:r w:rsidRPr="00BA4E0E">
        <w:rPr>
          <w:sz w:val="22"/>
          <w:szCs w:val="22"/>
        </w:rPr>
        <w:t> </w:t>
      </w:r>
    </w:p>
    <w:p w:rsidR="007952AA" w:rsidRPr="00BA4E0E" w:rsidRDefault="007952AA" w:rsidP="007952AA">
      <w:pPr>
        <w:widowControl w:val="0"/>
        <w:spacing w:before="0" w:after="0"/>
        <w:rPr>
          <w:b/>
          <w:bCs/>
          <w:color w:val="003366"/>
          <w:sz w:val="22"/>
          <w:szCs w:val="22"/>
        </w:rPr>
      </w:pPr>
      <w:r w:rsidRPr="00BA4E0E">
        <w:rPr>
          <w:b/>
          <w:bCs/>
          <w:color w:val="003366"/>
          <w:sz w:val="22"/>
          <w:szCs w:val="22"/>
        </w:rPr>
        <w:t>Transmission Category</w:t>
      </w:r>
    </w:p>
    <w:p w:rsidR="007952AA" w:rsidRPr="00BA4E0E" w:rsidRDefault="007952AA" w:rsidP="007952AA">
      <w:pPr>
        <w:widowControl w:val="0"/>
        <w:spacing w:before="0" w:after="0"/>
        <w:jc w:val="both"/>
        <w:rPr>
          <w:color w:val="000000"/>
          <w:sz w:val="22"/>
          <w:szCs w:val="22"/>
        </w:rPr>
      </w:pPr>
      <w:r w:rsidRPr="00BA4E0E">
        <w:rPr>
          <w:sz w:val="22"/>
          <w:szCs w:val="22"/>
        </w:rPr>
        <w:t>The risk behavior associated with HIV transmission. A single person may have multiple exposures, so a hierarchy is used to select the risk factor that was most likely to cause HIV transmission. However, male-to-male sexual contact and injection drug use are equally likely to cause transmission, so males who report both of these behaviors are classified into a combined category. The primary transmission categories that have been identified are:</w:t>
      </w:r>
    </w:p>
    <w:p w:rsidR="007952AA" w:rsidRPr="00BA4E0E" w:rsidRDefault="007952AA" w:rsidP="007952AA">
      <w:pPr>
        <w:spacing w:before="0" w:after="0"/>
        <w:jc w:val="both"/>
        <w:rPr>
          <w:sz w:val="22"/>
          <w:szCs w:val="22"/>
        </w:rPr>
      </w:pPr>
      <w:r w:rsidRPr="00BA4E0E">
        <w:rPr>
          <w:sz w:val="22"/>
          <w:szCs w:val="22"/>
        </w:rPr>
        <w:t> </w:t>
      </w:r>
    </w:p>
    <w:p w:rsidR="007952AA" w:rsidRPr="00BA4E0E" w:rsidRDefault="007952AA" w:rsidP="007952AA">
      <w:pPr>
        <w:widowControl w:val="0"/>
        <w:spacing w:before="0" w:after="0"/>
        <w:ind w:left="270"/>
        <w:jc w:val="both"/>
        <w:rPr>
          <w:sz w:val="22"/>
          <w:szCs w:val="22"/>
        </w:rPr>
      </w:pPr>
      <w:r w:rsidRPr="00BA4E0E">
        <w:rPr>
          <w:b/>
          <w:bCs/>
          <w:color w:val="003366"/>
          <w:sz w:val="22"/>
          <w:szCs w:val="22"/>
        </w:rPr>
        <w:t>Male-to-male sexual contact (MSM)</w:t>
      </w:r>
      <w:r w:rsidRPr="00BA4E0E">
        <w:rPr>
          <w:b/>
          <w:bCs/>
          <w:color w:val="365F91"/>
          <w:sz w:val="22"/>
          <w:szCs w:val="22"/>
        </w:rPr>
        <w:t>:</w:t>
      </w:r>
      <w:r w:rsidRPr="00BA4E0E">
        <w:rPr>
          <w:sz w:val="22"/>
          <w:szCs w:val="22"/>
        </w:rPr>
        <w:t xml:space="preserve"> includes males with reported sexual contact with another male.</w:t>
      </w:r>
    </w:p>
    <w:p w:rsidR="007952AA" w:rsidRPr="00BA4E0E" w:rsidRDefault="007952AA" w:rsidP="007952AA">
      <w:pPr>
        <w:widowControl w:val="0"/>
        <w:spacing w:before="0" w:after="0"/>
        <w:ind w:left="270"/>
        <w:jc w:val="both"/>
        <w:rPr>
          <w:sz w:val="22"/>
          <w:szCs w:val="22"/>
        </w:rPr>
      </w:pPr>
      <w:r w:rsidRPr="00BA4E0E">
        <w:rPr>
          <w:sz w:val="22"/>
          <w:szCs w:val="22"/>
        </w:rPr>
        <w:t> </w:t>
      </w:r>
    </w:p>
    <w:p w:rsidR="007952AA" w:rsidRPr="00BA4E0E" w:rsidRDefault="007952AA" w:rsidP="007952AA">
      <w:pPr>
        <w:widowControl w:val="0"/>
        <w:spacing w:before="0" w:after="0"/>
        <w:ind w:left="270"/>
        <w:jc w:val="both"/>
        <w:rPr>
          <w:sz w:val="22"/>
          <w:szCs w:val="22"/>
        </w:rPr>
      </w:pPr>
      <w:r w:rsidRPr="00BA4E0E">
        <w:rPr>
          <w:b/>
          <w:bCs/>
          <w:color w:val="003366"/>
          <w:sz w:val="22"/>
          <w:szCs w:val="22"/>
        </w:rPr>
        <w:t>Injection drug use (IDU):</w:t>
      </w:r>
      <w:r w:rsidRPr="00BA4E0E">
        <w:rPr>
          <w:sz w:val="22"/>
          <w:szCs w:val="22"/>
        </w:rPr>
        <w:t xml:space="preserve"> includes persons who took non-prescribed drugs by injection, intravenously, intramuscularly or subcutaneously. </w:t>
      </w:r>
    </w:p>
    <w:p w:rsidR="007952AA" w:rsidRPr="00BA4E0E" w:rsidRDefault="007952AA" w:rsidP="007952AA">
      <w:pPr>
        <w:widowControl w:val="0"/>
        <w:spacing w:before="0" w:after="0"/>
        <w:ind w:left="270"/>
        <w:jc w:val="both"/>
        <w:rPr>
          <w:sz w:val="22"/>
          <w:szCs w:val="22"/>
        </w:rPr>
      </w:pPr>
      <w:r w:rsidRPr="00BA4E0E">
        <w:rPr>
          <w:sz w:val="22"/>
          <w:szCs w:val="22"/>
        </w:rPr>
        <w:t> </w:t>
      </w:r>
    </w:p>
    <w:p w:rsidR="007952AA" w:rsidRPr="00BA4E0E" w:rsidRDefault="007952AA" w:rsidP="007952AA">
      <w:pPr>
        <w:widowControl w:val="0"/>
        <w:spacing w:before="0" w:after="0"/>
        <w:ind w:left="270"/>
        <w:jc w:val="both"/>
        <w:rPr>
          <w:sz w:val="22"/>
          <w:szCs w:val="22"/>
        </w:rPr>
      </w:pPr>
      <w:r w:rsidRPr="00BA4E0E">
        <w:rPr>
          <w:b/>
          <w:bCs/>
          <w:color w:val="003366"/>
          <w:sz w:val="22"/>
          <w:szCs w:val="22"/>
        </w:rPr>
        <w:t xml:space="preserve">Male-to-male sexual contact and injection drug use (MSM+IDU): </w:t>
      </w:r>
      <w:r w:rsidRPr="00BA4E0E">
        <w:rPr>
          <w:sz w:val="22"/>
          <w:szCs w:val="22"/>
        </w:rPr>
        <w:t>includes males who reported both male-to-male sexual contact and injection drug use.</w:t>
      </w:r>
    </w:p>
    <w:p w:rsidR="007952AA" w:rsidRPr="00BA4E0E" w:rsidRDefault="007952AA" w:rsidP="007952AA">
      <w:pPr>
        <w:widowControl w:val="0"/>
        <w:spacing w:before="0" w:after="0"/>
        <w:ind w:left="270"/>
        <w:jc w:val="both"/>
        <w:rPr>
          <w:sz w:val="22"/>
          <w:szCs w:val="22"/>
        </w:rPr>
      </w:pPr>
      <w:r w:rsidRPr="00BA4E0E">
        <w:rPr>
          <w:sz w:val="22"/>
          <w:szCs w:val="22"/>
        </w:rPr>
        <w:t xml:space="preserve">                 </w:t>
      </w:r>
    </w:p>
    <w:p w:rsidR="007952AA" w:rsidRPr="00BA4E0E" w:rsidRDefault="007952AA" w:rsidP="007952AA">
      <w:pPr>
        <w:widowControl w:val="0"/>
        <w:spacing w:before="0" w:after="0"/>
        <w:ind w:left="270"/>
        <w:jc w:val="both"/>
        <w:rPr>
          <w:sz w:val="22"/>
          <w:szCs w:val="22"/>
        </w:rPr>
      </w:pPr>
      <w:r w:rsidRPr="00BA4E0E">
        <w:rPr>
          <w:b/>
          <w:bCs/>
          <w:color w:val="003366"/>
          <w:sz w:val="22"/>
          <w:szCs w:val="22"/>
        </w:rPr>
        <w:lastRenderedPageBreak/>
        <w:t>Heterosexual contact:</w:t>
      </w:r>
      <w:r w:rsidRPr="00BA4E0E">
        <w:rPr>
          <w:sz w:val="22"/>
          <w:szCs w:val="22"/>
        </w:rPr>
        <w:t xml:space="preserve"> includes persons who had heterosexual contact with an HIV-infected person, an injection drug user, or a person who has received blood products. For females only, history of heterosexual sex with a bisexual male constitutes a transmission category of heterosexual contact.</w:t>
      </w:r>
    </w:p>
    <w:p w:rsidR="007952AA" w:rsidRPr="00BA4E0E" w:rsidRDefault="007952AA" w:rsidP="007952AA">
      <w:pPr>
        <w:spacing w:before="0" w:after="0"/>
        <w:ind w:left="270"/>
        <w:jc w:val="both"/>
        <w:rPr>
          <w:b/>
          <w:bCs/>
          <w:sz w:val="22"/>
          <w:szCs w:val="22"/>
        </w:rPr>
      </w:pPr>
      <w:r w:rsidRPr="00BA4E0E">
        <w:rPr>
          <w:b/>
          <w:bCs/>
          <w:sz w:val="22"/>
          <w:szCs w:val="22"/>
        </w:rPr>
        <w:t> </w:t>
      </w:r>
    </w:p>
    <w:p w:rsidR="007952AA" w:rsidRPr="00BA4E0E" w:rsidRDefault="007952AA" w:rsidP="007952AA">
      <w:pPr>
        <w:widowControl w:val="0"/>
        <w:spacing w:before="0" w:after="0"/>
        <w:ind w:left="270"/>
        <w:jc w:val="both"/>
        <w:rPr>
          <w:b/>
          <w:bCs/>
          <w:sz w:val="22"/>
          <w:szCs w:val="22"/>
        </w:rPr>
      </w:pPr>
      <w:r w:rsidRPr="00BA4E0E">
        <w:rPr>
          <w:b/>
          <w:bCs/>
          <w:color w:val="003366"/>
          <w:sz w:val="22"/>
          <w:szCs w:val="22"/>
        </w:rPr>
        <w:t>Perinatal transmission</w:t>
      </w:r>
      <w:r w:rsidRPr="00BA4E0E">
        <w:rPr>
          <w:b/>
          <w:bCs/>
          <w:color w:val="365F91"/>
          <w:sz w:val="22"/>
          <w:szCs w:val="22"/>
        </w:rPr>
        <w:t>:</w:t>
      </w:r>
      <w:r w:rsidRPr="00BA4E0E">
        <w:rPr>
          <w:b/>
          <w:bCs/>
          <w:sz w:val="22"/>
          <w:szCs w:val="22"/>
        </w:rPr>
        <w:t xml:space="preserve"> </w:t>
      </w:r>
      <w:r w:rsidRPr="00BA4E0E">
        <w:rPr>
          <w:sz w:val="22"/>
          <w:szCs w:val="22"/>
        </w:rPr>
        <w:t>includes infants who were infected during gestation, birth, or postpartum through breastfeeding to an HIV-infected mother.</w:t>
      </w:r>
      <w:r w:rsidRPr="00BA4E0E">
        <w:rPr>
          <w:b/>
          <w:bCs/>
          <w:sz w:val="22"/>
          <w:szCs w:val="22"/>
        </w:rPr>
        <w:t xml:space="preserve">  </w:t>
      </w:r>
    </w:p>
    <w:p w:rsidR="007952AA" w:rsidRPr="00BA4E0E" w:rsidRDefault="007952AA" w:rsidP="007952AA">
      <w:pPr>
        <w:spacing w:before="0" w:after="0"/>
        <w:ind w:left="270"/>
        <w:jc w:val="both"/>
        <w:rPr>
          <w:b/>
          <w:bCs/>
          <w:sz w:val="22"/>
          <w:szCs w:val="22"/>
        </w:rPr>
      </w:pPr>
      <w:r w:rsidRPr="00BA4E0E">
        <w:rPr>
          <w:b/>
          <w:bCs/>
          <w:sz w:val="22"/>
          <w:szCs w:val="22"/>
        </w:rPr>
        <w:t> </w:t>
      </w:r>
    </w:p>
    <w:p w:rsidR="007952AA" w:rsidRPr="00BA4E0E" w:rsidRDefault="007952AA" w:rsidP="007952AA">
      <w:pPr>
        <w:widowControl w:val="0"/>
        <w:spacing w:before="0" w:after="0"/>
        <w:ind w:left="270"/>
        <w:jc w:val="both"/>
        <w:rPr>
          <w:sz w:val="22"/>
          <w:szCs w:val="22"/>
        </w:rPr>
      </w:pPr>
      <w:r w:rsidRPr="00BA4E0E">
        <w:rPr>
          <w:b/>
          <w:bCs/>
          <w:color w:val="003366"/>
          <w:sz w:val="22"/>
          <w:szCs w:val="22"/>
        </w:rPr>
        <w:t>Transfusion/Hemophilia:</w:t>
      </w:r>
      <w:r w:rsidRPr="00BA4E0E">
        <w:rPr>
          <w:sz w:val="22"/>
          <w:szCs w:val="22"/>
        </w:rPr>
        <w:t xml:space="preserve"> includes hemophilia and receipt of transfusions or transplants.</w:t>
      </w:r>
    </w:p>
    <w:p w:rsidR="007952AA" w:rsidRPr="00BA4E0E" w:rsidRDefault="007952AA" w:rsidP="007952AA">
      <w:pPr>
        <w:widowControl w:val="0"/>
        <w:spacing w:before="0" w:after="0"/>
        <w:ind w:left="270"/>
        <w:jc w:val="both"/>
        <w:rPr>
          <w:b/>
          <w:bCs/>
          <w:color w:val="003366"/>
          <w:sz w:val="22"/>
          <w:szCs w:val="22"/>
        </w:rPr>
      </w:pPr>
    </w:p>
    <w:p w:rsidR="007952AA" w:rsidRPr="00BA4E0E" w:rsidRDefault="007952AA" w:rsidP="007952AA">
      <w:pPr>
        <w:widowControl w:val="0"/>
        <w:spacing w:before="0" w:after="0"/>
        <w:ind w:left="270"/>
        <w:jc w:val="both"/>
        <w:rPr>
          <w:color w:val="000000"/>
          <w:sz w:val="22"/>
          <w:szCs w:val="22"/>
        </w:rPr>
      </w:pPr>
      <w:r w:rsidRPr="00BA4E0E">
        <w:rPr>
          <w:b/>
          <w:bCs/>
          <w:color w:val="003366"/>
          <w:sz w:val="22"/>
          <w:szCs w:val="22"/>
        </w:rPr>
        <w:t xml:space="preserve">No Identified Risk / No Risk Reported (NIR/NRR): </w:t>
      </w:r>
      <w:r w:rsidRPr="00BA4E0E">
        <w:rPr>
          <w:sz w:val="22"/>
          <w:szCs w:val="22"/>
        </w:rPr>
        <w:t xml:space="preserve">Persons who have no risk information reported by the provider or no risk factor was identified during an expanded investigation. </w:t>
      </w:r>
    </w:p>
    <w:p w:rsidR="007952AA" w:rsidRDefault="007952AA" w:rsidP="007952AA">
      <w:pPr>
        <w:widowControl w:val="0"/>
        <w:spacing w:before="0" w:after="0"/>
        <w:rPr>
          <w:b/>
          <w:sz w:val="24"/>
          <w:szCs w:val="24"/>
        </w:rPr>
      </w:pPr>
    </w:p>
    <w:p w:rsidR="007952AA" w:rsidRPr="00C569E1" w:rsidRDefault="007952AA" w:rsidP="007952AA">
      <w:pPr>
        <w:widowControl w:val="0"/>
        <w:spacing w:before="0" w:after="240"/>
        <w:rPr>
          <w:b/>
          <w:sz w:val="24"/>
          <w:szCs w:val="24"/>
        </w:rPr>
      </w:pPr>
      <w:r w:rsidRPr="00C569E1">
        <w:rPr>
          <w:b/>
          <w:sz w:val="24"/>
          <w:szCs w:val="24"/>
        </w:rPr>
        <w:t>Abbreviations</w:t>
      </w:r>
    </w:p>
    <w:p w:rsidR="007952AA" w:rsidRPr="00F325EE" w:rsidRDefault="007952AA" w:rsidP="007952AA">
      <w:pPr>
        <w:widowControl w:val="0"/>
        <w:tabs>
          <w:tab w:val="left" w:pos="223"/>
        </w:tabs>
        <w:spacing w:before="0" w:after="0"/>
        <w:ind w:left="900" w:hanging="900"/>
        <w:rPr>
          <w:sz w:val="22"/>
        </w:rPr>
      </w:pPr>
      <w:r w:rsidRPr="00F325EE">
        <w:rPr>
          <w:sz w:val="22"/>
        </w:rPr>
        <w:t>ACA</w:t>
      </w:r>
      <w:r w:rsidRPr="00F325EE">
        <w:rPr>
          <w:sz w:val="22"/>
        </w:rPr>
        <w:tab/>
      </w:r>
      <w:r w:rsidRPr="00F325EE">
        <w:rPr>
          <w:sz w:val="22"/>
        </w:rPr>
        <w:tab/>
        <w:t>Affordable Care Act</w:t>
      </w:r>
    </w:p>
    <w:p w:rsidR="007952AA" w:rsidRPr="00F325EE" w:rsidRDefault="007952AA" w:rsidP="007952AA">
      <w:pPr>
        <w:widowControl w:val="0"/>
        <w:tabs>
          <w:tab w:val="left" w:pos="223"/>
        </w:tabs>
        <w:spacing w:before="0" w:after="0"/>
        <w:ind w:left="900" w:hanging="900"/>
        <w:rPr>
          <w:sz w:val="22"/>
        </w:rPr>
      </w:pPr>
      <w:r w:rsidRPr="00F325EE">
        <w:rPr>
          <w:sz w:val="22"/>
        </w:rPr>
        <w:t>ADAP</w:t>
      </w:r>
      <w:r w:rsidRPr="00F325EE">
        <w:rPr>
          <w:sz w:val="22"/>
        </w:rPr>
        <w:tab/>
      </w:r>
      <w:r w:rsidRPr="00F325EE">
        <w:rPr>
          <w:sz w:val="22"/>
        </w:rPr>
        <w:tab/>
        <w:t>AIDS Drug Assistance Program</w:t>
      </w:r>
    </w:p>
    <w:p w:rsidR="007952AA" w:rsidRPr="00F325EE" w:rsidRDefault="007952AA" w:rsidP="007952AA">
      <w:pPr>
        <w:widowControl w:val="0"/>
        <w:tabs>
          <w:tab w:val="left" w:pos="223"/>
        </w:tabs>
        <w:spacing w:before="0" w:after="0"/>
        <w:ind w:left="900" w:hanging="900"/>
        <w:rPr>
          <w:sz w:val="22"/>
        </w:rPr>
      </w:pPr>
      <w:r w:rsidRPr="00F325EE">
        <w:rPr>
          <w:sz w:val="22"/>
        </w:rPr>
        <w:t>AETC</w:t>
      </w:r>
      <w:r w:rsidRPr="00F325EE">
        <w:rPr>
          <w:sz w:val="22"/>
        </w:rPr>
        <w:tab/>
      </w:r>
      <w:r w:rsidRPr="00F325EE">
        <w:rPr>
          <w:sz w:val="22"/>
        </w:rPr>
        <w:tab/>
        <w:t>AIDS Education and Training Center</w:t>
      </w:r>
    </w:p>
    <w:p w:rsidR="007952AA" w:rsidRPr="00F325EE" w:rsidRDefault="007952AA" w:rsidP="007952AA">
      <w:pPr>
        <w:widowControl w:val="0"/>
        <w:tabs>
          <w:tab w:val="left" w:pos="223"/>
        </w:tabs>
        <w:spacing w:before="0" w:after="0"/>
        <w:ind w:left="900" w:hanging="900"/>
        <w:rPr>
          <w:sz w:val="22"/>
        </w:rPr>
      </w:pPr>
      <w:r w:rsidRPr="00F325EE">
        <w:rPr>
          <w:sz w:val="22"/>
        </w:rPr>
        <w:t>AIDS</w:t>
      </w:r>
      <w:r w:rsidRPr="00F325EE">
        <w:rPr>
          <w:sz w:val="22"/>
        </w:rPr>
        <w:tab/>
      </w:r>
      <w:r w:rsidRPr="00F325EE">
        <w:rPr>
          <w:sz w:val="22"/>
        </w:rPr>
        <w:tab/>
        <w:t xml:space="preserve">Acquired Immunodeficiency Syndrome, also referred to as HIV stage 3 (AIDS). </w:t>
      </w:r>
    </w:p>
    <w:p w:rsidR="007952AA" w:rsidRPr="00F325EE" w:rsidRDefault="007952AA" w:rsidP="007952AA">
      <w:pPr>
        <w:widowControl w:val="0"/>
        <w:tabs>
          <w:tab w:val="left" w:pos="223"/>
        </w:tabs>
        <w:spacing w:before="0" w:after="0"/>
        <w:ind w:left="900" w:hanging="900"/>
        <w:rPr>
          <w:sz w:val="22"/>
        </w:rPr>
      </w:pPr>
      <w:r w:rsidRPr="00F325EE">
        <w:rPr>
          <w:sz w:val="22"/>
        </w:rPr>
        <w:t>AI/AN</w:t>
      </w:r>
      <w:r w:rsidRPr="00F325EE">
        <w:rPr>
          <w:sz w:val="22"/>
        </w:rPr>
        <w:tab/>
      </w:r>
      <w:r w:rsidRPr="00F325EE">
        <w:rPr>
          <w:sz w:val="22"/>
        </w:rPr>
        <w:tab/>
        <w:t>American Indian/Alaskan Native</w:t>
      </w:r>
    </w:p>
    <w:p w:rsidR="007952AA" w:rsidRPr="00F325EE" w:rsidRDefault="007952AA" w:rsidP="007952AA">
      <w:pPr>
        <w:widowControl w:val="0"/>
        <w:tabs>
          <w:tab w:val="left" w:pos="223"/>
        </w:tabs>
        <w:spacing w:before="0" w:after="0"/>
        <w:ind w:left="900" w:hanging="900"/>
        <w:rPr>
          <w:sz w:val="22"/>
        </w:rPr>
      </w:pPr>
      <w:r w:rsidRPr="00F325EE">
        <w:rPr>
          <w:sz w:val="22"/>
        </w:rPr>
        <w:t>API</w:t>
      </w:r>
      <w:r w:rsidRPr="00F325EE">
        <w:rPr>
          <w:sz w:val="22"/>
        </w:rPr>
        <w:tab/>
      </w:r>
      <w:r w:rsidRPr="00F325EE">
        <w:rPr>
          <w:sz w:val="22"/>
        </w:rPr>
        <w:tab/>
        <w:t>Asian/Hawaiian/Pacific Islander</w:t>
      </w:r>
    </w:p>
    <w:p w:rsidR="007952AA" w:rsidRPr="00F325EE" w:rsidRDefault="007952AA" w:rsidP="007952AA">
      <w:pPr>
        <w:widowControl w:val="0"/>
        <w:tabs>
          <w:tab w:val="left" w:pos="223"/>
        </w:tabs>
        <w:spacing w:before="0" w:after="0"/>
        <w:ind w:left="900" w:hanging="900"/>
        <w:rPr>
          <w:sz w:val="22"/>
        </w:rPr>
      </w:pPr>
      <w:r w:rsidRPr="00F325EE">
        <w:rPr>
          <w:sz w:val="22"/>
        </w:rPr>
        <w:t>ART</w:t>
      </w:r>
      <w:r w:rsidRPr="00F325EE">
        <w:rPr>
          <w:sz w:val="22"/>
        </w:rPr>
        <w:tab/>
      </w:r>
      <w:r w:rsidRPr="00F325EE">
        <w:rPr>
          <w:sz w:val="22"/>
        </w:rPr>
        <w:tab/>
        <w:t>Antiretroviral Therapy</w:t>
      </w:r>
    </w:p>
    <w:p w:rsidR="007952AA" w:rsidRPr="00F325EE" w:rsidRDefault="007952AA" w:rsidP="007952AA">
      <w:pPr>
        <w:widowControl w:val="0"/>
        <w:tabs>
          <w:tab w:val="left" w:pos="223"/>
        </w:tabs>
        <w:spacing w:before="0" w:after="0"/>
        <w:ind w:left="900" w:hanging="900"/>
        <w:rPr>
          <w:sz w:val="22"/>
        </w:rPr>
      </w:pPr>
      <w:r w:rsidRPr="00F325EE">
        <w:rPr>
          <w:sz w:val="22"/>
        </w:rPr>
        <w:t>CBO</w:t>
      </w:r>
      <w:r w:rsidRPr="00F325EE">
        <w:rPr>
          <w:sz w:val="22"/>
        </w:rPr>
        <w:tab/>
      </w:r>
      <w:r w:rsidRPr="00F325EE">
        <w:rPr>
          <w:sz w:val="22"/>
        </w:rPr>
        <w:tab/>
        <w:t>Community Based Organization</w:t>
      </w:r>
    </w:p>
    <w:p w:rsidR="007952AA" w:rsidRPr="00F325EE" w:rsidRDefault="007952AA" w:rsidP="007952AA">
      <w:pPr>
        <w:widowControl w:val="0"/>
        <w:tabs>
          <w:tab w:val="left" w:pos="223"/>
        </w:tabs>
        <w:spacing w:before="0" w:after="0"/>
        <w:ind w:left="900" w:hanging="900"/>
        <w:rPr>
          <w:sz w:val="22"/>
        </w:rPr>
      </w:pPr>
      <w:r w:rsidRPr="00F325EE">
        <w:rPr>
          <w:sz w:val="22"/>
        </w:rPr>
        <w:t>CCHHS</w:t>
      </w:r>
      <w:r w:rsidRPr="00F325EE">
        <w:rPr>
          <w:sz w:val="22"/>
        </w:rPr>
        <w:tab/>
      </w:r>
      <w:r w:rsidRPr="00F325EE">
        <w:rPr>
          <w:sz w:val="22"/>
        </w:rPr>
        <w:tab/>
        <w:t>Carson City Health and Human Services</w:t>
      </w:r>
    </w:p>
    <w:p w:rsidR="007952AA" w:rsidRPr="00F325EE" w:rsidRDefault="007952AA" w:rsidP="007952AA">
      <w:pPr>
        <w:widowControl w:val="0"/>
        <w:tabs>
          <w:tab w:val="left" w:pos="223"/>
        </w:tabs>
        <w:spacing w:before="0" w:after="0"/>
        <w:ind w:left="900" w:hanging="900"/>
        <w:rPr>
          <w:sz w:val="22"/>
        </w:rPr>
      </w:pPr>
      <w:r w:rsidRPr="00F325EE">
        <w:rPr>
          <w:sz w:val="22"/>
        </w:rPr>
        <w:t>CDC</w:t>
      </w:r>
      <w:r w:rsidRPr="00F325EE">
        <w:rPr>
          <w:sz w:val="22"/>
        </w:rPr>
        <w:tab/>
      </w:r>
      <w:r w:rsidRPr="00F325EE">
        <w:rPr>
          <w:sz w:val="22"/>
        </w:rPr>
        <w:tab/>
        <w:t>Centers for Disease Control and Prevention</w:t>
      </w:r>
    </w:p>
    <w:p w:rsidR="007952AA" w:rsidRPr="00F325EE" w:rsidRDefault="007952AA" w:rsidP="007952AA">
      <w:pPr>
        <w:widowControl w:val="0"/>
        <w:tabs>
          <w:tab w:val="left" w:pos="223"/>
        </w:tabs>
        <w:spacing w:before="0" w:after="0"/>
        <w:ind w:left="900" w:hanging="900"/>
        <w:rPr>
          <w:sz w:val="22"/>
        </w:rPr>
      </w:pPr>
      <w:r w:rsidRPr="00F325EE">
        <w:rPr>
          <w:sz w:val="22"/>
        </w:rPr>
        <w:t>CPG</w:t>
      </w:r>
      <w:r w:rsidRPr="00F325EE">
        <w:rPr>
          <w:sz w:val="22"/>
        </w:rPr>
        <w:tab/>
      </w:r>
      <w:r w:rsidRPr="00F325EE">
        <w:rPr>
          <w:sz w:val="22"/>
        </w:rPr>
        <w:tab/>
        <w:t>Community Planning Group</w:t>
      </w:r>
    </w:p>
    <w:p w:rsidR="007952AA" w:rsidRPr="00F325EE" w:rsidRDefault="007952AA" w:rsidP="007952AA">
      <w:pPr>
        <w:widowControl w:val="0"/>
        <w:tabs>
          <w:tab w:val="left" w:pos="223"/>
        </w:tabs>
        <w:spacing w:before="0" w:after="0"/>
        <w:ind w:left="900" w:hanging="900"/>
        <w:rPr>
          <w:sz w:val="22"/>
        </w:rPr>
      </w:pPr>
      <w:r w:rsidRPr="00F325EE">
        <w:rPr>
          <w:sz w:val="22"/>
        </w:rPr>
        <w:t>CRCS</w:t>
      </w:r>
      <w:r w:rsidRPr="00F325EE">
        <w:rPr>
          <w:sz w:val="22"/>
        </w:rPr>
        <w:tab/>
      </w:r>
      <w:r w:rsidRPr="00F325EE">
        <w:rPr>
          <w:sz w:val="22"/>
        </w:rPr>
        <w:tab/>
        <w:t>Comprehensive Risk Counseling Services</w:t>
      </w:r>
    </w:p>
    <w:p w:rsidR="007952AA" w:rsidRPr="00F325EE" w:rsidRDefault="007952AA" w:rsidP="007952AA">
      <w:pPr>
        <w:widowControl w:val="0"/>
        <w:tabs>
          <w:tab w:val="left" w:pos="223"/>
        </w:tabs>
        <w:spacing w:before="0" w:after="0"/>
        <w:ind w:left="900" w:hanging="900"/>
        <w:rPr>
          <w:sz w:val="22"/>
        </w:rPr>
      </w:pPr>
      <w:r w:rsidRPr="00F325EE">
        <w:rPr>
          <w:sz w:val="22"/>
        </w:rPr>
        <w:t>DPBH</w:t>
      </w:r>
      <w:r w:rsidRPr="00F325EE">
        <w:rPr>
          <w:sz w:val="22"/>
        </w:rPr>
        <w:tab/>
      </w:r>
      <w:r w:rsidRPr="00F325EE">
        <w:rPr>
          <w:sz w:val="22"/>
        </w:rPr>
        <w:tab/>
        <w:t>Division of Public and Behavioral Health</w:t>
      </w:r>
    </w:p>
    <w:p w:rsidR="007952AA" w:rsidRPr="00F325EE" w:rsidRDefault="007952AA" w:rsidP="007952AA">
      <w:pPr>
        <w:widowControl w:val="0"/>
        <w:tabs>
          <w:tab w:val="left" w:pos="223"/>
        </w:tabs>
        <w:spacing w:before="0" w:after="0"/>
        <w:ind w:left="900" w:hanging="900"/>
        <w:rPr>
          <w:sz w:val="22"/>
        </w:rPr>
      </w:pPr>
      <w:r w:rsidRPr="00F325EE">
        <w:rPr>
          <w:sz w:val="22"/>
        </w:rPr>
        <w:t>eHARS</w:t>
      </w:r>
      <w:r w:rsidRPr="00F325EE">
        <w:rPr>
          <w:sz w:val="22"/>
        </w:rPr>
        <w:tab/>
      </w:r>
      <w:r w:rsidRPr="00F325EE">
        <w:rPr>
          <w:sz w:val="22"/>
        </w:rPr>
        <w:tab/>
        <w:t>enhanced HIV/AIDS Reporting System</w:t>
      </w:r>
    </w:p>
    <w:p w:rsidR="007952AA" w:rsidRPr="00F325EE" w:rsidRDefault="007952AA" w:rsidP="007952AA">
      <w:pPr>
        <w:widowControl w:val="0"/>
        <w:tabs>
          <w:tab w:val="left" w:pos="223"/>
        </w:tabs>
        <w:spacing w:before="0" w:after="0"/>
        <w:ind w:left="900" w:hanging="900"/>
        <w:rPr>
          <w:sz w:val="22"/>
        </w:rPr>
      </w:pPr>
      <w:r w:rsidRPr="00F325EE">
        <w:rPr>
          <w:sz w:val="22"/>
        </w:rPr>
        <w:t>EIIHA</w:t>
      </w:r>
      <w:r w:rsidRPr="00F325EE">
        <w:rPr>
          <w:sz w:val="22"/>
        </w:rPr>
        <w:tab/>
      </w:r>
      <w:r w:rsidRPr="00F325EE">
        <w:rPr>
          <w:sz w:val="22"/>
        </w:rPr>
        <w:tab/>
        <w:t>Early Identification of Individuals with HIV/AIDS</w:t>
      </w:r>
    </w:p>
    <w:p w:rsidR="007952AA" w:rsidRPr="00F325EE" w:rsidRDefault="007952AA" w:rsidP="007952AA">
      <w:pPr>
        <w:widowControl w:val="0"/>
        <w:tabs>
          <w:tab w:val="left" w:pos="223"/>
        </w:tabs>
        <w:spacing w:before="0" w:after="0"/>
        <w:ind w:left="900" w:hanging="900"/>
        <w:rPr>
          <w:sz w:val="22"/>
        </w:rPr>
      </w:pPr>
      <w:r w:rsidRPr="00F325EE">
        <w:rPr>
          <w:sz w:val="22"/>
        </w:rPr>
        <w:t>EPI</w:t>
      </w:r>
      <w:r w:rsidRPr="00F325EE">
        <w:rPr>
          <w:sz w:val="22"/>
        </w:rPr>
        <w:tab/>
      </w:r>
      <w:r w:rsidRPr="00F325EE">
        <w:rPr>
          <w:sz w:val="22"/>
        </w:rPr>
        <w:tab/>
        <w:t>Epidemiology</w:t>
      </w:r>
    </w:p>
    <w:p w:rsidR="007952AA" w:rsidRPr="00F325EE" w:rsidRDefault="007952AA" w:rsidP="007952AA">
      <w:pPr>
        <w:widowControl w:val="0"/>
        <w:tabs>
          <w:tab w:val="left" w:pos="223"/>
        </w:tabs>
        <w:spacing w:before="0" w:after="0"/>
        <w:ind w:left="900" w:hanging="900"/>
        <w:rPr>
          <w:sz w:val="22"/>
        </w:rPr>
      </w:pPr>
      <w:r w:rsidRPr="00F325EE">
        <w:rPr>
          <w:sz w:val="22"/>
        </w:rPr>
        <w:t>HIV</w:t>
      </w:r>
      <w:r w:rsidRPr="00F325EE">
        <w:rPr>
          <w:sz w:val="22"/>
        </w:rPr>
        <w:tab/>
      </w:r>
      <w:r w:rsidRPr="00F325EE">
        <w:rPr>
          <w:sz w:val="22"/>
        </w:rPr>
        <w:tab/>
        <w:t>Human Immunodeficiency Virus</w:t>
      </w:r>
    </w:p>
    <w:p w:rsidR="007952AA" w:rsidRPr="00F325EE" w:rsidRDefault="007952AA" w:rsidP="007952AA">
      <w:pPr>
        <w:widowControl w:val="0"/>
        <w:tabs>
          <w:tab w:val="left" w:pos="223"/>
        </w:tabs>
        <w:spacing w:before="0" w:after="0"/>
        <w:ind w:left="900" w:hanging="900"/>
        <w:rPr>
          <w:sz w:val="22"/>
        </w:rPr>
      </w:pPr>
      <w:r w:rsidRPr="00F325EE">
        <w:rPr>
          <w:sz w:val="22"/>
        </w:rPr>
        <w:t>HRSA</w:t>
      </w:r>
      <w:r w:rsidRPr="00F325EE">
        <w:rPr>
          <w:sz w:val="22"/>
        </w:rPr>
        <w:tab/>
      </w:r>
      <w:r w:rsidRPr="00F325EE">
        <w:rPr>
          <w:sz w:val="22"/>
        </w:rPr>
        <w:tab/>
        <w:t>Health Resources and Services Administration</w:t>
      </w:r>
    </w:p>
    <w:p w:rsidR="007952AA" w:rsidRPr="00F325EE" w:rsidRDefault="007952AA" w:rsidP="007952AA">
      <w:pPr>
        <w:widowControl w:val="0"/>
        <w:tabs>
          <w:tab w:val="left" w:pos="223"/>
        </w:tabs>
        <w:spacing w:before="0" w:after="0"/>
        <w:ind w:left="900" w:hanging="900"/>
        <w:rPr>
          <w:sz w:val="22"/>
        </w:rPr>
      </w:pPr>
      <w:r w:rsidRPr="00F325EE">
        <w:rPr>
          <w:sz w:val="22"/>
        </w:rPr>
        <w:t>HOPWA</w:t>
      </w:r>
      <w:r w:rsidRPr="00F325EE">
        <w:rPr>
          <w:sz w:val="22"/>
        </w:rPr>
        <w:tab/>
      </w:r>
      <w:r w:rsidRPr="00F325EE">
        <w:rPr>
          <w:sz w:val="22"/>
        </w:rPr>
        <w:tab/>
        <w:t>Housing Opportunities for Persons with AIDS</w:t>
      </w:r>
    </w:p>
    <w:p w:rsidR="007952AA" w:rsidRPr="00F325EE" w:rsidRDefault="007952AA" w:rsidP="007952AA">
      <w:pPr>
        <w:widowControl w:val="0"/>
        <w:tabs>
          <w:tab w:val="left" w:pos="223"/>
        </w:tabs>
        <w:spacing w:before="0" w:after="0"/>
        <w:ind w:left="900" w:hanging="900"/>
        <w:rPr>
          <w:sz w:val="22"/>
        </w:rPr>
      </w:pPr>
      <w:r w:rsidRPr="00F325EE">
        <w:rPr>
          <w:sz w:val="22"/>
        </w:rPr>
        <w:t>IDU</w:t>
      </w:r>
      <w:r w:rsidRPr="00F325EE">
        <w:rPr>
          <w:sz w:val="22"/>
        </w:rPr>
        <w:tab/>
      </w:r>
      <w:r w:rsidRPr="00F325EE">
        <w:rPr>
          <w:sz w:val="22"/>
        </w:rPr>
        <w:tab/>
        <w:t>Injection drug use or injection drug user</w:t>
      </w:r>
    </w:p>
    <w:p w:rsidR="007952AA" w:rsidRPr="00F325EE" w:rsidRDefault="007952AA" w:rsidP="007952AA">
      <w:pPr>
        <w:widowControl w:val="0"/>
        <w:tabs>
          <w:tab w:val="left" w:pos="223"/>
        </w:tabs>
        <w:spacing w:before="0" w:after="0"/>
        <w:ind w:left="900" w:hanging="900"/>
        <w:rPr>
          <w:sz w:val="22"/>
        </w:rPr>
      </w:pPr>
      <w:r w:rsidRPr="00F325EE">
        <w:rPr>
          <w:sz w:val="22"/>
        </w:rPr>
        <w:t>LGBTQI</w:t>
      </w:r>
      <w:r w:rsidRPr="00F325EE">
        <w:rPr>
          <w:sz w:val="22"/>
        </w:rPr>
        <w:tab/>
      </w:r>
      <w:r w:rsidRPr="00F325EE">
        <w:rPr>
          <w:sz w:val="22"/>
        </w:rPr>
        <w:tab/>
        <w:t>Lesbian, Gay, Bisexual, Transgender, Questioning, and Intersex</w:t>
      </w:r>
    </w:p>
    <w:p w:rsidR="007952AA" w:rsidRPr="00F325EE" w:rsidRDefault="007952AA" w:rsidP="007952AA">
      <w:pPr>
        <w:widowControl w:val="0"/>
        <w:tabs>
          <w:tab w:val="left" w:pos="223"/>
        </w:tabs>
        <w:spacing w:before="0" w:after="0"/>
        <w:ind w:left="900" w:hanging="900"/>
        <w:rPr>
          <w:sz w:val="22"/>
        </w:rPr>
      </w:pPr>
      <w:r w:rsidRPr="00F325EE">
        <w:rPr>
          <w:sz w:val="22"/>
        </w:rPr>
        <w:t>MSM</w:t>
      </w:r>
      <w:r w:rsidRPr="00F325EE">
        <w:rPr>
          <w:sz w:val="22"/>
        </w:rPr>
        <w:tab/>
      </w:r>
      <w:r w:rsidRPr="00F325EE">
        <w:rPr>
          <w:sz w:val="22"/>
        </w:rPr>
        <w:tab/>
        <w:t>Male-to-male sexual contact or men who have sex with men</w:t>
      </w:r>
    </w:p>
    <w:p w:rsidR="007952AA" w:rsidRPr="00F325EE" w:rsidRDefault="007952AA" w:rsidP="007952AA">
      <w:pPr>
        <w:widowControl w:val="0"/>
        <w:tabs>
          <w:tab w:val="left" w:pos="223"/>
        </w:tabs>
        <w:spacing w:before="0" w:after="0"/>
        <w:ind w:left="1440" w:hanging="1440"/>
        <w:rPr>
          <w:sz w:val="22"/>
        </w:rPr>
      </w:pPr>
      <w:r w:rsidRPr="00F325EE">
        <w:rPr>
          <w:sz w:val="22"/>
        </w:rPr>
        <w:t xml:space="preserve">MSM+IDU </w:t>
      </w:r>
      <w:r w:rsidRPr="00F325EE">
        <w:rPr>
          <w:sz w:val="22"/>
        </w:rPr>
        <w:tab/>
        <w:t>Male-to-male sexual contact and injection drug use or men who have sex with men and use injection drugs</w:t>
      </w:r>
    </w:p>
    <w:p w:rsidR="007952AA" w:rsidRPr="00F325EE" w:rsidRDefault="007952AA" w:rsidP="007952AA">
      <w:pPr>
        <w:widowControl w:val="0"/>
        <w:tabs>
          <w:tab w:val="left" w:pos="223"/>
        </w:tabs>
        <w:spacing w:before="0" w:after="0"/>
        <w:ind w:left="900" w:hanging="900"/>
        <w:rPr>
          <w:sz w:val="22"/>
        </w:rPr>
      </w:pPr>
      <w:r w:rsidRPr="00F325EE">
        <w:rPr>
          <w:sz w:val="22"/>
        </w:rPr>
        <w:t>MTF</w:t>
      </w:r>
      <w:r w:rsidRPr="00F325EE">
        <w:rPr>
          <w:sz w:val="22"/>
        </w:rPr>
        <w:tab/>
      </w:r>
      <w:r w:rsidRPr="00F325EE">
        <w:rPr>
          <w:sz w:val="22"/>
        </w:rPr>
        <w:tab/>
        <w:t>Male to female</w:t>
      </w:r>
    </w:p>
    <w:p w:rsidR="007952AA" w:rsidRPr="00F325EE" w:rsidRDefault="007952AA" w:rsidP="007952AA">
      <w:pPr>
        <w:widowControl w:val="0"/>
        <w:tabs>
          <w:tab w:val="left" w:pos="223"/>
        </w:tabs>
        <w:spacing w:before="0" w:after="0"/>
        <w:ind w:left="900" w:hanging="900"/>
        <w:rPr>
          <w:sz w:val="22"/>
        </w:rPr>
      </w:pPr>
      <w:r w:rsidRPr="00F325EE">
        <w:rPr>
          <w:sz w:val="22"/>
        </w:rPr>
        <w:t>FTM</w:t>
      </w:r>
      <w:r w:rsidRPr="00F325EE">
        <w:rPr>
          <w:sz w:val="22"/>
        </w:rPr>
        <w:tab/>
      </w:r>
      <w:r w:rsidRPr="00F325EE">
        <w:rPr>
          <w:sz w:val="22"/>
        </w:rPr>
        <w:tab/>
        <w:t>Female to male</w:t>
      </w:r>
    </w:p>
    <w:p w:rsidR="007952AA" w:rsidRPr="00F325EE" w:rsidRDefault="007952AA" w:rsidP="007952AA">
      <w:pPr>
        <w:widowControl w:val="0"/>
        <w:tabs>
          <w:tab w:val="left" w:pos="223"/>
        </w:tabs>
        <w:spacing w:before="0" w:after="0"/>
        <w:ind w:left="900" w:hanging="900"/>
        <w:rPr>
          <w:sz w:val="22"/>
        </w:rPr>
      </w:pPr>
      <w:r w:rsidRPr="00F325EE">
        <w:rPr>
          <w:sz w:val="22"/>
        </w:rPr>
        <w:t>NHAS</w:t>
      </w:r>
      <w:r w:rsidRPr="00F325EE">
        <w:rPr>
          <w:sz w:val="22"/>
        </w:rPr>
        <w:tab/>
      </w:r>
      <w:r w:rsidRPr="00F325EE">
        <w:rPr>
          <w:sz w:val="22"/>
        </w:rPr>
        <w:tab/>
        <w:t>National HIV/AIDS Strategy</w:t>
      </w:r>
    </w:p>
    <w:p w:rsidR="007952AA" w:rsidRPr="00F325EE" w:rsidRDefault="007952AA" w:rsidP="007952AA">
      <w:pPr>
        <w:widowControl w:val="0"/>
        <w:tabs>
          <w:tab w:val="left" w:pos="223"/>
        </w:tabs>
        <w:spacing w:before="0" w:after="0"/>
        <w:ind w:left="900" w:hanging="900"/>
        <w:rPr>
          <w:sz w:val="22"/>
        </w:rPr>
      </w:pPr>
      <w:r w:rsidRPr="00F325EE">
        <w:rPr>
          <w:sz w:val="22"/>
        </w:rPr>
        <w:t>NIR</w:t>
      </w:r>
      <w:r w:rsidRPr="00F325EE">
        <w:rPr>
          <w:sz w:val="22"/>
        </w:rPr>
        <w:tab/>
      </w:r>
      <w:r w:rsidRPr="00F325EE">
        <w:rPr>
          <w:sz w:val="22"/>
        </w:rPr>
        <w:tab/>
        <w:t>No identified risk</w:t>
      </w:r>
    </w:p>
    <w:p w:rsidR="007952AA" w:rsidRPr="00F325EE" w:rsidRDefault="007952AA" w:rsidP="007952AA">
      <w:pPr>
        <w:widowControl w:val="0"/>
        <w:tabs>
          <w:tab w:val="left" w:pos="223"/>
        </w:tabs>
        <w:spacing w:before="0" w:after="0"/>
        <w:ind w:left="900" w:hanging="900"/>
        <w:rPr>
          <w:sz w:val="22"/>
        </w:rPr>
      </w:pPr>
      <w:r w:rsidRPr="00F325EE">
        <w:rPr>
          <w:sz w:val="22"/>
        </w:rPr>
        <w:lastRenderedPageBreak/>
        <w:t>NRR</w:t>
      </w:r>
      <w:r w:rsidRPr="00F325EE">
        <w:rPr>
          <w:sz w:val="22"/>
        </w:rPr>
        <w:tab/>
      </w:r>
      <w:r w:rsidRPr="00F325EE">
        <w:rPr>
          <w:sz w:val="22"/>
        </w:rPr>
        <w:tab/>
        <w:t>No reported risk</w:t>
      </w:r>
    </w:p>
    <w:p w:rsidR="007952AA" w:rsidRPr="00F325EE" w:rsidRDefault="007952AA" w:rsidP="007952AA">
      <w:pPr>
        <w:widowControl w:val="0"/>
        <w:tabs>
          <w:tab w:val="left" w:pos="223"/>
        </w:tabs>
        <w:spacing w:before="0" w:after="0"/>
        <w:ind w:left="900" w:hanging="900"/>
        <w:rPr>
          <w:sz w:val="22"/>
        </w:rPr>
      </w:pPr>
      <w:r w:rsidRPr="00F325EE">
        <w:rPr>
          <w:sz w:val="22"/>
        </w:rPr>
        <w:t>PEP</w:t>
      </w:r>
      <w:r w:rsidRPr="00F325EE">
        <w:rPr>
          <w:sz w:val="22"/>
        </w:rPr>
        <w:tab/>
      </w:r>
      <w:r w:rsidRPr="00F325EE">
        <w:rPr>
          <w:sz w:val="22"/>
        </w:rPr>
        <w:tab/>
        <w:t>Post Exposure Prophylaxis</w:t>
      </w:r>
    </w:p>
    <w:p w:rsidR="007952AA" w:rsidRPr="00F325EE" w:rsidRDefault="007952AA" w:rsidP="007952AA">
      <w:pPr>
        <w:widowControl w:val="0"/>
        <w:tabs>
          <w:tab w:val="left" w:pos="223"/>
        </w:tabs>
        <w:spacing w:before="0" w:after="0"/>
        <w:ind w:left="900" w:hanging="900"/>
        <w:rPr>
          <w:sz w:val="22"/>
        </w:rPr>
      </w:pPr>
      <w:r w:rsidRPr="00F325EE">
        <w:rPr>
          <w:sz w:val="22"/>
        </w:rPr>
        <w:t>PLWH</w:t>
      </w:r>
      <w:r w:rsidRPr="00F325EE">
        <w:rPr>
          <w:sz w:val="22"/>
        </w:rPr>
        <w:tab/>
      </w:r>
      <w:r w:rsidRPr="00F325EE">
        <w:rPr>
          <w:sz w:val="22"/>
        </w:rPr>
        <w:tab/>
        <w:t>Persons Living with HIV</w:t>
      </w:r>
    </w:p>
    <w:p w:rsidR="007952AA" w:rsidRPr="00F325EE" w:rsidRDefault="007952AA" w:rsidP="007952AA">
      <w:pPr>
        <w:widowControl w:val="0"/>
        <w:tabs>
          <w:tab w:val="left" w:pos="223"/>
        </w:tabs>
        <w:spacing w:before="0" w:after="0"/>
        <w:ind w:left="900" w:hanging="900"/>
        <w:rPr>
          <w:sz w:val="22"/>
        </w:rPr>
      </w:pPr>
      <w:r w:rsidRPr="00F325EE">
        <w:rPr>
          <w:sz w:val="22"/>
        </w:rPr>
        <w:t>PrEP</w:t>
      </w:r>
      <w:r w:rsidRPr="00F325EE">
        <w:rPr>
          <w:sz w:val="22"/>
        </w:rPr>
        <w:tab/>
      </w:r>
      <w:r w:rsidRPr="00F325EE">
        <w:rPr>
          <w:sz w:val="22"/>
        </w:rPr>
        <w:tab/>
        <w:t xml:space="preserve">Pre-Exposure Prophylaxis </w:t>
      </w:r>
    </w:p>
    <w:p w:rsidR="007952AA" w:rsidRPr="00F325EE" w:rsidRDefault="007952AA" w:rsidP="007952AA">
      <w:pPr>
        <w:widowControl w:val="0"/>
        <w:tabs>
          <w:tab w:val="left" w:pos="223"/>
        </w:tabs>
        <w:spacing w:before="0" w:after="0"/>
        <w:ind w:left="900" w:hanging="900"/>
        <w:rPr>
          <w:sz w:val="22"/>
        </w:rPr>
      </w:pPr>
      <w:r w:rsidRPr="00F325EE">
        <w:rPr>
          <w:sz w:val="22"/>
        </w:rPr>
        <w:t>RWPA</w:t>
      </w:r>
      <w:r w:rsidRPr="00F325EE">
        <w:rPr>
          <w:sz w:val="22"/>
        </w:rPr>
        <w:tab/>
      </w:r>
      <w:r w:rsidRPr="00F325EE">
        <w:rPr>
          <w:sz w:val="22"/>
        </w:rPr>
        <w:tab/>
        <w:t>Ryan White HIV/AIDS Part A Program</w:t>
      </w:r>
    </w:p>
    <w:p w:rsidR="007952AA" w:rsidRPr="00F325EE" w:rsidRDefault="007952AA" w:rsidP="007952AA">
      <w:pPr>
        <w:widowControl w:val="0"/>
        <w:tabs>
          <w:tab w:val="left" w:pos="223"/>
        </w:tabs>
        <w:spacing w:before="0" w:after="0"/>
        <w:ind w:left="900" w:hanging="900"/>
        <w:rPr>
          <w:sz w:val="22"/>
        </w:rPr>
      </w:pPr>
      <w:r w:rsidRPr="00F325EE">
        <w:rPr>
          <w:sz w:val="22"/>
        </w:rPr>
        <w:t>RWPB</w:t>
      </w:r>
      <w:r w:rsidRPr="00F325EE">
        <w:rPr>
          <w:sz w:val="22"/>
        </w:rPr>
        <w:tab/>
      </w:r>
      <w:r w:rsidRPr="00F325EE">
        <w:rPr>
          <w:sz w:val="22"/>
        </w:rPr>
        <w:tab/>
        <w:t>Ryan White HIV/AIDS Part B Program</w:t>
      </w:r>
    </w:p>
    <w:p w:rsidR="007952AA" w:rsidRPr="00F325EE" w:rsidRDefault="007952AA" w:rsidP="007952AA">
      <w:pPr>
        <w:widowControl w:val="0"/>
        <w:tabs>
          <w:tab w:val="left" w:pos="223"/>
        </w:tabs>
        <w:spacing w:before="0" w:after="0"/>
        <w:ind w:left="900" w:hanging="900"/>
        <w:rPr>
          <w:sz w:val="22"/>
        </w:rPr>
      </w:pPr>
      <w:r w:rsidRPr="00F325EE">
        <w:rPr>
          <w:sz w:val="22"/>
        </w:rPr>
        <w:t>SAPTA</w:t>
      </w:r>
      <w:r w:rsidRPr="00F325EE">
        <w:rPr>
          <w:sz w:val="22"/>
        </w:rPr>
        <w:tab/>
      </w:r>
      <w:r w:rsidRPr="00F325EE">
        <w:rPr>
          <w:sz w:val="22"/>
        </w:rPr>
        <w:tab/>
        <w:t>Substance Abuse Prevention and Treatment Agency</w:t>
      </w:r>
    </w:p>
    <w:p w:rsidR="007952AA" w:rsidRPr="00F325EE" w:rsidRDefault="007952AA" w:rsidP="007952AA">
      <w:pPr>
        <w:widowControl w:val="0"/>
        <w:spacing w:before="0" w:after="0"/>
        <w:ind w:left="900" w:hanging="900"/>
        <w:rPr>
          <w:sz w:val="22"/>
        </w:rPr>
      </w:pPr>
      <w:r w:rsidRPr="00F325EE">
        <w:rPr>
          <w:sz w:val="22"/>
        </w:rPr>
        <w:t>SCHS</w:t>
      </w:r>
      <w:r w:rsidRPr="00F325EE">
        <w:rPr>
          <w:sz w:val="22"/>
        </w:rPr>
        <w:tab/>
      </w:r>
      <w:r w:rsidRPr="00F325EE">
        <w:rPr>
          <w:sz w:val="22"/>
        </w:rPr>
        <w:tab/>
        <w:t>School of Community Health Sciences, University of Nevada, Reno</w:t>
      </w:r>
    </w:p>
    <w:p w:rsidR="007952AA" w:rsidRPr="00F325EE" w:rsidRDefault="007952AA" w:rsidP="007952AA">
      <w:pPr>
        <w:widowControl w:val="0"/>
        <w:spacing w:before="0" w:after="0"/>
        <w:ind w:left="900" w:hanging="900"/>
        <w:rPr>
          <w:sz w:val="22"/>
        </w:rPr>
      </w:pPr>
      <w:r w:rsidRPr="00F325EE">
        <w:rPr>
          <w:sz w:val="22"/>
        </w:rPr>
        <w:t>SNHD</w:t>
      </w:r>
      <w:r w:rsidRPr="00F325EE">
        <w:rPr>
          <w:sz w:val="22"/>
        </w:rPr>
        <w:tab/>
      </w:r>
      <w:r w:rsidRPr="00F325EE">
        <w:rPr>
          <w:sz w:val="22"/>
        </w:rPr>
        <w:tab/>
        <w:t>Southern Nevada Health District</w:t>
      </w:r>
    </w:p>
    <w:p w:rsidR="007952AA" w:rsidRPr="00F325EE" w:rsidRDefault="007952AA" w:rsidP="007952AA">
      <w:pPr>
        <w:widowControl w:val="0"/>
        <w:spacing w:before="0" w:after="0"/>
        <w:ind w:left="900" w:hanging="900"/>
        <w:rPr>
          <w:sz w:val="22"/>
        </w:rPr>
      </w:pPr>
      <w:r w:rsidRPr="00F325EE">
        <w:rPr>
          <w:sz w:val="22"/>
        </w:rPr>
        <w:t>STD/I</w:t>
      </w:r>
      <w:r w:rsidRPr="00F325EE">
        <w:rPr>
          <w:sz w:val="22"/>
        </w:rPr>
        <w:tab/>
      </w:r>
      <w:r w:rsidRPr="00F325EE">
        <w:rPr>
          <w:sz w:val="22"/>
        </w:rPr>
        <w:tab/>
        <w:t>Sexually Transmitted Disease/Infection</w:t>
      </w:r>
    </w:p>
    <w:p w:rsidR="007952AA" w:rsidRPr="00F325EE" w:rsidRDefault="007952AA" w:rsidP="007952AA">
      <w:pPr>
        <w:widowControl w:val="0"/>
        <w:spacing w:before="0" w:after="0"/>
        <w:ind w:left="900" w:hanging="900"/>
        <w:rPr>
          <w:sz w:val="22"/>
        </w:rPr>
      </w:pPr>
      <w:r w:rsidRPr="00F325EE">
        <w:rPr>
          <w:sz w:val="22"/>
        </w:rPr>
        <w:t>TGA</w:t>
      </w:r>
      <w:r w:rsidRPr="00F325EE">
        <w:rPr>
          <w:sz w:val="22"/>
        </w:rPr>
        <w:tab/>
      </w:r>
      <w:r w:rsidRPr="00F325EE">
        <w:rPr>
          <w:sz w:val="22"/>
        </w:rPr>
        <w:tab/>
        <w:t>Transitional Grant Area</w:t>
      </w:r>
    </w:p>
    <w:p w:rsidR="007952AA" w:rsidRPr="00F325EE" w:rsidRDefault="007952AA" w:rsidP="007952AA">
      <w:pPr>
        <w:widowControl w:val="0"/>
        <w:spacing w:before="0" w:after="0"/>
        <w:ind w:left="900" w:hanging="900"/>
        <w:rPr>
          <w:sz w:val="22"/>
        </w:rPr>
      </w:pPr>
      <w:r w:rsidRPr="00F325EE">
        <w:rPr>
          <w:sz w:val="22"/>
        </w:rPr>
        <w:t>UNLV</w:t>
      </w:r>
      <w:r w:rsidRPr="00F325EE">
        <w:rPr>
          <w:sz w:val="22"/>
        </w:rPr>
        <w:tab/>
      </w:r>
      <w:r w:rsidRPr="00F325EE">
        <w:rPr>
          <w:sz w:val="22"/>
        </w:rPr>
        <w:tab/>
        <w:t>University of Nevada, Las Vegas</w:t>
      </w:r>
    </w:p>
    <w:p w:rsidR="007952AA" w:rsidRPr="00F325EE" w:rsidRDefault="007952AA" w:rsidP="007952AA">
      <w:pPr>
        <w:widowControl w:val="0"/>
        <w:spacing w:before="0" w:after="0"/>
        <w:ind w:left="900" w:hanging="900"/>
        <w:rPr>
          <w:sz w:val="22"/>
        </w:rPr>
      </w:pPr>
      <w:r w:rsidRPr="00F325EE">
        <w:rPr>
          <w:sz w:val="22"/>
        </w:rPr>
        <w:t>UNR</w:t>
      </w:r>
      <w:r w:rsidRPr="00F325EE">
        <w:rPr>
          <w:sz w:val="22"/>
        </w:rPr>
        <w:tab/>
      </w:r>
      <w:r w:rsidRPr="00F325EE">
        <w:rPr>
          <w:sz w:val="22"/>
        </w:rPr>
        <w:tab/>
        <w:t>University of Nevada, Reno</w:t>
      </w:r>
    </w:p>
    <w:p w:rsidR="007952AA" w:rsidRPr="00F325EE" w:rsidRDefault="007952AA" w:rsidP="007952AA">
      <w:pPr>
        <w:widowControl w:val="0"/>
        <w:spacing w:before="0" w:after="0"/>
        <w:ind w:left="900" w:hanging="900"/>
        <w:rPr>
          <w:sz w:val="22"/>
        </w:rPr>
      </w:pPr>
      <w:r w:rsidRPr="00F325EE">
        <w:rPr>
          <w:sz w:val="22"/>
        </w:rPr>
        <w:t>UNSOM</w:t>
      </w:r>
      <w:r w:rsidRPr="00F325EE">
        <w:rPr>
          <w:sz w:val="22"/>
        </w:rPr>
        <w:tab/>
      </w:r>
      <w:r w:rsidRPr="00F325EE">
        <w:rPr>
          <w:sz w:val="22"/>
        </w:rPr>
        <w:tab/>
        <w:t>University of Nevada School of Medicine</w:t>
      </w:r>
    </w:p>
    <w:p w:rsidR="007952AA" w:rsidRPr="00DF1D79" w:rsidRDefault="007952AA" w:rsidP="007952AA">
      <w:pPr>
        <w:widowControl w:val="0"/>
        <w:spacing w:before="0" w:after="0"/>
        <w:ind w:left="900" w:hanging="900"/>
        <w:rPr>
          <w:sz w:val="22"/>
        </w:rPr>
      </w:pPr>
      <w:r w:rsidRPr="00F325EE">
        <w:rPr>
          <w:sz w:val="22"/>
        </w:rPr>
        <w:t>WCHD</w:t>
      </w:r>
      <w:r>
        <w:rPr>
          <w:color w:val="31849B"/>
          <w:sz w:val="22"/>
        </w:rPr>
        <w:tab/>
      </w:r>
      <w:r>
        <w:rPr>
          <w:color w:val="31849B"/>
          <w:sz w:val="22"/>
        </w:rPr>
        <w:tab/>
      </w:r>
      <w:r w:rsidRPr="00BA4E0E">
        <w:rPr>
          <w:sz w:val="22"/>
        </w:rPr>
        <w:t>Washoe County Health District</w:t>
      </w:r>
    </w:p>
    <w:p w:rsidR="007A79C2" w:rsidRDefault="007A79C2">
      <w:pPr>
        <w:rPr>
          <w:rFonts w:cs="Calibri Light"/>
          <w:sz w:val="22"/>
          <w:szCs w:val="22"/>
        </w:rPr>
      </w:pPr>
      <w:r>
        <w:rPr>
          <w:rFonts w:cs="Calibri Light"/>
          <w:sz w:val="22"/>
          <w:szCs w:val="22"/>
        </w:rPr>
        <w:br w:type="page"/>
      </w:r>
    </w:p>
    <w:p w:rsidR="007952AA" w:rsidRDefault="007952AA" w:rsidP="00342034">
      <w:pPr>
        <w:pStyle w:val="Heading2"/>
      </w:pPr>
      <w:bookmarkStart w:id="60" w:name="_Toc461188603"/>
      <w:r>
        <w:lastRenderedPageBreak/>
        <w:t>Appendix B Additional Epidemiological Profile Tables and Graphs</w:t>
      </w:r>
      <w:bookmarkEnd w:id="60"/>
    </w:p>
    <w:p w:rsidR="00D00FE6" w:rsidRDefault="00D00FE6" w:rsidP="00D00FE6"/>
    <w:p w:rsidR="00D00FE6" w:rsidRPr="00E47460" w:rsidRDefault="00D00FE6" w:rsidP="00D00FE6">
      <w:pPr>
        <w:widowControl w:val="0"/>
        <w:spacing w:before="0" w:after="0"/>
        <w:rPr>
          <w:b/>
          <w:iCs/>
          <w:sz w:val="22"/>
          <w:szCs w:val="22"/>
        </w:rPr>
      </w:pPr>
      <w:r w:rsidRPr="00E47460">
        <w:rPr>
          <w:b/>
          <w:iCs/>
          <w:sz w:val="22"/>
          <w:szCs w:val="22"/>
        </w:rPr>
        <w:t>Behavioral Risk Factor Surveillance Survey—Risky Behaviors, 2011-2012</w:t>
      </w:r>
    </w:p>
    <w:p w:rsidR="00D00FE6" w:rsidRDefault="00D00FE6" w:rsidP="00D00FE6">
      <w:pPr>
        <w:widowControl w:val="0"/>
      </w:pPr>
      <w:r>
        <w:t> </w:t>
      </w:r>
      <w:r>
        <w:rPr>
          <w:rFonts w:ascii="Times New Roman" w:hAnsi="Times New Roman"/>
          <w:noProof/>
        </w:rPr>
        <w:drawing>
          <wp:inline distT="0" distB="0" distL="0" distR="0" wp14:anchorId="565A4181" wp14:editId="5F8FD584">
            <wp:extent cx="3482340" cy="62941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2340" cy="6294120"/>
                    </a:xfrm>
                    <a:prstGeom prst="rect">
                      <a:avLst/>
                    </a:prstGeom>
                    <a:noFill/>
                    <a:ln>
                      <a:noFill/>
                    </a:ln>
                  </pic:spPr>
                </pic:pic>
              </a:graphicData>
            </a:graphic>
          </wp:inline>
        </w:drawing>
      </w:r>
    </w:p>
    <w:p w:rsidR="00D00FE6" w:rsidRDefault="00D00FE6" w:rsidP="00D00FE6"/>
    <w:p w:rsidR="007952AA" w:rsidRDefault="007952AA" w:rsidP="00D00FE6"/>
    <w:p w:rsidR="007952AA" w:rsidRPr="00073B6D" w:rsidRDefault="007952AA" w:rsidP="007952AA">
      <w:pPr>
        <w:rPr>
          <w:b/>
          <w:sz w:val="22"/>
        </w:rPr>
      </w:pPr>
      <w:r w:rsidRPr="00073B6D">
        <w:rPr>
          <w:b/>
          <w:sz w:val="22"/>
        </w:rPr>
        <w:lastRenderedPageBreak/>
        <w:t>New HIV Diagnoses by County of Residence in Nevada, 2010-2014</w:t>
      </w:r>
    </w:p>
    <w:p w:rsidR="007952AA" w:rsidRDefault="007952AA" w:rsidP="007952AA">
      <w:r>
        <w:rPr>
          <w:b/>
          <w:bCs/>
          <w:noProof/>
          <w:color w:val="1F497D"/>
        </w:rPr>
        <w:drawing>
          <wp:inline distT="0" distB="0" distL="0" distR="0" wp14:anchorId="2BFF191F" wp14:editId="747390E0">
            <wp:extent cx="5642395" cy="65916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3107" cy="6615827"/>
                    </a:xfrm>
                    <a:prstGeom prst="rect">
                      <a:avLst/>
                    </a:prstGeom>
                    <a:noFill/>
                    <a:ln>
                      <a:noFill/>
                    </a:ln>
                  </pic:spPr>
                </pic:pic>
              </a:graphicData>
            </a:graphic>
          </wp:inline>
        </w:drawing>
      </w:r>
    </w:p>
    <w:p w:rsidR="007952AA" w:rsidRDefault="007952AA" w:rsidP="007952AA"/>
    <w:p w:rsidR="007952AA" w:rsidRDefault="007952AA" w:rsidP="007952AA"/>
    <w:p w:rsidR="007952AA" w:rsidRDefault="007952AA" w:rsidP="007952AA"/>
    <w:p w:rsidR="007952AA" w:rsidRDefault="007952AA" w:rsidP="007952AA"/>
    <w:p w:rsidR="007952AA" w:rsidRPr="000B29C6" w:rsidRDefault="007952AA" w:rsidP="007952AA">
      <w:pPr>
        <w:rPr>
          <w:b/>
          <w:sz w:val="22"/>
        </w:rPr>
      </w:pPr>
      <w:r w:rsidRPr="000B29C6">
        <w:rPr>
          <w:b/>
          <w:sz w:val="22"/>
        </w:rPr>
        <w:lastRenderedPageBreak/>
        <w:t>Annual Rate of New HIV Diagnoses in Nevada by Sex and Age, 2014</w:t>
      </w:r>
    </w:p>
    <w:p w:rsidR="007952AA" w:rsidRDefault="007952AA" w:rsidP="007952AA">
      <w:r w:rsidRPr="00AD4850">
        <w:rPr>
          <w:noProof/>
        </w:rPr>
        <w:drawing>
          <wp:inline distT="0" distB="0" distL="0" distR="0" wp14:anchorId="1089E0AE" wp14:editId="147D3E11">
            <wp:extent cx="4457700" cy="287655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952AA" w:rsidRPr="000B29C6" w:rsidRDefault="007952AA" w:rsidP="007952AA">
      <w:pPr>
        <w:rPr>
          <w:b/>
          <w:sz w:val="22"/>
        </w:rPr>
      </w:pPr>
      <w:r w:rsidRPr="000B29C6">
        <w:rPr>
          <w:b/>
          <w:sz w:val="22"/>
        </w:rPr>
        <w:t>Annual Rate of Persons Living with HIV in Nevada by Sex and Age, 2014</w:t>
      </w:r>
    </w:p>
    <w:p w:rsidR="007952AA" w:rsidRDefault="007952AA" w:rsidP="007952AA">
      <w:r w:rsidRPr="00AD4850">
        <w:rPr>
          <w:noProof/>
        </w:rPr>
        <w:drawing>
          <wp:inline distT="0" distB="0" distL="0" distR="0" wp14:anchorId="23C2D743" wp14:editId="04C8EAF4">
            <wp:extent cx="4579684" cy="277368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952AA" w:rsidRDefault="007952AA" w:rsidP="007952AA">
      <w:pPr>
        <w:rPr>
          <w:b/>
          <w:sz w:val="22"/>
        </w:rPr>
      </w:pPr>
      <w:r>
        <w:br w:type="page"/>
      </w:r>
      <w:r w:rsidRPr="004E0506">
        <w:rPr>
          <w:b/>
          <w:sz w:val="22"/>
        </w:rPr>
        <w:lastRenderedPageBreak/>
        <w:t>Annual Rate of New HIV Diagnoses among Males in Nevada by Age at Diagnosis, 2010 – 2014</w:t>
      </w:r>
    </w:p>
    <w:p w:rsidR="007952AA" w:rsidRDefault="007952AA" w:rsidP="007952AA">
      <w:pPr>
        <w:rPr>
          <w:b/>
          <w:bCs/>
          <w:color w:val="1F497D"/>
        </w:rPr>
      </w:pPr>
      <w:r w:rsidRPr="00AD4850">
        <w:rPr>
          <w:noProof/>
        </w:rPr>
        <w:drawing>
          <wp:inline distT="0" distB="0" distL="0" distR="0" wp14:anchorId="2AEA3C4D" wp14:editId="77182F82">
            <wp:extent cx="5791200" cy="2362200"/>
            <wp:effectExtent l="0" t="0" r="0" b="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952AA" w:rsidRDefault="007952AA" w:rsidP="007952AA">
      <w:pPr>
        <w:rPr>
          <w:b/>
          <w:sz w:val="22"/>
        </w:rPr>
      </w:pPr>
      <w:r w:rsidRPr="004E0506">
        <w:rPr>
          <w:b/>
          <w:sz w:val="22"/>
        </w:rPr>
        <w:t>Annual Rate of New HIV Diagnoses among Females in Nevada by Age at Diagnosis, 2010 – 2014</w:t>
      </w:r>
    </w:p>
    <w:p w:rsidR="007952AA" w:rsidRPr="004E0506" w:rsidRDefault="007952AA" w:rsidP="007952AA">
      <w:pPr>
        <w:rPr>
          <w:b/>
          <w:bCs/>
          <w:color w:val="1F497D"/>
          <w:sz w:val="22"/>
        </w:rPr>
      </w:pPr>
      <w:r w:rsidRPr="00AD4850">
        <w:rPr>
          <w:noProof/>
        </w:rPr>
        <w:drawing>
          <wp:inline distT="0" distB="0" distL="0" distR="0" wp14:anchorId="75E390C0" wp14:editId="3634FFC6">
            <wp:extent cx="5667375" cy="29432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952AA" w:rsidRDefault="007952AA" w:rsidP="007952AA">
      <w:pPr>
        <w:rPr>
          <w:b/>
        </w:rPr>
      </w:pPr>
      <w:r>
        <w:rPr>
          <w:b/>
        </w:rPr>
        <w:br w:type="page"/>
      </w:r>
    </w:p>
    <w:p w:rsidR="007952AA" w:rsidRDefault="007952AA" w:rsidP="007952AA">
      <w:pPr>
        <w:rPr>
          <w:b/>
        </w:rPr>
      </w:pPr>
      <w:r w:rsidRPr="004E0506">
        <w:rPr>
          <w:b/>
        </w:rPr>
        <w:lastRenderedPageBreak/>
        <w:t>Annual Rate of Males Living with HIV by Age at End of Year, 2010– 2014</w:t>
      </w:r>
    </w:p>
    <w:p w:rsidR="007952AA" w:rsidRDefault="007952AA" w:rsidP="007952AA">
      <w:pPr>
        <w:rPr>
          <w:b/>
          <w:bCs/>
          <w:color w:val="1F497D"/>
        </w:rPr>
      </w:pPr>
      <w:r w:rsidRPr="00AD4850">
        <w:rPr>
          <w:noProof/>
        </w:rPr>
        <w:drawing>
          <wp:inline distT="0" distB="0" distL="0" distR="0" wp14:anchorId="2A4529AB" wp14:editId="3A5C5DB0">
            <wp:extent cx="5772150" cy="2512060"/>
            <wp:effectExtent l="0" t="0" r="0" b="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952AA" w:rsidRDefault="007952AA" w:rsidP="007952AA">
      <w:pPr>
        <w:rPr>
          <w:b/>
        </w:rPr>
      </w:pPr>
      <w:r w:rsidRPr="004E0506">
        <w:rPr>
          <w:b/>
        </w:rPr>
        <w:t>Annual Rate of Females Living with HIV by Age at End of Year, 2010– 2014</w:t>
      </w:r>
    </w:p>
    <w:p w:rsidR="007952AA" w:rsidRDefault="007952AA" w:rsidP="007952AA">
      <w:pPr>
        <w:rPr>
          <w:b/>
          <w:bCs/>
          <w:color w:val="1F497D"/>
        </w:rPr>
      </w:pPr>
      <w:r w:rsidRPr="00AD4850">
        <w:rPr>
          <w:noProof/>
        </w:rPr>
        <w:drawing>
          <wp:inline distT="0" distB="0" distL="0" distR="0" wp14:anchorId="0482F73E" wp14:editId="2F53B1E2">
            <wp:extent cx="5876014" cy="2695492"/>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952AA" w:rsidRDefault="007952AA" w:rsidP="007952AA">
      <w:pPr>
        <w:rPr>
          <w:b/>
          <w:bCs/>
          <w:color w:val="1F497D"/>
        </w:rPr>
      </w:pPr>
    </w:p>
    <w:p w:rsidR="007952AA" w:rsidRDefault="007952AA" w:rsidP="007952AA">
      <w:pPr>
        <w:rPr>
          <w:b/>
          <w:bCs/>
          <w:color w:val="1F497D"/>
        </w:rPr>
      </w:pPr>
    </w:p>
    <w:p w:rsidR="007952AA" w:rsidRDefault="007952AA" w:rsidP="007952AA">
      <w:pPr>
        <w:rPr>
          <w:b/>
          <w:bCs/>
          <w:color w:val="1F497D"/>
        </w:rPr>
        <w:sectPr w:rsidR="007952AA" w:rsidSect="009B63AA">
          <w:pgSz w:w="12240" w:h="15840" w:code="1"/>
          <w:pgMar w:top="1440" w:right="1440" w:bottom="1440" w:left="1440" w:header="0" w:footer="288" w:gutter="0"/>
          <w:cols w:space="720"/>
          <w:titlePg/>
          <w:docGrid w:linePitch="360"/>
        </w:sectPr>
      </w:pPr>
    </w:p>
    <w:p w:rsidR="007952AA" w:rsidRPr="000B29C6" w:rsidRDefault="007952AA" w:rsidP="007952AA">
      <w:pPr>
        <w:spacing w:before="0" w:after="0"/>
        <w:rPr>
          <w:b/>
          <w:sz w:val="22"/>
        </w:rPr>
      </w:pPr>
      <w:r w:rsidRPr="000B29C6">
        <w:rPr>
          <w:b/>
          <w:sz w:val="22"/>
        </w:rPr>
        <w:lastRenderedPageBreak/>
        <w:t>Expanded Risk Categories by Sex for New HIV Diagnoses, 2010 - 2014</w:t>
      </w:r>
    </w:p>
    <w:tbl>
      <w:tblPr>
        <w:tblW w:w="5000" w:type="pct"/>
        <w:tblLook w:val="04A0" w:firstRow="1" w:lastRow="0" w:firstColumn="1" w:lastColumn="0" w:noHBand="0" w:noVBand="1"/>
      </w:tblPr>
      <w:tblGrid>
        <w:gridCol w:w="4105"/>
        <w:gridCol w:w="466"/>
        <w:gridCol w:w="583"/>
        <w:gridCol w:w="466"/>
        <w:gridCol w:w="583"/>
        <w:gridCol w:w="466"/>
        <w:gridCol w:w="583"/>
        <w:gridCol w:w="466"/>
        <w:gridCol w:w="583"/>
        <w:gridCol w:w="466"/>
        <w:gridCol w:w="583"/>
      </w:tblGrid>
      <w:tr w:rsidR="007952AA" w:rsidRPr="000B29C6" w:rsidTr="005D2B0D">
        <w:tc>
          <w:tcPr>
            <w:tcW w:w="1883" w:type="pct"/>
            <w:vMerge w:val="restart"/>
            <w:tcBorders>
              <w:top w:val="single" w:sz="4" w:space="0" w:color="auto"/>
              <w:left w:val="single" w:sz="4" w:space="0" w:color="auto"/>
              <w:bottom w:val="single" w:sz="4" w:space="0" w:color="000000"/>
              <w:right w:val="single" w:sz="4" w:space="0" w:color="auto"/>
            </w:tcBorders>
            <w:shd w:val="clear" w:color="000000" w:fill="4F81BD"/>
            <w:noWrap/>
            <w:vAlign w:val="center"/>
            <w:hideMark/>
          </w:tcPr>
          <w:p w:rsidR="007952AA" w:rsidRPr="000B29C6" w:rsidRDefault="007952AA" w:rsidP="005D2B0D">
            <w:pPr>
              <w:spacing w:before="0" w:after="0"/>
              <w:rPr>
                <w:rFonts w:eastAsia="Times New Roman" w:cs="Arial"/>
                <w:bCs/>
                <w:color w:val="FFFFFF"/>
              </w:rPr>
            </w:pPr>
            <w:r w:rsidRPr="000B29C6">
              <w:rPr>
                <w:rFonts w:eastAsia="Times New Roman" w:cs="Arial"/>
                <w:bCs/>
                <w:color w:val="FFFFFF"/>
              </w:rPr>
              <w:t>Expanded Risk</w:t>
            </w:r>
          </w:p>
        </w:tc>
        <w:tc>
          <w:tcPr>
            <w:tcW w:w="698" w:type="pct"/>
            <w:gridSpan w:val="2"/>
            <w:tcBorders>
              <w:top w:val="single" w:sz="4" w:space="0" w:color="auto"/>
              <w:left w:val="nil"/>
              <w:bottom w:val="nil"/>
              <w:right w:val="single" w:sz="4" w:space="0" w:color="000000"/>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2010</w:t>
            </w:r>
          </w:p>
        </w:tc>
        <w:tc>
          <w:tcPr>
            <w:tcW w:w="640" w:type="pct"/>
            <w:gridSpan w:val="2"/>
            <w:tcBorders>
              <w:top w:val="single" w:sz="4" w:space="0" w:color="auto"/>
              <w:left w:val="nil"/>
              <w:bottom w:val="nil"/>
              <w:right w:val="single" w:sz="4" w:space="0" w:color="000000"/>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2011</w:t>
            </w:r>
          </w:p>
        </w:tc>
        <w:tc>
          <w:tcPr>
            <w:tcW w:w="641" w:type="pct"/>
            <w:gridSpan w:val="2"/>
            <w:tcBorders>
              <w:top w:val="single" w:sz="4" w:space="0" w:color="auto"/>
              <w:left w:val="nil"/>
              <w:bottom w:val="nil"/>
              <w:right w:val="single" w:sz="4" w:space="0" w:color="000000"/>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2012</w:t>
            </w:r>
          </w:p>
        </w:tc>
        <w:tc>
          <w:tcPr>
            <w:tcW w:w="612" w:type="pct"/>
            <w:gridSpan w:val="2"/>
            <w:tcBorders>
              <w:top w:val="single" w:sz="4" w:space="0" w:color="auto"/>
              <w:left w:val="nil"/>
              <w:bottom w:val="nil"/>
              <w:right w:val="single" w:sz="4" w:space="0" w:color="auto"/>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2013</w:t>
            </w:r>
          </w:p>
        </w:tc>
        <w:tc>
          <w:tcPr>
            <w:tcW w:w="525" w:type="pct"/>
            <w:gridSpan w:val="2"/>
            <w:tcBorders>
              <w:top w:val="single" w:sz="4" w:space="0" w:color="auto"/>
              <w:left w:val="nil"/>
              <w:bottom w:val="nil"/>
              <w:right w:val="single" w:sz="4" w:space="0" w:color="auto"/>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2014</w:t>
            </w:r>
          </w:p>
        </w:tc>
      </w:tr>
      <w:tr w:rsidR="007952AA" w:rsidRPr="000B29C6" w:rsidTr="005D2B0D">
        <w:tc>
          <w:tcPr>
            <w:tcW w:w="1883" w:type="pct"/>
            <w:vMerge/>
            <w:tcBorders>
              <w:top w:val="single" w:sz="4" w:space="0" w:color="auto"/>
              <w:left w:val="single" w:sz="4" w:space="0" w:color="auto"/>
              <w:bottom w:val="single" w:sz="4" w:space="0" w:color="000000"/>
              <w:right w:val="single" w:sz="4" w:space="0" w:color="auto"/>
            </w:tcBorders>
            <w:vAlign w:val="center"/>
            <w:hideMark/>
          </w:tcPr>
          <w:p w:rsidR="007952AA" w:rsidRPr="000B29C6" w:rsidRDefault="007952AA" w:rsidP="005D2B0D">
            <w:pPr>
              <w:spacing w:before="0" w:after="0"/>
              <w:rPr>
                <w:rFonts w:eastAsia="Times New Roman" w:cs="Arial"/>
                <w:bCs/>
                <w:color w:val="FFFFFF"/>
              </w:rPr>
            </w:pPr>
          </w:p>
        </w:tc>
        <w:tc>
          <w:tcPr>
            <w:tcW w:w="321" w:type="pct"/>
            <w:tcBorders>
              <w:top w:val="nil"/>
              <w:left w:val="nil"/>
              <w:bottom w:val="single" w:sz="4" w:space="0" w:color="auto"/>
              <w:right w:val="nil"/>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N</w:t>
            </w:r>
          </w:p>
        </w:tc>
        <w:tc>
          <w:tcPr>
            <w:tcW w:w="378" w:type="pct"/>
            <w:tcBorders>
              <w:top w:val="nil"/>
              <w:left w:val="nil"/>
              <w:bottom w:val="single" w:sz="4" w:space="0" w:color="auto"/>
              <w:right w:val="single" w:sz="4" w:space="0" w:color="auto"/>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w:t>
            </w:r>
          </w:p>
        </w:tc>
        <w:tc>
          <w:tcPr>
            <w:tcW w:w="320" w:type="pct"/>
            <w:tcBorders>
              <w:top w:val="nil"/>
              <w:left w:val="nil"/>
              <w:bottom w:val="single" w:sz="4" w:space="0" w:color="auto"/>
              <w:right w:val="nil"/>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N</w:t>
            </w:r>
          </w:p>
        </w:tc>
        <w:tc>
          <w:tcPr>
            <w:tcW w:w="321" w:type="pct"/>
            <w:tcBorders>
              <w:top w:val="nil"/>
              <w:left w:val="nil"/>
              <w:bottom w:val="single" w:sz="4" w:space="0" w:color="auto"/>
              <w:right w:val="single" w:sz="4" w:space="0" w:color="auto"/>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w:t>
            </w:r>
          </w:p>
        </w:tc>
        <w:tc>
          <w:tcPr>
            <w:tcW w:w="291" w:type="pct"/>
            <w:tcBorders>
              <w:top w:val="nil"/>
              <w:left w:val="nil"/>
              <w:bottom w:val="single" w:sz="4" w:space="0" w:color="auto"/>
              <w:right w:val="nil"/>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N</w:t>
            </w:r>
          </w:p>
        </w:tc>
        <w:tc>
          <w:tcPr>
            <w:tcW w:w="349" w:type="pct"/>
            <w:tcBorders>
              <w:top w:val="nil"/>
              <w:left w:val="nil"/>
              <w:bottom w:val="single" w:sz="4" w:space="0" w:color="auto"/>
              <w:right w:val="single" w:sz="4" w:space="0" w:color="auto"/>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w:t>
            </w:r>
          </w:p>
        </w:tc>
        <w:tc>
          <w:tcPr>
            <w:tcW w:w="291" w:type="pct"/>
            <w:tcBorders>
              <w:top w:val="nil"/>
              <w:left w:val="nil"/>
              <w:bottom w:val="single" w:sz="4" w:space="0" w:color="auto"/>
              <w:right w:val="nil"/>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N</w:t>
            </w:r>
          </w:p>
        </w:tc>
        <w:tc>
          <w:tcPr>
            <w:tcW w:w="321" w:type="pct"/>
            <w:tcBorders>
              <w:top w:val="nil"/>
              <w:left w:val="nil"/>
              <w:bottom w:val="single" w:sz="4" w:space="0" w:color="auto"/>
              <w:right w:val="single" w:sz="4" w:space="0" w:color="auto"/>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w:t>
            </w:r>
          </w:p>
        </w:tc>
        <w:tc>
          <w:tcPr>
            <w:tcW w:w="263" w:type="pct"/>
            <w:tcBorders>
              <w:top w:val="nil"/>
              <w:left w:val="nil"/>
              <w:bottom w:val="single" w:sz="4" w:space="0" w:color="auto"/>
              <w:right w:val="nil"/>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N</w:t>
            </w:r>
          </w:p>
        </w:tc>
        <w:tc>
          <w:tcPr>
            <w:tcW w:w="262" w:type="pct"/>
            <w:tcBorders>
              <w:top w:val="nil"/>
              <w:left w:val="nil"/>
              <w:bottom w:val="single" w:sz="4" w:space="0" w:color="auto"/>
              <w:right w:val="single" w:sz="4" w:space="0" w:color="auto"/>
            </w:tcBorders>
            <w:shd w:val="clear" w:color="000000" w:fill="4F81BD"/>
            <w:noWrap/>
            <w:vAlign w:val="bottom"/>
            <w:hideMark/>
          </w:tcPr>
          <w:p w:rsidR="007952AA" w:rsidRPr="000B29C6" w:rsidRDefault="007952AA" w:rsidP="005D2B0D">
            <w:pPr>
              <w:spacing w:before="0" w:after="0"/>
              <w:jc w:val="center"/>
              <w:rPr>
                <w:rFonts w:eastAsia="Times New Roman" w:cs="Arial"/>
                <w:bCs/>
                <w:color w:val="FFFFFF"/>
              </w:rPr>
            </w:pPr>
            <w:r w:rsidRPr="000B29C6">
              <w:rPr>
                <w:rFonts w:eastAsia="Times New Roman" w:cs="Arial"/>
                <w:bCs/>
                <w:color w:val="FFFFFF"/>
              </w:rPr>
              <w:t>%</w:t>
            </w:r>
          </w:p>
        </w:tc>
      </w:tr>
      <w:tr w:rsidR="007952AA" w:rsidRPr="000B29C6" w:rsidTr="005D2B0D">
        <w:tc>
          <w:tcPr>
            <w:tcW w:w="1883" w:type="pct"/>
            <w:tcBorders>
              <w:top w:val="nil"/>
              <w:left w:val="single" w:sz="4" w:space="0" w:color="auto"/>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Males</w:t>
            </w:r>
          </w:p>
        </w:tc>
        <w:tc>
          <w:tcPr>
            <w:tcW w:w="321"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378"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320"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321"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291"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349"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291"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321" w:type="pct"/>
            <w:tcBorders>
              <w:top w:val="nil"/>
              <w:left w:val="nil"/>
              <w:bottom w:val="single" w:sz="4" w:space="0" w:color="auto"/>
              <w:right w:val="single" w:sz="4" w:space="0" w:color="auto"/>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263" w:type="pct"/>
            <w:tcBorders>
              <w:top w:val="nil"/>
              <w:left w:val="nil"/>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262" w:type="pct"/>
            <w:tcBorders>
              <w:top w:val="nil"/>
              <w:left w:val="nil"/>
              <w:bottom w:val="single" w:sz="4" w:space="0" w:color="auto"/>
              <w:right w:val="single" w:sz="4" w:space="0" w:color="auto"/>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MSM only</w:t>
            </w:r>
          </w:p>
        </w:tc>
        <w:tc>
          <w:tcPr>
            <w:tcW w:w="321" w:type="pct"/>
            <w:tcBorders>
              <w:top w:val="nil"/>
              <w:left w:val="nil"/>
              <w:bottom w:val="nil"/>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186</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198</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61%</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193</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61%</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232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62%</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238</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MSM and heterosexual contact</w:t>
            </w:r>
          </w:p>
        </w:tc>
        <w:tc>
          <w:tcPr>
            <w:tcW w:w="321" w:type="pct"/>
            <w:tcBorders>
              <w:top w:val="single" w:sz="4" w:space="0" w:color="auto"/>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71</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23%</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75</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54</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17%</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56</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15%</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46</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only</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and heterosexual contact only</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15</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13</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13</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and MSM</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9</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19</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21</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MSM, and heterosexual contact</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7</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9</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with IDU female</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with HIV+ female</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9</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9</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only (no other risk identified)</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14</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31</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27</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7%</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41</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Perinatal exposure, HIV diagnosed at age 13 years or older</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xml:space="preserve">No Risks Reported </w:t>
            </w:r>
            <w:r w:rsidRPr="000B29C6">
              <w:rPr>
                <w:rFonts w:eastAsia="Times New Roman" w:cs="Arial"/>
                <w:bCs/>
                <w:color w:val="000000"/>
              </w:rPr>
              <w:t>(NIR/NRR)</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Total</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310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327</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318</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377</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382</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r>
      <w:tr w:rsidR="007952AA" w:rsidRPr="000B29C6" w:rsidTr="005D2B0D">
        <w:tc>
          <w:tcPr>
            <w:tcW w:w="1883" w:type="pct"/>
            <w:tcBorders>
              <w:top w:val="nil"/>
              <w:left w:val="single" w:sz="4" w:space="0" w:color="auto"/>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Females</w:t>
            </w:r>
          </w:p>
        </w:tc>
        <w:tc>
          <w:tcPr>
            <w:tcW w:w="321"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378"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320"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321"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 </w:t>
            </w:r>
          </w:p>
        </w:tc>
        <w:tc>
          <w:tcPr>
            <w:tcW w:w="291"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349"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291"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321" w:type="pct"/>
            <w:tcBorders>
              <w:top w:val="nil"/>
              <w:left w:val="nil"/>
              <w:bottom w:val="single" w:sz="4" w:space="0" w:color="auto"/>
              <w:right w:val="single" w:sz="4" w:space="0" w:color="auto"/>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263"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c>
          <w:tcPr>
            <w:tcW w:w="262" w:type="pct"/>
            <w:tcBorders>
              <w:top w:val="nil"/>
              <w:left w:val="nil"/>
              <w:bottom w:val="single" w:sz="4" w:space="0" w:color="auto"/>
              <w:right w:val="single" w:sz="4" w:space="0" w:color="auto"/>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 </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with MSM</w:t>
            </w:r>
          </w:p>
        </w:tc>
        <w:tc>
          <w:tcPr>
            <w:tcW w:w="321" w:type="pct"/>
            <w:tcBorders>
              <w:top w:val="nil"/>
              <w:left w:val="nil"/>
              <w:bottom w:val="nil"/>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9%</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with IDU male</w:t>
            </w:r>
          </w:p>
        </w:tc>
        <w:tc>
          <w:tcPr>
            <w:tcW w:w="321" w:type="pct"/>
            <w:tcBorders>
              <w:top w:val="single" w:sz="4" w:space="0" w:color="auto"/>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with MSM+IDU male</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with HIV+ male</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39</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62%</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23</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43%</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13</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29%</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23</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40%</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14</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25%</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Heterosexual contact (no other risk identified)</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7</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11%</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18</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34%</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44%</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17</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30%</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28</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50%</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only</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and heterosexual contact</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7%</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and heterosexual contact with IDU male</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3</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5%</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IDU and heterosexual contact with MSM+IDU male</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Perinatal exposure</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Perinatal exposure, HIV diagnosed at age 13 years or older</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4%</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1</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color w:val="000000"/>
              </w:rPr>
            </w:pPr>
            <w:r w:rsidRPr="000B29C6">
              <w:rPr>
                <w:rFonts w:eastAsia="Times New Roman" w:cs="Arial"/>
                <w:color w:val="000000"/>
              </w:rPr>
              <w:t>2%</w:t>
            </w:r>
          </w:p>
        </w:tc>
      </w:tr>
      <w:tr w:rsidR="007952AA" w:rsidRPr="000B29C6" w:rsidTr="005D2B0D">
        <w:tc>
          <w:tcPr>
            <w:tcW w:w="1883" w:type="pct"/>
            <w:tcBorders>
              <w:top w:val="nil"/>
              <w:left w:val="single" w:sz="4" w:space="0" w:color="auto"/>
              <w:bottom w:val="single" w:sz="4" w:space="0" w:color="auto"/>
              <w:right w:val="single" w:sz="4" w:space="0" w:color="auto"/>
            </w:tcBorders>
            <w:shd w:val="clear" w:color="auto" w:fill="auto"/>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No Risks Reported (NIR/NRR)</w:t>
            </w:r>
          </w:p>
        </w:tc>
        <w:tc>
          <w:tcPr>
            <w:tcW w:w="32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378"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320"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349"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291"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321"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0%</w:t>
            </w:r>
          </w:p>
        </w:tc>
        <w:tc>
          <w:tcPr>
            <w:tcW w:w="263" w:type="pct"/>
            <w:tcBorders>
              <w:top w:val="nil"/>
              <w:left w:val="nil"/>
              <w:bottom w:val="single" w:sz="4" w:space="0" w:color="auto"/>
              <w:right w:val="nil"/>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w:t>
            </w:r>
          </w:p>
        </w:tc>
        <w:tc>
          <w:tcPr>
            <w:tcW w:w="262" w:type="pct"/>
            <w:tcBorders>
              <w:top w:val="nil"/>
              <w:left w:val="nil"/>
              <w:bottom w:val="single" w:sz="4" w:space="0" w:color="auto"/>
              <w:right w:val="single" w:sz="4" w:space="0" w:color="auto"/>
            </w:tcBorders>
            <w:shd w:val="clear" w:color="000000" w:fill="FFFFFF"/>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2%</w:t>
            </w:r>
          </w:p>
        </w:tc>
      </w:tr>
      <w:tr w:rsidR="007952AA" w:rsidRPr="000B29C6" w:rsidTr="005D2B0D">
        <w:tc>
          <w:tcPr>
            <w:tcW w:w="1883" w:type="pct"/>
            <w:tcBorders>
              <w:top w:val="nil"/>
              <w:left w:val="single" w:sz="4" w:space="0" w:color="auto"/>
              <w:bottom w:val="single" w:sz="4" w:space="0" w:color="auto"/>
              <w:right w:val="nil"/>
            </w:tcBorders>
            <w:shd w:val="clear" w:color="000000" w:fill="D9D9D9"/>
            <w:noWrap/>
            <w:vAlign w:val="bottom"/>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Total</w:t>
            </w:r>
          </w:p>
        </w:tc>
        <w:tc>
          <w:tcPr>
            <w:tcW w:w="321" w:type="pct"/>
            <w:tcBorders>
              <w:top w:val="nil"/>
              <w:left w:val="single" w:sz="4" w:space="0" w:color="auto"/>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63</w:t>
            </w:r>
          </w:p>
        </w:tc>
        <w:tc>
          <w:tcPr>
            <w:tcW w:w="378" w:type="pct"/>
            <w:tcBorders>
              <w:top w:val="nil"/>
              <w:left w:val="nil"/>
              <w:bottom w:val="single" w:sz="4" w:space="0" w:color="auto"/>
              <w:right w:val="single" w:sz="4" w:space="0" w:color="auto"/>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320"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53</w:t>
            </w:r>
          </w:p>
        </w:tc>
        <w:tc>
          <w:tcPr>
            <w:tcW w:w="321" w:type="pct"/>
            <w:tcBorders>
              <w:top w:val="nil"/>
              <w:left w:val="nil"/>
              <w:bottom w:val="single" w:sz="4" w:space="0" w:color="auto"/>
              <w:right w:val="single" w:sz="4" w:space="0" w:color="auto"/>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291"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45</w:t>
            </w:r>
          </w:p>
        </w:tc>
        <w:tc>
          <w:tcPr>
            <w:tcW w:w="349" w:type="pct"/>
            <w:tcBorders>
              <w:top w:val="nil"/>
              <w:left w:val="nil"/>
              <w:bottom w:val="single" w:sz="4" w:space="0" w:color="auto"/>
              <w:right w:val="single" w:sz="4" w:space="0" w:color="auto"/>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291"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57</w:t>
            </w:r>
          </w:p>
        </w:tc>
        <w:tc>
          <w:tcPr>
            <w:tcW w:w="321" w:type="pct"/>
            <w:tcBorders>
              <w:top w:val="nil"/>
              <w:left w:val="nil"/>
              <w:bottom w:val="single" w:sz="4" w:space="0" w:color="auto"/>
              <w:right w:val="single" w:sz="4" w:space="0" w:color="auto"/>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c>
          <w:tcPr>
            <w:tcW w:w="263" w:type="pct"/>
            <w:tcBorders>
              <w:top w:val="nil"/>
              <w:left w:val="nil"/>
              <w:bottom w:val="single" w:sz="4" w:space="0" w:color="auto"/>
              <w:right w:val="nil"/>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56</w:t>
            </w:r>
          </w:p>
        </w:tc>
        <w:tc>
          <w:tcPr>
            <w:tcW w:w="262" w:type="pct"/>
            <w:tcBorders>
              <w:top w:val="nil"/>
              <w:left w:val="nil"/>
              <w:bottom w:val="single" w:sz="4" w:space="0" w:color="auto"/>
              <w:right w:val="single" w:sz="4" w:space="0" w:color="auto"/>
            </w:tcBorders>
            <w:shd w:val="clear" w:color="000000" w:fill="D9D9D9"/>
            <w:noWrap/>
            <w:vAlign w:val="center"/>
            <w:hideMark/>
          </w:tcPr>
          <w:p w:rsidR="007952AA" w:rsidRPr="000B29C6" w:rsidRDefault="007952AA" w:rsidP="005D2B0D">
            <w:pPr>
              <w:spacing w:before="0" w:after="0"/>
              <w:rPr>
                <w:rFonts w:eastAsia="Times New Roman" w:cs="Arial"/>
                <w:bCs/>
                <w:color w:val="000000"/>
              </w:rPr>
            </w:pPr>
            <w:r w:rsidRPr="000B29C6">
              <w:rPr>
                <w:rFonts w:eastAsia="Times New Roman" w:cs="Arial"/>
                <w:bCs/>
                <w:color w:val="000000"/>
              </w:rPr>
              <w:t>100%</w:t>
            </w:r>
          </w:p>
        </w:tc>
      </w:tr>
      <w:tr w:rsidR="007952AA" w:rsidRPr="00951F63" w:rsidTr="005D2B0D">
        <w:tc>
          <w:tcPr>
            <w:tcW w:w="5000" w:type="pct"/>
            <w:gridSpan w:val="11"/>
            <w:tcBorders>
              <w:top w:val="single" w:sz="4" w:space="0" w:color="auto"/>
              <w:left w:val="nil"/>
              <w:bottom w:val="nil"/>
              <w:right w:val="nil"/>
            </w:tcBorders>
            <w:shd w:val="clear" w:color="auto" w:fill="auto"/>
            <w:noWrap/>
            <w:vAlign w:val="bottom"/>
            <w:hideMark/>
          </w:tcPr>
          <w:p w:rsidR="007952AA" w:rsidRPr="00D509B2" w:rsidRDefault="007952AA" w:rsidP="005D2B0D">
            <w:pPr>
              <w:spacing w:before="120" w:after="0" w:line="240" w:lineRule="auto"/>
              <w:rPr>
                <w:rFonts w:ascii="Calibri" w:eastAsia="Times New Roman" w:hAnsi="Calibri" w:cs="Arial"/>
                <w:i/>
                <w:iCs/>
                <w:sz w:val="16"/>
                <w:szCs w:val="16"/>
              </w:rPr>
            </w:pPr>
            <w:r w:rsidRPr="00D509B2">
              <w:rPr>
                <w:rFonts w:ascii="Calibri" w:eastAsia="Times New Roman" w:hAnsi="Calibri" w:cs="Arial"/>
                <w:i/>
                <w:iCs/>
                <w:sz w:val="16"/>
                <w:szCs w:val="16"/>
              </w:rPr>
              <w:t xml:space="preserve">Source: Nevada State Health Division HIV/AIDS Reporting System (eHARS), (March 2016) </w:t>
            </w:r>
          </w:p>
        </w:tc>
      </w:tr>
    </w:tbl>
    <w:p w:rsidR="007952AA" w:rsidRPr="00AD4850" w:rsidRDefault="007952AA" w:rsidP="007952AA">
      <w:pPr>
        <w:rPr>
          <w:b/>
          <w:bCs/>
          <w:color w:val="1F497D"/>
        </w:rPr>
        <w:sectPr w:rsidR="007952AA" w:rsidRPr="00AD4850" w:rsidSect="009B63AA">
          <w:pgSz w:w="12240" w:h="15840" w:code="1"/>
          <w:pgMar w:top="1440" w:right="1440" w:bottom="1440" w:left="1440" w:header="0" w:footer="288" w:gutter="0"/>
          <w:cols w:space="720"/>
          <w:titlePg/>
          <w:docGrid w:linePitch="360"/>
        </w:sectPr>
      </w:pPr>
    </w:p>
    <w:p w:rsidR="007952AA" w:rsidRDefault="007952AA" w:rsidP="007952AA">
      <w:pPr>
        <w:spacing w:before="0" w:after="0"/>
        <w:rPr>
          <w:b/>
          <w:sz w:val="22"/>
        </w:rPr>
      </w:pPr>
      <w:r w:rsidRPr="000B29C6">
        <w:rPr>
          <w:b/>
          <w:sz w:val="22"/>
        </w:rPr>
        <w:lastRenderedPageBreak/>
        <w:t>Facility of New HIV Diagnosis, 2014</w:t>
      </w:r>
    </w:p>
    <w:tbl>
      <w:tblPr>
        <w:tblW w:w="5000" w:type="pct"/>
        <w:tblLook w:val="04A0" w:firstRow="1" w:lastRow="0" w:firstColumn="1" w:lastColumn="0" w:noHBand="0" w:noVBand="1"/>
      </w:tblPr>
      <w:tblGrid>
        <w:gridCol w:w="2760"/>
        <w:gridCol w:w="823"/>
        <w:gridCol w:w="825"/>
        <w:gridCol w:w="823"/>
        <w:gridCol w:w="825"/>
        <w:gridCol w:w="823"/>
        <w:gridCol w:w="825"/>
        <w:gridCol w:w="823"/>
        <w:gridCol w:w="823"/>
      </w:tblGrid>
      <w:tr w:rsidR="007952AA" w:rsidRPr="00684CB0" w:rsidTr="007952AA">
        <w:trPr>
          <w:trHeight w:val="296"/>
        </w:trPr>
        <w:tc>
          <w:tcPr>
            <w:tcW w:w="1476" w:type="pct"/>
            <w:vMerge w:val="restart"/>
            <w:tcBorders>
              <w:top w:val="single" w:sz="4" w:space="0" w:color="auto"/>
              <w:left w:val="single" w:sz="4" w:space="0" w:color="auto"/>
              <w:bottom w:val="single" w:sz="4" w:space="0" w:color="000000"/>
              <w:right w:val="single" w:sz="4" w:space="0" w:color="auto"/>
            </w:tcBorders>
            <w:shd w:val="clear" w:color="000000" w:fill="4F81BD"/>
            <w:vAlign w:val="center"/>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Facility Type</w:t>
            </w:r>
          </w:p>
        </w:tc>
        <w:tc>
          <w:tcPr>
            <w:tcW w:w="881" w:type="pct"/>
            <w:gridSpan w:val="2"/>
            <w:tcBorders>
              <w:top w:val="single" w:sz="4" w:space="0" w:color="auto"/>
              <w:left w:val="nil"/>
              <w:bottom w:val="nil"/>
              <w:right w:val="single" w:sz="4" w:space="0" w:color="000000"/>
            </w:tcBorders>
            <w:shd w:val="clear" w:color="000000" w:fill="4F81BD"/>
            <w:vAlign w:val="center"/>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Nevada</w:t>
            </w:r>
          </w:p>
        </w:tc>
        <w:tc>
          <w:tcPr>
            <w:tcW w:w="881" w:type="pct"/>
            <w:gridSpan w:val="2"/>
            <w:tcBorders>
              <w:top w:val="single" w:sz="4" w:space="0" w:color="auto"/>
              <w:left w:val="nil"/>
              <w:bottom w:val="nil"/>
              <w:right w:val="single" w:sz="4" w:space="0" w:color="000000"/>
            </w:tcBorders>
            <w:shd w:val="clear" w:color="000000" w:fill="4F81BD"/>
            <w:vAlign w:val="center"/>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Clark County</w:t>
            </w:r>
          </w:p>
        </w:tc>
        <w:tc>
          <w:tcPr>
            <w:tcW w:w="881" w:type="pct"/>
            <w:gridSpan w:val="2"/>
            <w:tcBorders>
              <w:top w:val="single" w:sz="4" w:space="0" w:color="auto"/>
              <w:left w:val="nil"/>
              <w:bottom w:val="nil"/>
              <w:right w:val="single" w:sz="4" w:space="0" w:color="000000"/>
            </w:tcBorders>
            <w:shd w:val="clear" w:color="000000" w:fill="4F81BD"/>
            <w:vAlign w:val="center"/>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Washoe County</w:t>
            </w:r>
          </w:p>
        </w:tc>
        <w:tc>
          <w:tcPr>
            <w:tcW w:w="880" w:type="pct"/>
            <w:gridSpan w:val="2"/>
            <w:tcBorders>
              <w:top w:val="single" w:sz="4" w:space="0" w:color="auto"/>
              <w:left w:val="nil"/>
              <w:bottom w:val="nil"/>
              <w:right w:val="single" w:sz="4" w:space="0" w:color="auto"/>
            </w:tcBorders>
            <w:shd w:val="clear" w:color="000000" w:fill="4F81BD"/>
            <w:vAlign w:val="center"/>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All Other Counties*</w:t>
            </w:r>
            <w:r>
              <w:rPr>
                <w:rFonts w:ascii="Calibri" w:eastAsia="Times New Roman" w:hAnsi="Calibri" w:cs="Arial"/>
                <w:b/>
                <w:bCs/>
                <w:color w:val="FFFFFF"/>
                <w:sz w:val="18"/>
                <w:szCs w:val="18"/>
              </w:rPr>
              <w:t>*</w:t>
            </w:r>
          </w:p>
        </w:tc>
      </w:tr>
      <w:tr w:rsidR="007952AA" w:rsidRPr="00684CB0" w:rsidTr="007952AA">
        <w:trPr>
          <w:trHeight w:val="360"/>
        </w:trPr>
        <w:tc>
          <w:tcPr>
            <w:tcW w:w="1476" w:type="pct"/>
            <w:vMerge/>
            <w:tcBorders>
              <w:top w:val="single" w:sz="4" w:space="0" w:color="auto"/>
              <w:left w:val="single" w:sz="4" w:space="0" w:color="auto"/>
              <w:bottom w:val="single" w:sz="4" w:space="0" w:color="000000"/>
              <w:right w:val="single" w:sz="4" w:space="0" w:color="auto"/>
            </w:tcBorders>
            <w:vAlign w:val="center"/>
            <w:hideMark/>
          </w:tcPr>
          <w:p w:rsidR="007952AA" w:rsidRPr="00684CB0" w:rsidRDefault="007952AA" w:rsidP="007952AA">
            <w:pPr>
              <w:spacing w:before="0" w:after="0" w:line="240" w:lineRule="auto"/>
              <w:rPr>
                <w:rFonts w:ascii="Calibri" w:eastAsia="Times New Roman" w:hAnsi="Calibri" w:cs="Arial"/>
                <w:b/>
                <w:bCs/>
                <w:color w:val="FFFFFF"/>
                <w:sz w:val="18"/>
                <w:szCs w:val="18"/>
              </w:rPr>
            </w:pPr>
          </w:p>
        </w:tc>
        <w:tc>
          <w:tcPr>
            <w:tcW w:w="440" w:type="pct"/>
            <w:tcBorders>
              <w:top w:val="nil"/>
              <w:left w:val="nil"/>
              <w:bottom w:val="single" w:sz="4" w:space="0" w:color="auto"/>
              <w:right w:val="nil"/>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N</w:t>
            </w:r>
          </w:p>
        </w:tc>
        <w:tc>
          <w:tcPr>
            <w:tcW w:w="441" w:type="pct"/>
            <w:tcBorders>
              <w:top w:val="nil"/>
              <w:left w:val="nil"/>
              <w:bottom w:val="single" w:sz="4" w:space="0" w:color="auto"/>
              <w:right w:val="single" w:sz="4" w:space="0" w:color="auto"/>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w:t>
            </w:r>
          </w:p>
        </w:tc>
        <w:tc>
          <w:tcPr>
            <w:tcW w:w="440" w:type="pct"/>
            <w:tcBorders>
              <w:top w:val="nil"/>
              <w:left w:val="nil"/>
              <w:bottom w:val="single" w:sz="4" w:space="0" w:color="auto"/>
              <w:right w:val="nil"/>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n</w:t>
            </w:r>
          </w:p>
        </w:tc>
        <w:tc>
          <w:tcPr>
            <w:tcW w:w="441" w:type="pct"/>
            <w:tcBorders>
              <w:top w:val="nil"/>
              <w:left w:val="nil"/>
              <w:bottom w:val="single" w:sz="4" w:space="0" w:color="auto"/>
              <w:right w:val="single" w:sz="4" w:space="0" w:color="auto"/>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w:t>
            </w:r>
          </w:p>
        </w:tc>
        <w:tc>
          <w:tcPr>
            <w:tcW w:w="440" w:type="pct"/>
            <w:tcBorders>
              <w:top w:val="nil"/>
              <w:left w:val="nil"/>
              <w:bottom w:val="single" w:sz="4" w:space="0" w:color="auto"/>
              <w:right w:val="nil"/>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n</w:t>
            </w:r>
          </w:p>
        </w:tc>
        <w:tc>
          <w:tcPr>
            <w:tcW w:w="441" w:type="pct"/>
            <w:tcBorders>
              <w:top w:val="nil"/>
              <w:left w:val="nil"/>
              <w:bottom w:val="single" w:sz="4" w:space="0" w:color="auto"/>
              <w:right w:val="single" w:sz="4" w:space="0" w:color="auto"/>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w:t>
            </w:r>
          </w:p>
        </w:tc>
        <w:tc>
          <w:tcPr>
            <w:tcW w:w="440" w:type="pct"/>
            <w:tcBorders>
              <w:top w:val="nil"/>
              <w:left w:val="nil"/>
              <w:bottom w:val="single" w:sz="4" w:space="0" w:color="auto"/>
              <w:right w:val="nil"/>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n</w:t>
            </w:r>
          </w:p>
        </w:tc>
        <w:tc>
          <w:tcPr>
            <w:tcW w:w="440" w:type="pct"/>
            <w:tcBorders>
              <w:top w:val="nil"/>
              <w:left w:val="nil"/>
              <w:bottom w:val="single" w:sz="4" w:space="0" w:color="auto"/>
              <w:right w:val="single" w:sz="4" w:space="0" w:color="auto"/>
            </w:tcBorders>
            <w:shd w:val="clear" w:color="000000" w:fill="4F81BD"/>
            <w:vAlign w:val="bottom"/>
            <w:hideMark/>
          </w:tcPr>
          <w:p w:rsidR="007952AA" w:rsidRPr="00684CB0" w:rsidRDefault="007952AA" w:rsidP="007952AA">
            <w:pPr>
              <w:spacing w:before="0" w:after="0" w:line="240" w:lineRule="auto"/>
              <w:jc w:val="center"/>
              <w:rPr>
                <w:rFonts w:ascii="Calibri" w:eastAsia="Times New Roman" w:hAnsi="Calibri" w:cs="Arial"/>
                <w:b/>
                <w:bCs/>
                <w:color w:val="FFFFFF"/>
                <w:sz w:val="18"/>
                <w:szCs w:val="18"/>
              </w:rPr>
            </w:pPr>
            <w:r w:rsidRPr="00684CB0">
              <w:rPr>
                <w:rFonts w:ascii="Calibri" w:eastAsia="Times New Roman" w:hAnsi="Calibri" w:cs="Arial"/>
                <w:b/>
                <w:bCs/>
                <w:color w:val="FFFFFF"/>
                <w:sz w:val="18"/>
                <w:szCs w:val="18"/>
              </w:rPr>
              <w:t>%</w:t>
            </w:r>
          </w:p>
        </w:tc>
      </w:tr>
      <w:tr w:rsidR="007952AA" w:rsidRPr="00684CB0" w:rsidTr="007952AA">
        <w:trPr>
          <w:trHeight w:val="225"/>
        </w:trPr>
        <w:tc>
          <w:tcPr>
            <w:tcW w:w="1476" w:type="pct"/>
            <w:tcBorders>
              <w:top w:val="nil"/>
              <w:left w:val="single" w:sz="8" w:space="0" w:color="auto"/>
              <w:bottom w:val="single" w:sz="4" w:space="0" w:color="auto"/>
              <w:right w:val="single" w:sz="4" w:space="0" w:color="auto"/>
            </w:tcBorders>
            <w:shd w:val="clear" w:color="000000" w:fill="D9D9D9"/>
            <w:vAlign w:val="center"/>
            <w:hideMark/>
          </w:tcPr>
          <w:p w:rsidR="007952AA" w:rsidRPr="00684CB0" w:rsidRDefault="007952AA" w:rsidP="007952AA">
            <w:pPr>
              <w:spacing w:before="0" w:after="0" w:line="240" w:lineRule="auto"/>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Facility of Diagnosis</w:t>
            </w:r>
          </w:p>
        </w:tc>
        <w:tc>
          <w:tcPr>
            <w:tcW w:w="440" w:type="pct"/>
            <w:tcBorders>
              <w:top w:val="nil"/>
              <w:left w:val="nil"/>
              <w:bottom w:val="single" w:sz="4" w:space="0" w:color="auto"/>
              <w:right w:val="nil"/>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c>
          <w:tcPr>
            <w:tcW w:w="441" w:type="pct"/>
            <w:tcBorders>
              <w:top w:val="nil"/>
              <w:left w:val="nil"/>
              <w:bottom w:val="single" w:sz="4" w:space="0" w:color="auto"/>
              <w:right w:val="single" w:sz="4" w:space="0" w:color="auto"/>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c>
          <w:tcPr>
            <w:tcW w:w="440" w:type="pct"/>
            <w:tcBorders>
              <w:top w:val="nil"/>
              <w:left w:val="nil"/>
              <w:bottom w:val="single" w:sz="4" w:space="0" w:color="auto"/>
              <w:right w:val="nil"/>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c>
          <w:tcPr>
            <w:tcW w:w="441" w:type="pct"/>
            <w:tcBorders>
              <w:top w:val="nil"/>
              <w:left w:val="nil"/>
              <w:bottom w:val="single" w:sz="4" w:space="0" w:color="auto"/>
              <w:right w:val="single" w:sz="4" w:space="0" w:color="auto"/>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c>
          <w:tcPr>
            <w:tcW w:w="440" w:type="pct"/>
            <w:tcBorders>
              <w:top w:val="nil"/>
              <w:left w:val="nil"/>
              <w:bottom w:val="single" w:sz="4" w:space="0" w:color="auto"/>
              <w:right w:val="nil"/>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c>
          <w:tcPr>
            <w:tcW w:w="441" w:type="pct"/>
            <w:tcBorders>
              <w:top w:val="nil"/>
              <w:left w:val="nil"/>
              <w:bottom w:val="single" w:sz="4" w:space="0" w:color="auto"/>
              <w:right w:val="single" w:sz="4" w:space="0" w:color="auto"/>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c>
          <w:tcPr>
            <w:tcW w:w="440" w:type="pct"/>
            <w:tcBorders>
              <w:top w:val="nil"/>
              <w:left w:val="nil"/>
              <w:bottom w:val="single" w:sz="4" w:space="0" w:color="auto"/>
              <w:right w:val="nil"/>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c>
          <w:tcPr>
            <w:tcW w:w="440" w:type="pct"/>
            <w:tcBorders>
              <w:top w:val="nil"/>
              <w:left w:val="nil"/>
              <w:bottom w:val="single" w:sz="4" w:space="0" w:color="auto"/>
              <w:right w:val="single" w:sz="4" w:space="0" w:color="auto"/>
            </w:tcBorders>
            <w:shd w:val="clear" w:color="000000" w:fill="D9D9D9"/>
            <w:vAlign w:val="center"/>
            <w:hideMark/>
          </w:tcPr>
          <w:p w:rsidR="007952AA" w:rsidRPr="00684CB0" w:rsidRDefault="007952AA" w:rsidP="007952AA">
            <w:pPr>
              <w:spacing w:before="0" w:after="0" w:line="240" w:lineRule="auto"/>
              <w:jc w:val="center"/>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 </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HIV Counseling and Testing Site</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129</w:t>
            </w:r>
          </w:p>
        </w:tc>
        <w:tc>
          <w:tcPr>
            <w:tcW w:w="441"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29%</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124</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32%</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5</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13%</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Private Physician's Office</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140</w:t>
            </w:r>
          </w:p>
        </w:tc>
        <w:tc>
          <w:tcPr>
            <w:tcW w:w="441"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32%</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132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34%</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7</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18%</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8%</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Inpatient Facility/Hospital</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72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16%</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61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16%</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9</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23%</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17%</w:t>
            </w:r>
          </w:p>
        </w:tc>
      </w:tr>
      <w:tr w:rsidR="007952AA" w:rsidRPr="00684CB0" w:rsidTr="007952AA">
        <w:trPr>
          <w:trHeight w:val="225"/>
        </w:trPr>
        <w:tc>
          <w:tcPr>
            <w:tcW w:w="1476" w:type="pct"/>
            <w:tcBorders>
              <w:top w:val="nil"/>
              <w:left w:val="single" w:sz="4" w:space="0" w:color="auto"/>
              <w:bottom w:val="single" w:sz="4" w:space="0" w:color="auto"/>
              <w:right w:val="nil"/>
            </w:tcBorders>
            <w:shd w:val="clear" w:color="auto" w:fill="auto"/>
            <w:noWrap/>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Outpatient Facility (unspecified)</w:t>
            </w:r>
          </w:p>
        </w:tc>
        <w:tc>
          <w:tcPr>
            <w:tcW w:w="440" w:type="pct"/>
            <w:tcBorders>
              <w:top w:val="nil"/>
              <w:left w:val="single" w:sz="4" w:space="0" w:color="auto"/>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14</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3%</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6</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6</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15%</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17%</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Adult HIV Clinic</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9</w:t>
            </w:r>
          </w:p>
        </w:tc>
        <w:tc>
          <w:tcPr>
            <w:tcW w:w="441"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7</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18%</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8%</w:t>
            </w:r>
          </w:p>
        </w:tc>
      </w:tr>
      <w:tr w:rsidR="007952AA" w:rsidRPr="00684CB0" w:rsidTr="007952AA">
        <w:trPr>
          <w:trHeight w:val="225"/>
        </w:trPr>
        <w:tc>
          <w:tcPr>
            <w:tcW w:w="1476" w:type="pct"/>
            <w:tcBorders>
              <w:top w:val="nil"/>
              <w:left w:val="single" w:sz="4" w:space="0" w:color="auto"/>
              <w:bottom w:val="single" w:sz="4" w:space="0" w:color="auto"/>
              <w:right w:val="nil"/>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Correctional Facility</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13</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3%</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13</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3%</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STD Clinic</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15</w:t>
            </w:r>
          </w:p>
        </w:tc>
        <w:tc>
          <w:tcPr>
            <w:tcW w:w="441"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3%</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14</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4%</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8%</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Blood Bank or Plasma Center</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17</w:t>
            </w:r>
          </w:p>
        </w:tc>
        <w:tc>
          <w:tcPr>
            <w:tcW w:w="441"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4%</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15</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4%</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5%</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Emergency Room</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1"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r>
      <w:tr w:rsidR="007952AA" w:rsidRPr="00684CB0" w:rsidTr="007952AA">
        <w:trPr>
          <w:trHeight w:val="225"/>
        </w:trPr>
        <w:tc>
          <w:tcPr>
            <w:tcW w:w="1476" w:type="pct"/>
            <w:tcBorders>
              <w:top w:val="nil"/>
              <w:left w:val="single" w:sz="4" w:space="0" w:color="auto"/>
              <w:bottom w:val="single" w:sz="4" w:space="0" w:color="auto"/>
              <w:right w:val="single" w:sz="4" w:space="0" w:color="auto"/>
            </w:tcBorders>
            <w:shd w:val="clear" w:color="auto" w:fill="auto"/>
            <w:noWrap/>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Tuberculosis Clinic</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4</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4</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r>
      <w:tr w:rsidR="007952AA" w:rsidRPr="00684CB0" w:rsidTr="007952AA">
        <w:trPr>
          <w:trHeight w:val="225"/>
        </w:trPr>
        <w:tc>
          <w:tcPr>
            <w:tcW w:w="1476" w:type="pct"/>
            <w:tcBorders>
              <w:top w:val="nil"/>
              <w:left w:val="single" w:sz="4" w:space="0" w:color="auto"/>
              <w:bottom w:val="nil"/>
              <w:right w:val="single" w:sz="4" w:space="0" w:color="auto"/>
            </w:tcBorders>
            <w:shd w:val="clear" w:color="auto" w:fill="auto"/>
            <w:noWrap/>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Obstetrics and Gynecology Clinic</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nil"/>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5%</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0%</w:t>
            </w:r>
          </w:p>
        </w:tc>
      </w:tr>
      <w:tr w:rsidR="007952AA" w:rsidRPr="00684CB0" w:rsidTr="007952AA">
        <w:trPr>
          <w:trHeight w:val="225"/>
        </w:trPr>
        <w:tc>
          <w:tcPr>
            <w:tcW w:w="1476" w:type="pct"/>
            <w:tcBorders>
              <w:top w:val="single" w:sz="4" w:space="0" w:color="auto"/>
              <w:left w:val="single" w:sz="4" w:space="0" w:color="auto"/>
              <w:bottom w:val="nil"/>
              <w:right w:val="single" w:sz="4" w:space="0" w:color="auto"/>
            </w:tcBorders>
            <w:shd w:val="clear" w:color="auto" w:fill="auto"/>
            <w:noWrap/>
            <w:vAlign w:val="center"/>
            <w:hideMark/>
          </w:tcPr>
          <w:p w:rsidR="007952AA" w:rsidRPr="00684CB0" w:rsidRDefault="007952AA" w:rsidP="007952AA">
            <w:pPr>
              <w:spacing w:before="0" w:after="0" w:line="240" w:lineRule="auto"/>
              <w:rPr>
                <w:rFonts w:ascii="Calibri" w:eastAsia="Times New Roman" w:hAnsi="Calibri" w:cs="Arial"/>
                <w:color w:val="000000"/>
                <w:sz w:val="18"/>
                <w:szCs w:val="18"/>
              </w:rPr>
            </w:pPr>
            <w:r w:rsidRPr="00684CB0">
              <w:rPr>
                <w:rFonts w:ascii="Calibri" w:eastAsia="Times New Roman" w:hAnsi="Calibri" w:cs="Arial"/>
                <w:color w:val="000000"/>
                <w:sz w:val="18"/>
                <w:szCs w:val="18"/>
              </w:rPr>
              <w:t>Facility/Other/Unknown</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23</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5%</w:t>
            </w:r>
          </w:p>
        </w:tc>
        <w:tc>
          <w:tcPr>
            <w:tcW w:w="440" w:type="pct"/>
            <w:tcBorders>
              <w:top w:val="single" w:sz="4" w:space="0" w:color="auto"/>
              <w:left w:val="nil"/>
              <w:bottom w:val="nil"/>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16</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4%</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5%</w:t>
            </w:r>
          </w:p>
        </w:tc>
        <w:tc>
          <w:tcPr>
            <w:tcW w:w="440" w:type="pct"/>
            <w:tcBorders>
              <w:top w:val="nil"/>
              <w:left w:val="nil"/>
              <w:bottom w:val="single" w:sz="4" w:space="0" w:color="auto"/>
              <w:right w:val="nil"/>
            </w:tcBorders>
            <w:shd w:val="clear" w:color="000000" w:fill="FFFFFF"/>
            <w:noWrap/>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5</w:t>
            </w:r>
          </w:p>
        </w:tc>
        <w:tc>
          <w:tcPr>
            <w:tcW w:w="440" w:type="pct"/>
            <w:tcBorders>
              <w:top w:val="nil"/>
              <w:left w:val="nil"/>
              <w:bottom w:val="single" w:sz="4" w:space="0" w:color="auto"/>
              <w:right w:val="single" w:sz="4" w:space="0" w:color="auto"/>
            </w:tcBorders>
            <w:shd w:val="clear" w:color="000000" w:fill="FFFFFF"/>
            <w:vAlign w:val="center"/>
            <w:hideMark/>
          </w:tcPr>
          <w:p w:rsidR="007952AA" w:rsidRPr="00684CB0" w:rsidRDefault="007952AA" w:rsidP="007952AA">
            <w:pPr>
              <w:spacing w:before="0" w:after="0" w:line="240" w:lineRule="auto"/>
              <w:jc w:val="right"/>
              <w:rPr>
                <w:rFonts w:ascii="Calibri" w:eastAsia="Times New Roman" w:hAnsi="Calibri" w:cs="Arial"/>
                <w:color w:val="000000"/>
                <w:sz w:val="18"/>
                <w:szCs w:val="18"/>
              </w:rPr>
            </w:pPr>
            <w:r w:rsidRPr="00684CB0">
              <w:rPr>
                <w:rFonts w:ascii="Calibri" w:eastAsia="Times New Roman" w:hAnsi="Calibri" w:cs="Arial"/>
                <w:color w:val="000000"/>
                <w:sz w:val="18"/>
                <w:szCs w:val="18"/>
              </w:rPr>
              <w:t>42%</w:t>
            </w:r>
          </w:p>
        </w:tc>
      </w:tr>
      <w:tr w:rsidR="007952AA" w:rsidRPr="00684CB0" w:rsidTr="007952AA">
        <w:trPr>
          <w:trHeight w:val="225"/>
        </w:trPr>
        <w:tc>
          <w:tcPr>
            <w:tcW w:w="1476" w:type="pct"/>
            <w:tcBorders>
              <w:top w:val="single" w:sz="4" w:space="0" w:color="auto"/>
              <w:left w:val="single" w:sz="4" w:space="0" w:color="auto"/>
              <w:bottom w:val="single" w:sz="4" w:space="0" w:color="auto"/>
              <w:right w:val="nil"/>
            </w:tcBorders>
            <w:shd w:val="clear" w:color="000000" w:fill="D9D9D9"/>
            <w:noWrap/>
            <w:vAlign w:val="center"/>
            <w:hideMark/>
          </w:tcPr>
          <w:p w:rsidR="007952AA" w:rsidRPr="00684CB0" w:rsidRDefault="007952AA" w:rsidP="007952AA">
            <w:pPr>
              <w:spacing w:before="0" w:after="0" w:line="240" w:lineRule="auto"/>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Total</w:t>
            </w:r>
          </w:p>
        </w:tc>
        <w:tc>
          <w:tcPr>
            <w:tcW w:w="440" w:type="pct"/>
            <w:tcBorders>
              <w:top w:val="nil"/>
              <w:left w:val="single" w:sz="4" w:space="0" w:color="auto"/>
              <w:bottom w:val="single" w:sz="4" w:space="0" w:color="auto"/>
              <w:right w:val="nil"/>
            </w:tcBorders>
            <w:shd w:val="clear" w:color="000000" w:fill="D9D9D9"/>
            <w:noWrap/>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438</w:t>
            </w:r>
          </w:p>
        </w:tc>
        <w:tc>
          <w:tcPr>
            <w:tcW w:w="441" w:type="pct"/>
            <w:tcBorders>
              <w:top w:val="nil"/>
              <w:left w:val="nil"/>
              <w:bottom w:val="single" w:sz="4" w:space="0" w:color="auto"/>
              <w:right w:val="nil"/>
            </w:tcBorders>
            <w:shd w:val="clear" w:color="000000" w:fill="D9D9D9"/>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100%</w:t>
            </w:r>
          </w:p>
        </w:tc>
        <w:tc>
          <w:tcPr>
            <w:tcW w:w="440" w:type="pct"/>
            <w:tcBorders>
              <w:top w:val="single" w:sz="4" w:space="0" w:color="auto"/>
              <w:left w:val="single" w:sz="4" w:space="0" w:color="auto"/>
              <w:bottom w:val="single" w:sz="4" w:space="0" w:color="auto"/>
              <w:right w:val="nil"/>
            </w:tcBorders>
            <w:shd w:val="clear" w:color="000000" w:fill="D9D9D9"/>
            <w:noWrap/>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386</w:t>
            </w:r>
          </w:p>
        </w:tc>
        <w:tc>
          <w:tcPr>
            <w:tcW w:w="441" w:type="pct"/>
            <w:tcBorders>
              <w:top w:val="nil"/>
              <w:left w:val="nil"/>
              <w:bottom w:val="single" w:sz="4" w:space="0" w:color="auto"/>
              <w:right w:val="nil"/>
            </w:tcBorders>
            <w:shd w:val="clear" w:color="000000" w:fill="D9D9D9"/>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100%</w:t>
            </w:r>
          </w:p>
        </w:tc>
        <w:tc>
          <w:tcPr>
            <w:tcW w:w="440" w:type="pct"/>
            <w:tcBorders>
              <w:top w:val="nil"/>
              <w:left w:val="single" w:sz="4" w:space="0" w:color="auto"/>
              <w:bottom w:val="single" w:sz="4" w:space="0" w:color="auto"/>
              <w:right w:val="nil"/>
            </w:tcBorders>
            <w:shd w:val="clear" w:color="000000" w:fill="D9D9D9"/>
            <w:noWrap/>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40</w:t>
            </w:r>
          </w:p>
        </w:tc>
        <w:tc>
          <w:tcPr>
            <w:tcW w:w="441" w:type="pct"/>
            <w:tcBorders>
              <w:top w:val="nil"/>
              <w:left w:val="nil"/>
              <w:bottom w:val="single" w:sz="4" w:space="0" w:color="auto"/>
              <w:right w:val="nil"/>
            </w:tcBorders>
            <w:shd w:val="clear" w:color="000000" w:fill="D9D9D9"/>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100%</w:t>
            </w:r>
          </w:p>
        </w:tc>
        <w:tc>
          <w:tcPr>
            <w:tcW w:w="440" w:type="pct"/>
            <w:tcBorders>
              <w:top w:val="nil"/>
              <w:left w:val="single" w:sz="4" w:space="0" w:color="auto"/>
              <w:bottom w:val="single" w:sz="4" w:space="0" w:color="auto"/>
              <w:right w:val="nil"/>
            </w:tcBorders>
            <w:shd w:val="clear" w:color="000000" w:fill="D9D9D9"/>
            <w:noWrap/>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12</w:t>
            </w:r>
          </w:p>
        </w:tc>
        <w:tc>
          <w:tcPr>
            <w:tcW w:w="440" w:type="pct"/>
            <w:tcBorders>
              <w:top w:val="nil"/>
              <w:left w:val="nil"/>
              <w:bottom w:val="single" w:sz="4" w:space="0" w:color="auto"/>
              <w:right w:val="single" w:sz="4" w:space="0" w:color="auto"/>
            </w:tcBorders>
            <w:shd w:val="clear" w:color="000000" w:fill="D9D9D9"/>
            <w:vAlign w:val="center"/>
            <w:hideMark/>
          </w:tcPr>
          <w:p w:rsidR="007952AA" w:rsidRPr="00684CB0" w:rsidRDefault="007952AA" w:rsidP="007952AA">
            <w:pPr>
              <w:spacing w:before="0" w:after="0" w:line="240" w:lineRule="auto"/>
              <w:jc w:val="right"/>
              <w:rPr>
                <w:rFonts w:ascii="Calibri" w:eastAsia="Times New Roman" w:hAnsi="Calibri" w:cs="Arial"/>
                <w:b/>
                <w:bCs/>
                <w:color w:val="000000"/>
                <w:sz w:val="18"/>
                <w:szCs w:val="18"/>
              </w:rPr>
            </w:pPr>
            <w:r w:rsidRPr="00684CB0">
              <w:rPr>
                <w:rFonts w:ascii="Calibri" w:eastAsia="Times New Roman" w:hAnsi="Calibri" w:cs="Arial"/>
                <w:b/>
                <w:bCs/>
                <w:color w:val="000000"/>
                <w:sz w:val="18"/>
                <w:szCs w:val="18"/>
              </w:rPr>
              <w:t>100%</w:t>
            </w:r>
          </w:p>
        </w:tc>
      </w:tr>
    </w:tbl>
    <w:p w:rsidR="007952AA" w:rsidRDefault="007952AA" w:rsidP="007952AA">
      <w:pPr>
        <w:spacing w:before="0" w:after="0"/>
        <w:jc w:val="both"/>
        <w:rPr>
          <w:b/>
        </w:rPr>
      </w:pPr>
    </w:p>
    <w:p w:rsidR="007952AA" w:rsidRPr="007952AA" w:rsidRDefault="007952AA" w:rsidP="007952AA">
      <w:pPr>
        <w:spacing w:before="0" w:after="0"/>
        <w:jc w:val="both"/>
      </w:pPr>
      <w:r w:rsidRPr="007952AA">
        <w:t>The majority of people who were diagnosed with HIV in 2014 were diagnosed at a Private Physician’s Office (32%) or and HIV counseling and testing site (29%). HIV Counseling and Testing Sites are located at community centers serving populations at high risk for HIV, and testing is conducted by local health department staff. This high proportion indicates the importance of these efforts in identifying individuals who are HIV-positive. Sixteen percent of persons were diagnosed at an inpatient facility/hospital, meaning they were admitted to a medical facility. This suggests they were fairly ill at the time of diagnosis and could have tested earlier.</w:t>
      </w:r>
    </w:p>
    <w:p w:rsidR="007952AA" w:rsidRDefault="007952AA" w:rsidP="007952AA">
      <w:pPr>
        <w:spacing w:before="0" w:after="0"/>
        <w:jc w:val="both"/>
        <w:rPr>
          <w:b/>
        </w:rPr>
      </w:pPr>
    </w:p>
    <w:p w:rsidR="007952AA" w:rsidRDefault="007952AA" w:rsidP="007952AA">
      <w:pPr>
        <w:spacing w:before="0" w:after="0"/>
        <w:jc w:val="both"/>
        <w:rPr>
          <w:b/>
        </w:rPr>
      </w:pPr>
      <w:r w:rsidRPr="00C569E1">
        <w:rPr>
          <w:b/>
        </w:rPr>
        <w:t>Facility of HIV Stage 3 (AIDS) Diagnosis, 2014</w:t>
      </w:r>
    </w:p>
    <w:tbl>
      <w:tblPr>
        <w:tblW w:w="5000" w:type="pct"/>
        <w:tblLook w:val="04A0" w:firstRow="1" w:lastRow="0" w:firstColumn="1" w:lastColumn="0" w:noHBand="0" w:noVBand="1"/>
      </w:tblPr>
      <w:tblGrid>
        <w:gridCol w:w="2754"/>
        <w:gridCol w:w="822"/>
        <w:gridCol w:w="825"/>
        <w:gridCol w:w="823"/>
        <w:gridCol w:w="825"/>
        <w:gridCol w:w="823"/>
        <w:gridCol w:w="825"/>
        <w:gridCol w:w="823"/>
        <w:gridCol w:w="830"/>
      </w:tblGrid>
      <w:tr w:rsidR="007952AA" w:rsidRPr="00CB0919" w:rsidTr="007952AA">
        <w:trPr>
          <w:trHeight w:val="20"/>
        </w:trPr>
        <w:tc>
          <w:tcPr>
            <w:tcW w:w="1473" w:type="pct"/>
            <w:vMerge w:val="restart"/>
            <w:tcBorders>
              <w:top w:val="single" w:sz="4" w:space="0" w:color="auto"/>
              <w:left w:val="single" w:sz="4" w:space="0" w:color="auto"/>
              <w:bottom w:val="single" w:sz="4" w:space="0" w:color="000000"/>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Facility Type</w:t>
            </w:r>
          </w:p>
        </w:tc>
        <w:tc>
          <w:tcPr>
            <w:tcW w:w="881" w:type="pct"/>
            <w:gridSpan w:val="2"/>
            <w:tcBorders>
              <w:top w:val="single" w:sz="4" w:space="0" w:color="auto"/>
              <w:left w:val="nil"/>
              <w:bottom w:val="nil"/>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Nevada</w:t>
            </w:r>
          </w:p>
        </w:tc>
        <w:tc>
          <w:tcPr>
            <w:tcW w:w="881" w:type="pct"/>
            <w:gridSpan w:val="2"/>
            <w:tcBorders>
              <w:top w:val="single" w:sz="4" w:space="0" w:color="auto"/>
              <w:left w:val="nil"/>
              <w:bottom w:val="nil"/>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Clark County</w:t>
            </w:r>
          </w:p>
        </w:tc>
        <w:tc>
          <w:tcPr>
            <w:tcW w:w="881" w:type="pct"/>
            <w:gridSpan w:val="2"/>
            <w:tcBorders>
              <w:top w:val="single" w:sz="4" w:space="0" w:color="auto"/>
              <w:left w:val="nil"/>
              <w:bottom w:val="nil"/>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Washoe County</w:t>
            </w:r>
          </w:p>
        </w:tc>
        <w:tc>
          <w:tcPr>
            <w:tcW w:w="883" w:type="pct"/>
            <w:gridSpan w:val="2"/>
            <w:tcBorders>
              <w:top w:val="single" w:sz="4" w:space="0" w:color="auto"/>
              <w:left w:val="nil"/>
              <w:bottom w:val="nil"/>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All Other Counties*</w:t>
            </w:r>
            <w:r>
              <w:rPr>
                <w:rFonts w:ascii="Calibri" w:eastAsia="Times New Roman" w:hAnsi="Calibri" w:cs="Arial"/>
                <w:b/>
                <w:bCs/>
                <w:color w:val="FFFFFF"/>
                <w:sz w:val="18"/>
                <w:szCs w:val="18"/>
              </w:rPr>
              <w:t>*</w:t>
            </w:r>
          </w:p>
        </w:tc>
      </w:tr>
      <w:tr w:rsidR="007952AA" w:rsidRPr="00CB0919" w:rsidTr="007952AA">
        <w:trPr>
          <w:trHeight w:val="20"/>
        </w:trPr>
        <w:tc>
          <w:tcPr>
            <w:tcW w:w="1473" w:type="pct"/>
            <w:vMerge/>
            <w:tcBorders>
              <w:top w:val="single" w:sz="4" w:space="0" w:color="auto"/>
              <w:left w:val="single" w:sz="4" w:space="0" w:color="auto"/>
              <w:bottom w:val="single" w:sz="4" w:space="0" w:color="000000"/>
              <w:right w:val="single" w:sz="4" w:space="0" w:color="auto"/>
            </w:tcBorders>
            <w:vAlign w:val="center"/>
            <w:hideMark/>
          </w:tcPr>
          <w:p w:rsidR="007952AA" w:rsidRPr="0022271D" w:rsidRDefault="007952AA" w:rsidP="007952AA">
            <w:pPr>
              <w:spacing w:before="0" w:after="0" w:line="240" w:lineRule="auto"/>
              <w:rPr>
                <w:rFonts w:ascii="Calibri" w:eastAsia="Times New Roman" w:hAnsi="Calibri" w:cs="Arial"/>
                <w:b/>
                <w:bCs/>
                <w:color w:val="FFFFFF"/>
                <w:sz w:val="18"/>
                <w:szCs w:val="18"/>
              </w:rPr>
            </w:pPr>
          </w:p>
        </w:tc>
        <w:tc>
          <w:tcPr>
            <w:tcW w:w="440" w:type="pct"/>
            <w:tcBorders>
              <w:top w:val="nil"/>
              <w:left w:val="nil"/>
              <w:bottom w:val="single" w:sz="4" w:space="0" w:color="auto"/>
              <w:right w:val="nil"/>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N</w:t>
            </w:r>
          </w:p>
        </w:tc>
        <w:tc>
          <w:tcPr>
            <w:tcW w:w="441" w:type="pct"/>
            <w:tcBorders>
              <w:top w:val="nil"/>
              <w:left w:val="nil"/>
              <w:bottom w:val="single" w:sz="4" w:space="0" w:color="auto"/>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w:t>
            </w:r>
          </w:p>
        </w:tc>
        <w:tc>
          <w:tcPr>
            <w:tcW w:w="440" w:type="pct"/>
            <w:tcBorders>
              <w:top w:val="nil"/>
              <w:left w:val="nil"/>
              <w:bottom w:val="single" w:sz="4" w:space="0" w:color="auto"/>
              <w:right w:val="nil"/>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n</w:t>
            </w:r>
          </w:p>
        </w:tc>
        <w:tc>
          <w:tcPr>
            <w:tcW w:w="441" w:type="pct"/>
            <w:tcBorders>
              <w:top w:val="nil"/>
              <w:left w:val="nil"/>
              <w:bottom w:val="single" w:sz="4" w:space="0" w:color="auto"/>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w:t>
            </w:r>
          </w:p>
        </w:tc>
        <w:tc>
          <w:tcPr>
            <w:tcW w:w="440" w:type="pct"/>
            <w:tcBorders>
              <w:top w:val="nil"/>
              <w:left w:val="nil"/>
              <w:bottom w:val="single" w:sz="4" w:space="0" w:color="auto"/>
              <w:right w:val="nil"/>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n</w:t>
            </w:r>
          </w:p>
        </w:tc>
        <w:tc>
          <w:tcPr>
            <w:tcW w:w="441" w:type="pct"/>
            <w:tcBorders>
              <w:top w:val="nil"/>
              <w:left w:val="nil"/>
              <w:bottom w:val="single" w:sz="4" w:space="0" w:color="auto"/>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w:t>
            </w:r>
          </w:p>
        </w:tc>
        <w:tc>
          <w:tcPr>
            <w:tcW w:w="440" w:type="pct"/>
            <w:tcBorders>
              <w:top w:val="nil"/>
              <w:left w:val="nil"/>
              <w:bottom w:val="single" w:sz="4" w:space="0" w:color="auto"/>
              <w:right w:val="nil"/>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n</w:t>
            </w:r>
          </w:p>
        </w:tc>
        <w:tc>
          <w:tcPr>
            <w:tcW w:w="443" w:type="pct"/>
            <w:tcBorders>
              <w:top w:val="nil"/>
              <w:left w:val="nil"/>
              <w:bottom w:val="single" w:sz="4" w:space="0" w:color="auto"/>
              <w:right w:val="single" w:sz="4" w:space="0" w:color="auto"/>
            </w:tcBorders>
            <w:shd w:val="clear" w:color="000000" w:fill="4F81BD"/>
            <w:vAlign w:val="center"/>
            <w:hideMark/>
          </w:tcPr>
          <w:p w:rsidR="007952AA" w:rsidRPr="0022271D" w:rsidRDefault="007952AA" w:rsidP="007952AA">
            <w:pPr>
              <w:spacing w:before="0" w:after="0" w:line="240" w:lineRule="auto"/>
              <w:jc w:val="center"/>
              <w:rPr>
                <w:rFonts w:ascii="Calibri" w:eastAsia="Times New Roman" w:hAnsi="Calibri" w:cs="Arial"/>
                <w:b/>
                <w:bCs/>
                <w:color w:val="FFFFFF"/>
                <w:sz w:val="18"/>
                <w:szCs w:val="18"/>
              </w:rPr>
            </w:pPr>
            <w:r w:rsidRPr="0022271D">
              <w:rPr>
                <w:rFonts w:ascii="Calibri" w:eastAsia="Times New Roman" w:hAnsi="Calibri" w:cs="Arial"/>
                <w:b/>
                <w:bCs/>
                <w:color w:val="FFFFFF"/>
                <w:sz w:val="18"/>
                <w:szCs w:val="18"/>
              </w:rPr>
              <w:t>%</w:t>
            </w:r>
          </w:p>
        </w:tc>
      </w:tr>
      <w:tr w:rsidR="007952AA" w:rsidRPr="00CB0919" w:rsidTr="007952AA">
        <w:trPr>
          <w:trHeight w:val="20"/>
        </w:trPr>
        <w:tc>
          <w:tcPr>
            <w:tcW w:w="1473" w:type="pct"/>
            <w:tcBorders>
              <w:top w:val="nil"/>
              <w:left w:val="single" w:sz="8" w:space="0" w:color="auto"/>
              <w:bottom w:val="single" w:sz="4" w:space="0" w:color="auto"/>
              <w:right w:val="single" w:sz="4" w:space="0" w:color="auto"/>
            </w:tcBorders>
            <w:shd w:val="clear" w:color="000000" w:fill="D9D9D9"/>
            <w:vAlign w:val="center"/>
            <w:hideMark/>
          </w:tcPr>
          <w:p w:rsidR="007952AA" w:rsidRPr="0022271D" w:rsidRDefault="007952AA" w:rsidP="007952AA">
            <w:pPr>
              <w:spacing w:before="0" w:after="0" w:line="240" w:lineRule="auto"/>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Facility of Diagnosis</w:t>
            </w:r>
          </w:p>
        </w:tc>
        <w:tc>
          <w:tcPr>
            <w:tcW w:w="440"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c>
          <w:tcPr>
            <w:tcW w:w="441" w:type="pct"/>
            <w:tcBorders>
              <w:top w:val="nil"/>
              <w:left w:val="nil"/>
              <w:bottom w:val="single" w:sz="4" w:space="0" w:color="auto"/>
              <w:right w:val="single" w:sz="4" w:space="0" w:color="auto"/>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c>
          <w:tcPr>
            <w:tcW w:w="440"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c>
          <w:tcPr>
            <w:tcW w:w="441" w:type="pct"/>
            <w:tcBorders>
              <w:top w:val="nil"/>
              <w:left w:val="nil"/>
              <w:bottom w:val="single" w:sz="4" w:space="0" w:color="auto"/>
              <w:right w:val="single" w:sz="4" w:space="0" w:color="auto"/>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c>
          <w:tcPr>
            <w:tcW w:w="440"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c>
          <w:tcPr>
            <w:tcW w:w="441" w:type="pct"/>
            <w:tcBorders>
              <w:top w:val="nil"/>
              <w:left w:val="nil"/>
              <w:bottom w:val="single" w:sz="4" w:space="0" w:color="auto"/>
              <w:right w:val="single" w:sz="4" w:space="0" w:color="auto"/>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c>
          <w:tcPr>
            <w:tcW w:w="440"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c>
          <w:tcPr>
            <w:tcW w:w="443"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center"/>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 </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HIV Counseling and Testing Site</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48</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22%</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48</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26%</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Private Physician's Office</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42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39</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21%</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10%</w:t>
            </w:r>
          </w:p>
        </w:tc>
      </w:tr>
      <w:tr w:rsidR="007952AA" w:rsidRPr="00CB0919" w:rsidTr="007952AA">
        <w:trPr>
          <w:trHeight w:val="20"/>
        </w:trPr>
        <w:tc>
          <w:tcPr>
            <w:tcW w:w="1473" w:type="pct"/>
            <w:tcBorders>
              <w:top w:val="nil"/>
              <w:left w:val="single" w:sz="4" w:space="0" w:color="auto"/>
              <w:bottom w:val="single" w:sz="4" w:space="0" w:color="auto"/>
              <w:right w:val="nil"/>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Inpatient Facility/Hospital</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86</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40%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71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39%</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52%</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4</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40%</w:t>
            </w:r>
          </w:p>
        </w:tc>
      </w:tr>
      <w:tr w:rsidR="007952AA" w:rsidRPr="00CB0919" w:rsidTr="007952AA">
        <w:trPr>
          <w:trHeight w:val="20"/>
        </w:trPr>
        <w:tc>
          <w:tcPr>
            <w:tcW w:w="1473" w:type="pct"/>
            <w:tcBorders>
              <w:top w:val="nil"/>
              <w:left w:val="single" w:sz="4" w:space="0" w:color="auto"/>
              <w:bottom w:val="single" w:sz="4" w:space="0" w:color="auto"/>
              <w:right w:val="nil"/>
            </w:tcBorders>
            <w:shd w:val="clear" w:color="auto" w:fill="auto"/>
            <w:noWrap/>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Outpatient Facility (unspecified)</w:t>
            </w:r>
          </w:p>
        </w:tc>
        <w:tc>
          <w:tcPr>
            <w:tcW w:w="440" w:type="pct"/>
            <w:tcBorders>
              <w:top w:val="nil"/>
              <w:left w:val="single" w:sz="4" w:space="0" w:color="auto"/>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noWrap/>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noWrap/>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noWrap/>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Adult HIV Clinic</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27</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13%</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11%</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6</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29%</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Correctional Facility</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7</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3%</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5</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3%</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5%</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STD Clinic</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Blood Bank or Plasma Center</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Emergency Room</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Tuberculosis Clinic</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Obstetrics and Gynecology Clinic</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0%</w:t>
            </w:r>
          </w:p>
        </w:tc>
      </w:tr>
      <w:tr w:rsidR="007952AA" w:rsidRPr="00CB0919" w:rsidTr="007952AA">
        <w:trPr>
          <w:trHeight w:val="2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7952AA" w:rsidRPr="0022271D" w:rsidRDefault="007952AA" w:rsidP="007952AA">
            <w:pPr>
              <w:spacing w:before="0" w:after="0" w:line="240" w:lineRule="auto"/>
              <w:rPr>
                <w:rFonts w:ascii="Calibri" w:eastAsia="Times New Roman" w:hAnsi="Calibri" w:cs="Arial"/>
                <w:color w:val="000000"/>
                <w:sz w:val="18"/>
                <w:szCs w:val="18"/>
              </w:rPr>
            </w:pPr>
            <w:r w:rsidRPr="0022271D">
              <w:rPr>
                <w:rFonts w:ascii="Calibri" w:eastAsia="Times New Roman" w:hAnsi="Calibri" w:cs="Arial"/>
                <w:color w:val="000000"/>
                <w:sz w:val="18"/>
                <w:szCs w:val="18"/>
              </w:rPr>
              <w:t>Facility/Other/Unknown</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4</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1</w:t>
            </w:r>
          </w:p>
        </w:tc>
        <w:tc>
          <w:tcPr>
            <w:tcW w:w="441"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5%</w:t>
            </w:r>
          </w:p>
        </w:tc>
        <w:tc>
          <w:tcPr>
            <w:tcW w:w="440" w:type="pct"/>
            <w:tcBorders>
              <w:top w:val="nil"/>
              <w:left w:val="nil"/>
              <w:bottom w:val="single" w:sz="4" w:space="0" w:color="auto"/>
              <w:right w:val="nil"/>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w:t>
            </w:r>
          </w:p>
        </w:tc>
        <w:tc>
          <w:tcPr>
            <w:tcW w:w="443" w:type="pct"/>
            <w:tcBorders>
              <w:top w:val="nil"/>
              <w:left w:val="nil"/>
              <w:bottom w:val="single" w:sz="4" w:space="0" w:color="auto"/>
              <w:right w:val="single" w:sz="4" w:space="0" w:color="auto"/>
            </w:tcBorders>
            <w:shd w:val="clear" w:color="000000" w:fill="FFFFFF"/>
            <w:vAlign w:val="center"/>
            <w:hideMark/>
          </w:tcPr>
          <w:p w:rsidR="007952AA" w:rsidRPr="0022271D" w:rsidRDefault="007952AA" w:rsidP="007952AA">
            <w:pPr>
              <w:spacing w:before="0" w:after="0" w:line="240" w:lineRule="auto"/>
              <w:jc w:val="right"/>
              <w:rPr>
                <w:rFonts w:ascii="Calibri" w:eastAsia="Times New Roman" w:hAnsi="Calibri" w:cs="Arial"/>
                <w:color w:val="000000"/>
                <w:sz w:val="18"/>
                <w:szCs w:val="18"/>
              </w:rPr>
            </w:pPr>
            <w:r w:rsidRPr="0022271D">
              <w:rPr>
                <w:rFonts w:ascii="Calibri" w:eastAsia="Times New Roman" w:hAnsi="Calibri" w:cs="Arial"/>
                <w:color w:val="000000"/>
                <w:sz w:val="18"/>
                <w:szCs w:val="18"/>
              </w:rPr>
              <w:t>20%</w:t>
            </w:r>
          </w:p>
        </w:tc>
      </w:tr>
      <w:tr w:rsidR="007952AA" w:rsidRPr="00CB0919" w:rsidTr="007952AA">
        <w:trPr>
          <w:trHeight w:val="20"/>
        </w:trPr>
        <w:tc>
          <w:tcPr>
            <w:tcW w:w="1473" w:type="pct"/>
            <w:tcBorders>
              <w:top w:val="nil"/>
              <w:left w:val="single" w:sz="4" w:space="0" w:color="auto"/>
              <w:bottom w:val="single" w:sz="4" w:space="0" w:color="auto"/>
              <w:right w:val="nil"/>
            </w:tcBorders>
            <w:shd w:val="clear" w:color="000000" w:fill="D9D9D9"/>
            <w:noWrap/>
            <w:vAlign w:val="center"/>
            <w:hideMark/>
          </w:tcPr>
          <w:p w:rsidR="007952AA" w:rsidRPr="0022271D" w:rsidRDefault="007952AA" w:rsidP="007952AA">
            <w:pPr>
              <w:spacing w:before="0" w:after="0" w:line="240" w:lineRule="auto"/>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Total</w:t>
            </w:r>
          </w:p>
        </w:tc>
        <w:tc>
          <w:tcPr>
            <w:tcW w:w="440" w:type="pct"/>
            <w:tcBorders>
              <w:top w:val="nil"/>
              <w:left w:val="single" w:sz="4" w:space="0" w:color="auto"/>
              <w:bottom w:val="single" w:sz="4" w:space="0" w:color="auto"/>
              <w:right w:val="nil"/>
            </w:tcBorders>
            <w:shd w:val="clear" w:color="000000" w:fill="D9D9D9"/>
            <w:noWrap/>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215</w:t>
            </w:r>
          </w:p>
        </w:tc>
        <w:tc>
          <w:tcPr>
            <w:tcW w:w="441"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100%</w:t>
            </w:r>
          </w:p>
        </w:tc>
        <w:tc>
          <w:tcPr>
            <w:tcW w:w="440" w:type="pct"/>
            <w:tcBorders>
              <w:top w:val="nil"/>
              <w:left w:val="single" w:sz="4" w:space="0" w:color="auto"/>
              <w:bottom w:val="single" w:sz="4" w:space="0" w:color="auto"/>
              <w:right w:val="nil"/>
            </w:tcBorders>
            <w:shd w:val="clear" w:color="000000" w:fill="D9D9D9"/>
            <w:noWrap/>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184</w:t>
            </w:r>
          </w:p>
        </w:tc>
        <w:tc>
          <w:tcPr>
            <w:tcW w:w="441"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100%</w:t>
            </w:r>
          </w:p>
        </w:tc>
        <w:tc>
          <w:tcPr>
            <w:tcW w:w="440" w:type="pct"/>
            <w:tcBorders>
              <w:top w:val="nil"/>
              <w:left w:val="single" w:sz="4" w:space="0" w:color="auto"/>
              <w:bottom w:val="single" w:sz="4" w:space="0" w:color="auto"/>
              <w:right w:val="nil"/>
            </w:tcBorders>
            <w:shd w:val="clear" w:color="000000" w:fill="D9D9D9"/>
            <w:noWrap/>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21</w:t>
            </w:r>
          </w:p>
        </w:tc>
        <w:tc>
          <w:tcPr>
            <w:tcW w:w="441" w:type="pct"/>
            <w:tcBorders>
              <w:top w:val="nil"/>
              <w:left w:val="nil"/>
              <w:bottom w:val="single" w:sz="4" w:space="0" w:color="auto"/>
              <w:right w:val="nil"/>
            </w:tcBorders>
            <w:shd w:val="clear" w:color="000000" w:fill="D9D9D9"/>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100%</w:t>
            </w:r>
          </w:p>
        </w:tc>
        <w:tc>
          <w:tcPr>
            <w:tcW w:w="440" w:type="pct"/>
            <w:tcBorders>
              <w:top w:val="nil"/>
              <w:left w:val="single" w:sz="4" w:space="0" w:color="auto"/>
              <w:bottom w:val="single" w:sz="4" w:space="0" w:color="auto"/>
              <w:right w:val="nil"/>
            </w:tcBorders>
            <w:shd w:val="clear" w:color="000000" w:fill="D9D9D9"/>
            <w:noWrap/>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10</w:t>
            </w:r>
          </w:p>
        </w:tc>
        <w:tc>
          <w:tcPr>
            <w:tcW w:w="443" w:type="pct"/>
            <w:tcBorders>
              <w:top w:val="nil"/>
              <w:left w:val="nil"/>
              <w:bottom w:val="single" w:sz="4" w:space="0" w:color="auto"/>
              <w:right w:val="single" w:sz="4" w:space="0" w:color="auto"/>
            </w:tcBorders>
            <w:shd w:val="clear" w:color="000000" w:fill="D9D9D9"/>
            <w:vAlign w:val="center"/>
            <w:hideMark/>
          </w:tcPr>
          <w:p w:rsidR="007952AA" w:rsidRPr="0022271D" w:rsidRDefault="007952AA" w:rsidP="007952AA">
            <w:pPr>
              <w:spacing w:before="0" w:after="0" w:line="240" w:lineRule="auto"/>
              <w:jc w:val="right"/>
              <w:rPr>
                <w:rFonts w:ascii="Calibri" w:eastAsia="Times New Roman" w:hAnsi="Calibri" w:cs="Arial"/>
                <w:b/>
                <w:bCs/>
                <w:color w:val="000000"/>
                <w:sz w:val="18"/>
                <w:szCs w:val="18"/>
              </w:rPr>
            </w:pPr>
            <w:r w:rsidRPr="0022271D">
              <w:rPr>
                <w:rFonts w:ascii="Calibri" w:eastAsia="Times New Roman" w:hAnsi="Calibri" w:cs="Arial"/>
                <w:b/>
                <w:bCs/>
                <w:color w:val="000000"/>
                <w:sz w:val="18"/>
                <w:szCs w:val="18"/>
              </w:rPr>
              <w:t>100%</w:t>
            </w:r>
          </w:p>
        </w:tc>
      </w:tr>
      <w:tr w:rsidR="007952AA" w:rsidRPr="00CB0919" w:rsidTr="007952AA">
        <w:trPr>
          <w:trHeight w:val="20"/>
        </w:trPr>
        <w:tc>
          <w:tcPr>
            <w:tcW w:w="5000" w:type="pct"/>
            <w:gridSpan w:val="9"/>
            <w:tcBorders>
              <w:top w:val="single" w:sz="4" w:space="0" w:color="auto"/>
              <w:left w:val="nil"/>
              <w:bottom w:val="nil"/>
              <w:right w:val="nil"/>
            </w:tcBorders>
            <w:shd w:val="clear" w:color="000000" w:fill="FFFFFF"/>
            <w:vAlign w:val="bottom"/>
            <w:hideMark/>
          </w:tcPr>
          <w:p w:rsidR="007952AA" w:rsidRPr="00CB0919" w:rsidRDefault="007952AA" w:rsidP="007952AA">
            <w:pPr>
              <w:spacing w:before="0" w:after="0" w:line="240" w:lineRule="auto"/>
              <w:rPr>
                <w:rFonts w:ascii="Calibri" w:eastAsia="Times New Roman" w:hAnsi="Calibri" w:cs="Arial"/>
                <w:i/>
                <w:iCs/>
                <w:color w:val="000000"/>
                <w:sz w:val="16"/>
                <w:szCs w:val="16"/>
              </w:rPr>
            </w:pPr>
            <w:r w:rsidRPr="00CB0919">
              <w:rPr>
                <w:rFonts w:ascii="Calibri" w:eastAsia="Times New Roman" w:hAnsi="Calibri" w:cs="Arial"/>
                <w:i/>
                <w:iCs/>
                <w:color w:val="000000"/>
                <w:sz w:val="16"/>
                <w:szCs w:val="16"/>
              </w:rPr>
              <w:t xml:space="preserve">Source: Nevada State Health Division HIV/AIDS Reporting System (eHARS), (March 2016) </w:t>
            </w:r>
          </w:p>
        </w:tc>
      </w:tr>
      <w:tr w:rsidR="007952AA" w:rsidRPr="00CB0919" w:rsidTr="007952AA">
        <w:trPr>
          <w:trHeight w:val="20"/>
        </w:trPr>
        <w:tc>
          <w:tcPr>
            <w:tcW w:w="5000" w:type="pct"/>
            <w:gridSpan w:val="9"/>
            <w:tcBorders>
              <w:top w:val="nil"/>
              <w:left w:val="nil"/>
              <w:bottom w:val="nil"/>
              <w:right w:val="nil"/>
            </w:tcBorders>
            <w:shd w:val="clear" w:color="000000" w:fill="FFFFFF"/>
            <w:vAlign w:val="bottom"/>
            <w:hideMark/>
          </w:tcPr>
          <w:p w:rsidR="007952AA" w:rsidRDefault="007952AA" w:rsidP="007952AA">
            <w:pPr>
              <w:spacing w:before="0" w:after="0" w:line="240" w:lineRule="auto"/>
              <w:rPr>
                <w:rFonts w:ascii="Calibri" w:eastAsia="Times New Roman" w:hAnsi="Calibri" w:cs="Arial"/>
                <w:i/>
                <w:iCs/>
                <w:color w:val="000000"/>
                <w:sz w:val="16"/>
                <w:szCs w:val="16"/>
              </w:rPr>
            </w:pPr>
            <w:r w:rsidRPr="00CB0919">
              <w:rPr>
                <w:rFonts w:ascii="Calibri" w:eastAsia="Times New Roman" w:hAnsi="Calibri" w:cs="Arial"/>
                <w:i/>
                <w:iCs/>
                <w:color w:val="000000"/>
                <w:sz w:val="16"/>
                <w:szCs w:val="16"/>
              </w:rPr>
              <w:t xml:space="preserve">New HIV Diagnoses are counted in eHARS surveillance statistics and include HIV cases diagnosed in Nevada, both living and deceased. The surveillance data excludes HIV cases diagnosed in other states, but who currently live in Nevada.  HIV Diagnoses may duplicate case counts if the person was diagnosed with both HIV and HIV stage 3 (AIDS) in 2014. </w:t>
            </w:r>
          </w:p>
          <w:p w:rsidR="007952AA" w:rsidRPr="00CB0919" w:rsidRDefault="007952AA" w:rsidP="007952AA">
            <w:pPr>
              <w:spacing w:before="0" w:after="0" w:line="240" w:lineRule="auto"/>
              <w:rPr>
                <w:rFonts w:ascii="Calibri" w:eastAsia="Times New Roman" w:hAnsi="Calibri" w:cs="Arial"/>
                <w:i/>
                <w:iCs/>
                <w:color w:val="000000"/>
                <w:sz w:val="16"/>
                <w:szCs w:val="16"/>
              </w:rPr>
            </w:pPr>
          </w:p>
        </w:tc>
      </w:tr>
    </w:tbl>
    <w:p w:rsidR="007952AA" w:rsidRDefault="007952AA" w:rsidP="007952AA">
      <w:pPr>
        <w:spacing w:before="0" w:after="0"/>
        <w:jc w:val="both"/>
        <w:rPr>
          <w:sz w:val="22"/>
          <w:szCs w:val="22"/>
        </w:rPr>
      </w:pPr>
      <w:r w:rsidRPr="007952AA">
        <w:t>The majority of people who were diagnosed with HIV stage 3 (AIDS) in 2014 were diagnosed at an inpatient facility/hospital (40%) or an HIV counseling and testing site (22%), which raises several concerns. Being diagnosed with HIV stage 3 (AIDS) at an inpatient facility/hospital suggests that the individual was either diagnosed with HIV late during the course of the infection or was not receiving routine care and became very ill.  </w:t>
      </w:r>
      <w:r w:rsidRPr="007952AA">
        <w:rPr>
          <w:sz w:val="22"/>
          <w:szCs w:val="22"/>
        </w:rPr>
        <w:br w:type="page"/>
      </w:r>
    </w:p>
    <w:p w:rsidR="007952AA" w:rsidRPr="007952AA" w:rsidRDefault="007952AA" w:rsidP="007952AA">
      <w:pPr>
        <w:spacing w:before="0" w:after="120"/>
        <w:jc w:val="both"/>
        <w:rPr>
          <w:b/>
          <w:sz w:val="22"/>
          <w:szCs w:val="22"/>
        </w:rPr>
      </w:pPr>
      <w:r w:rsidRPr="007952AA">
        <w:rPr>
          <w:b/>
          <w:sz w:val="22"/>
          <w:szCs w:val="22"/>
        </w:rPr>
        <w:lastRenderedPageBreak/>
        <w:t>Time from HIV Infection to AIDS Diagnosis</w:t>
      </w:r>
    </w:p>
    <w:p w:rsidR="007952AA" w:rsidRPr="007952AA" w:rsidRDefault="007952AA" w:rsidP="005D2B0D">
      <w:pPr>
        <w:spacing w:before="0" w:after="0" w:line="240" w:lineRule="auto"/>
        <w:jc w:val="both"/>
        <w:rPr>
          <w:b/>
          <w:sz w:val="24"/>
          <w:szCs w:val="22"/>
        </w:rPr>
      </w:pPr>
      <w:r w:rsidRPr="007952AA">
        <w:rPr>
          <w:b/>
        </w:rPr>
        <w:t>HIV Stage 3 (AIDS) diagnosis within 12 Months of HIV diagnosis among Persons Diagnosed with HIV Diagnoses in Nevada, 2010 vs. 2014*</w:t>
      </w:r>
    </w:p>
    <w:tbl>
      <w:tblPr>
        <w:tblW w:w="5044" w:type="pct"/>
        <w:tblLook w:val="04A0" w:firstRow="1" w:lastRow="0" w:firstColumn="1" w:lastColumn="0" w:noHBand="0" w:noVBand="1"/>
      </w:tblPr>
      <w:tblGrid>
        <w:gridCol w:w="2048"/>
        <w:gridCol w:w="253"/>
        <w:gridCol w:w="924"/>
        <w:gridCol w:w="924"/>
        <w:gridCol w:w="926"/>
        <w:gridCol w:w="253"/>
        <w:gridCol w:w="924"/>
        <w:gridCol w:w="924"/>
        <w:gridCol w:w="926"/>
        <w:gridCol w:w="253"/>
        <w:gridCol w:w="1077"/>
      </w:tblGrid>
      <w:tr w:rsidR="007952AA" w:rsidRPr="00BB2B2A" w:rsidTr="009B1A79">
        <w:trPr>
          <w:trHeight w:val="20"/>
        </w:trPr>
        <w:tc>
          <w:tcPr>
            <w:tcW w:w="1085" w:type="pct"/>
            <w:vMerge w:val="restart"/>
            <w:tcBorders>
              <w:top w:val="single" w:sz="4" w:space="0" w:color="auto"/>
              <w:left w:val="single" w:sz="4" w:space="0" w:color="auto"/>
              <w:bottom w:val="single" w:sz="4" w:space="0" w:color="000000"/>
              <w:right w:val="nil"/>
            </w:tcBorders>
            <w:shd w:val="clear" w:color="000000" w:fill="DCE6F1"/>
            <w:vAlign w:val="bottom"/>
            <w:hideMark/>
          </w:tcPr>
          <w:p w:rsidR="007952AA" w:rsidRPr="00BB2B2A" w:rsidRDefault="007952AA" w:rsidP="007952AA">
            <w:pPr>
              <w:spacing w:before="0" w:after="0" w:line="240" w:lineRule="auto"/>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134" w:type="pct"/>
            <w:tcBorders>
              <w:top w:val="single" w:sz="4" w:space="0" w:color="auto"/>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1471" w:type="pct"/>
            <w:gridSpan w:val="3"/>
            <w:tcBorders>
              <w:top w:val="single" w:sz="4" w:space="0" w:color="auto"/>
              <w:left w:val="nil"/>
              <w:bottom w:val="single" w:sz="4" w:space="0" w:color="auto"/>
              <w:right w:val="single" w:sz="4" w:space="0" w:color="000000"/>
            </w:tcBorders>
            <w:shd w:val="clear" w:color="000000" w:fill="808080"/>
            <w:noWrap/>
            <w:vAlign w:val="center"/>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2010</w:t>
            </w:r>
          </w:p>
        </w:tc>
        <w:tc>
          <w:tcPr>
            <w:tcW w:w="134" w:type="pct"/>
            <w:tcBorders>
              <w:top w:val="single" w:sz="4" w:space="0" w:color="auto"/>
              <w:left w:val="nil"/>
              <w:bottom w:val="nil"/>
              <w:right w:val="single" w:sz="4" w:space="0" w:color="auto"/>
            </w:tcBorders>
            <w:shd w:val="clear" w:color="000000" w:fill="D9D9D9"/>
            <w:noWrap/>
            <w:vAlign w:val="center"/>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1471" w:type="pct"/>
            <w:gridSpan w:val="3"/>
            <w:tcBorders>
              <w:top w:val="single" w:sz="4" w:space="0" w:color="auto"/>
              <w:left w:val="nil"/>
              <w:bottom w:val="single" w:sz="4" w:space="0" w:color="auto"/>
              <w:right w:val="single" w:sz="4" w:space="0" w:color="000000"/>
            </w:tcBorders>
            <w:shd w:val="clear" w:color="000000" w:fill="4F81BD"/>
            <w:noWrap/>
            <w:vAlign w:val="center"/>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2014</w:t>
            </w:r>
          </w:p>
        </w:tc>
        <w:tc>
          <w:tcPr>
            <w:tcW w:w="134" w:type="pct"/>
            <w:tcBorders>
              <w:top w:val="single" w:sz="4" w:space="0" w:color="auto"/>
              <w:left w:val="nil"/>
              <w:bottom w:val="nil"/>
              <w:right w:val="single" w:sz="4" w:space="0" w:color="auto"/>
            </w:tcBorders>
            <w:shd w:val="clear" w:color="000000" w:fill="D9D9D9"/>
            <w:noWrap/>
            <w:vAlign w:val="center"/>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572" w:type="pct"/>
            <w:vMerge w:val="restart"/>
            <w:tcBorders>
              <w:top w:val="single" w:sz="4" w:space="0" w:color="auto"/>
              <w:left w:val="single" w:sz="4" w:space="0" w:color="auto"/>
              <w:bottom w:val="single" w:sz="4" w:space="0" w:color="000000"/>
              <w:right w:val="single" w:sz="4" w:space="0" w:color="auto"/>
            </w:tcBorders>
            <w:shd w:val="clear" w:color="000000" w:fill="C0504D"/>
            <w:vAlign w:val="center"/>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Difference in proportion diagnosed              &lt; 12 months*</w:t>
            </w:r>
          </w:p>
        </w:tc>
      </w:tr>
      <w:tr w:rsidR="007952AA" w:rsidRPr="00BB2B2A" w:rsidTr="009B1A79">
        <w:trPr>
          <w:trHeight w:val="20"/>
        </w:trPr>
        <w:tc>
          <w:tcPr>
            <w:tcW w:w="1085" w:type="pct"/>
            <w:vMerge/>
            <w:tcBorders>
              <w:top w:val="single" w:sz="4" w:space="0" w:color="auto"/>
              <w:left w:val="single" w:sz="4" w:space="0" w:color="auto"/>
              <w:bottom w:val="single" w:sz="4" w:space="0" w:color="000000"/>
              <w:right w:val="nil"/>
            </w:tcBorders>
            <w:vAlign w:val="center"/>
            <w:hideMark/>
          </w:tcPr>
          <w:p w:rsidR="007952AA" w:rsidRPr="00BB2B2A" w:rsidRDefault="007952AA" w:rsidP="007952AA">
            <w:pPr>
              <w:spacing w:before="0" w:after="0" w:line="240" w:lineRule="auto"/>
              <w:rPr>
                <w:rFonts w:ascii="Calibri" w:eastAsia="Times New Roman" w:hAnsi="Calibri" w:cs="Arial"/>
                <w:b/>
                <w:bCs/>
                <w:color w:val="FFFFFF"/>
                <w:sz w:val="16"/>
                <w:szCs w:val="16"/>
              </w:rPr>
            </w:pPr>
          </w:p>
        </w:tc>
        <w:tc>
          <w:tcPr>
            <w:tcW w:w="134" w:type="pct"/>
            <w:tcBorders>
              <w:top w:val="nil"/>
              <w:left w:val="single" w:sz="4" w:space="0" w:color="auto"/>
              <w:bottom w:val="nil"/>
              <w:right w:val="single" w:sz="4" w:space="0" w:color="auto"/>
            </w:tcBorders>
            <w:shd w:val="clear" w:color="000000" w:fill="D9D9D9"/>
            <w:noWrap/>
            <w:vAlign w:val="bottom"/>
            <w:hideMark/>
          </w:tcPr>
          <w:p w:rsidR="007952AA" w:rsidRPr="00BB2B2A" w:rsidRDefault="007952AA" w:rsidP="007952AA">
            <w:pPr>
              <w:spacing w:before="0" w:after="0" w:line="240" w:lineRule="auto"/>
              <w:rPr>
                <w:rFonts w:ascii="Calibri" w:eastAsia="Times New Roman" w:hAnsi="Calibri" w:cs="Arial"/>
                <w:color w:val="FFFFFF"/>
                <w:sz w:val="16"/>
                <w:szCs w:val="16"/>
              </w:rPr>
            </w:pPr>
            <w:r w:rsidRPr="00BB2B2A">
              <w:rPr>
                <w:rFonts w:ascii="Calibri" w:eastAsia="Times New Roman" w:hAnsi="Calibri" w:cs="Arial"/>
                <w:color w:val="FFFFFF"/>
                <w:sz w:val="16"/>
                <w:szCs w:val="16"/>
              </w:rPr>
              <w:t> </w:t>
            </w:r>
          </w:p>
        </w:tc>
        <w:tc>
          <w:tcPr>
            <w:tcW w:w="490" w:type="pct"/>
            <w:tcBorders>
              <w:top w:val="nil"/>
              <w:left w:val="nil"/>
              <w:bottom w:val="nil"/>
              <w:right w:val="nil"/>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HIV Stage 3 (AIDS) Diagnosis   &lt;12 months</w:t>
            </w:r>
          </w:p>
        </w:tc>
        <w:tc>
          <w:tcPr>
            <w:tcW w:w="490" w:type="pct"/>
            <w:tcBorders>
              <w:top w:val="nil"/>
              <w:left w:val="single" w:sz="4" w:space="0" w:color="auto"/>
              <w:bottom w:val="nil"/>
              <w:right w:val="single" w:sz="4" w:space="0" w:color="auto"/>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Total HIV Diagnoses</w:t>
            </w:r>
          </w:p>
        </w:tc>
        <w:tc>
          <w:tcPr>
            <w:tcW w:w="491" w:type="pct"/>
            <w:tcBorders>
              <w:top w:val="nil"/>
              <w:left w:val="nil"/>
              <w:bottom w:val="nil"/>
              <w:right w:val="single" w:sz="4" w:space="0" w:color="000000"/>
            </w:tcBorders>
            <w:shd w:val="clear" w:color="000000" w:fill="0F243E"/>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of Total Diagnoses</w:t>
            </w:r>
          </w:p>
        </w:tc>
        <w:tc>
          <w:tcPr>
            <w:tcW w:w="134" w:type="pct"/>
            <w:tcBorders>
              <w:top w:val="nil"/>
              <w:left w:val="nil"/>
              <w:bottom w:val="nil"/>
              <w:right w:val="single" w:sz="4" w:space="0" w:color="auto"/>
            </w:tcBorders>
            <w:shd w:val="clear" w:color="000000" w:fill="D9D9D9"/>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490" w:type="pct"/>
            <w:tcBorders>
              <w:top w:val="nil"/>
              <w:left w:val="nil"/>
              <w:bottom w:val="nil"/>
              <w:right w:val="nil"/>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HIV Stage 3 (AIDS)   &lt;12 months</w:t>
            </w:r>
          </w:p>
        </w:tc>
        <w:tc>
          <w:tcPr>
            <w:tcW w:w="490" w:type="pct"/>
            <w:tcBorders>
              <w:top w:val="nil"/>
              <w:left w:val="single" w:sz="4" w:space="0" w:color="auto"/>
              <w:bottom w:val="nil"/>
              <w:right w:val="single" w:sz="4" w:space="0" w:color="auto"/>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Total HIV Diagnoses</w:t>
            </w:r>
          </w:p>
        </w:tc>
        <w:tc>
          <w:tcPr>
            <w:tcW w:w="491" w:type="pct"/>
            <w:tcBorders>
              <w:top w:val="nil"/>
              <w:left w:val="nil"/>
              <w:bottom w:val="nil"/>
              <w:right w:val="single" w:sz="4" w:space="0" w:color="000000"/>
            </w:tcBorders>
            <w:shd w:val="clear" w:color="000000" w:fill="0F243E"/>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of Total Diagnoses</w:t>
            </w:r>
          </w:p>
        </w:tc>
        <w:tc>
          <w:tcPr>
            <w:tcW w:w="134" w:type="pct"/>
            <w:tcBorders>
              <w:top w:val="nil"/>
              <w:left w:val="nil"/>
              <w:bottom w:val="nil"/>
              <w:right w:val="single" w:sz="4" w:space="0" w:color="auto"/>
            </w:tcBorders>
            <w:shd w:val="clear" w:color="000000" w:fill="D9D9D9"/>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572" w:type="pct"/>
            <w:vMerge/>
            <w:tcBorders>
              <w:top w:val="single" w:sz="4" w:space="0" w:color="auto"/>
              <w:left w:val="single" w:sz="4" w:space="0" w:color="auto"/>
              <w:bottom w:val="single" w:sz="4" w:space="0" w:color="000000"/>
              <w:right w:val="single" w:sz="4" w:space="0" w:color="auto"/>
            </w:tcBorders>
            <w:vAlign w:val="center"/>
            <w:hideMark/>
          </w:tcPr>
          <w:p w:rsidR="007952AA" w:rsidRPr="00BB2B2A" w:rsidRDefault="007952AA" w:rsidP="007952AA">
            <w:pPr>
              <w:spacing w:before="0" w:after="0" w:line="240" w:lineRule="auto"/>
              <w:rPr>
                <w:rFonts w:ascii="Calibri" w:eastAsia="Times New Roman" w:hAnsi="Calibri" w:cs="Arial"/>
                <w:b/>
                <w:bCs/>
                <w:color w:val="FFFFFF"/>
                <w:sz w:val="16"/>
                <w:szCs w:val="16"/>
              </w:rPr>
            </w:pPr>
          </w:p>
        </w:tc>
      </w:tr>
      <w:tr w:rsidR="007952AA" w:rsidRPr="00BB2B2A" w:rsidTr="009B1A79">
        <w:trPr>
          <w:trHeight w:val="20"/>
        </w:trPr>
        <w:tc>
          <w:tcPr>
            <w:tcW w:w="1085" w:type="pct"/>
            <w:vMerge/>
            <w:tcBorders>
              <w:top w:val="single" w:sz="4" w:space="0" w:color="auto"/>
              <w:left w:val="single" w:sz="4" w:space="0" w:color="auto"/>
              <w:bottom w:val="single" w:sz="4" w:space="0" w:color="000000"/>
              <w:right w:val="nil"/>
            </w:tcBorders>
            <w:vAlign w:val="center"/>
            <w:hideMark/>
          </w:tcPr>
          <w:p w:rsidR="007952AA" w:rsidRPr="00BB2B2A" w:rsidRDefault="007952AA" w:rsidP="007952AA">
            <w:pPr>
              <w:spacing w:before="0" w:after="0" w:line="240" w:lineRule="auto"/>
              <w:rPr>
                <w:rFonts w:ascii="Calibri" w:eastAsia="Times New Roman" w:hAnsi="Calibri" w:cs="Arial"/>
                <w:b/>
                <w:bCs/>
                <w:color w:val="FFFFFF"/>
                <w:sz w:val="16"/>
                <w:szCs w:val="16"/>
              </w:rPr>
            </w:pPr>
          </w:p>
        </w:tc>
        <w:tc>
          <w:tcPr>
            <w:tcW w:w="134" w:type="pct"/>
            <w:tcBorders>
              <w:top w:val="nil"/>
              <w:left w:val="single" w:sz="4" w:space="0" w:color="auto"/>
              <w:bottom w:val="nil"/>
              <w:right w:val="single" w:sz="4" w:space="0" w:color="auto"/>
            </w:tcBorders>
            <w:shd w:val="clear" w:color="000000" w:fill="D9D9D9"/>
            <w:noWrap/>
            <w:vAlign w:val="bottom"/>
            <w:hideMark/>
          </w:tcPr>
          <w:p w:rsidR="007952AA" w:rsidRPr="00BB2B2A" w:rsidRDefault="007952AA" w:rsidP="007952AA">
            <w:pPr>
              <w:spacing w:before="0" w:after="0" w:line="240" w:lineRule="auto"/>
              <w:rPr>
                <w:rFonts w:ascii="Calibri" w:eastAsia="Times New Roman" w:hAnsi="Calibri" w:cs="Arial"/>
                <w:color w:val="FFFFFF"/>
                <w:sz w:val="16"/>
                <w:szCs w:val="16"/>
              </w:rPr>
            </w:pPr>
            <w:r w:rsidRPr="00BB2B2A">
              <w:rPr>
                <w:rFonts w:ascii="Calibri" w:eastAsia="Times New Roman" w:hAnsi="Calibri" w:cs="Arial"/>
                <w:color w:val="FFFFFF"/>
                <w:sz w:val="16"/>
                <w:szCs w:val="16"/>
              </w:rPr>
              <w:t> </w:t>
            </w:r>
          </w:p>
        </w:tc>
        <w:tc>
          <w:tcPr>
            <w:tcW w:w="490" w:type="pct"/>
            <w:tcBorders>
              <w:top w:val="nil"/>
              <w:left w:val="nil"/>
              <w:bottom w:val="single" w:sz="4" w:space="0" w:color="000000"/>
              <w:right w:val="nil"/>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n</w:t>
            </w:r>
          </w:p>
        </w:tc>
        <w:tc>
          <w:tcPr>
            <w:tcW w:w="490" w:type="pct"/>
            <w:tcBorders>
              <w:top w:val="nil"/>
              <w:left w:val="single" w:sz="4" w:space="0" w:color="auto"/>
              <w:bottom w:val="single" w:sz="4" w:space="0" w:color="000000"/>
              <w:right w:val="single" w:sz="4" w:space="0" w:color="auto"/>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N</w:t>
            </w:r>
          </w:p>
        </w:tc>
        <w:tc>
          <w:tcPr>
            <w:tcW w:w="491" w:type="pct"/>
            <w:tcBorders>
              <w:top w:val="nil"/>
              <w:left w:val="nil"/>
              <w:bottom w:val="single" w:sz="4" w:space="0" w:color="auto"/>
              <w:right w:val="single" w:sz="4" w:space="0" w:color="auto"/>
            </w:tcBorders>
            <w:shd w:val="clear" w:color="000000" w:fill="0F243E"/>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w:t>
            </w:r>
          </w:p>
        </w:tc>
        <w:tc>
          <w:tcPr>
            <w:tcW w:w="134" w:type="pct"/>
            <w:tcBorders>
              <w:top w:val="nil"/>
              <w:left w:val="nil"/>
              <w:bottom w:val="nil"/>
              <w:right w:val="single" w:sz="4" w:space="0" w:color="auto"/>
            </w:tcBorders>
            <w:shd w:val="clear" w:color="000000" w:fill="D9D9D9"/>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490" w:type="pct"/>
            <w:tcBorders>
              <w:top w:val="nil"/>
              <w:left w:val="nil"/>
              <w:bottom w:val="single" w:sz="4" w:space="0" w:color="000000"/>
              <w:right w:val="nil"/>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n</w:t>
            </w:r>
          </w:p>
        </w:tc>
        <w:tc>
          <w:tcPr>
            <w:tcW w:w="490" w:type="pct"/>
            <w:tcBorders>
              <w:top w:val="nil"/>
              <w:left w:val="single" w:sz="4" w:space="0" w:color="auto"/>
              <w:bottom w:val="single" w:sz="4" w:space="0" w:color="000000"/>
              <w:right w:val="single" w:sz="4" w:space="0" w:color="auto"/>
            </w:tcBorders>
            <w:shd w:val="clear" w:color="000000" w:fill="215967"/>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N</w:t>
            </w:r>
          </w:p>
        </w:tc>
        <w:tc>
          <w:tcPr>
            <w:tcW w:w="491" w:type="pct"/>
            <w:tcBorders>
              <w:top w:val="nil"/>
              <w:left w:val="nil"/>
              <w:bottom w:val="single" w:sz="4" w:space="0" w:color="auto"/>
              <w:right w:val="single" w:sz="4" w:space="0" w:color="auto"/>
            </w:tcBorders>
            <w:shd w:val="clear" w:color="000000" w:fill="0F243E"/>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w:t>
            </w:r>
          </w:p>
        </w:tc>
        <w:tc>
          <w:tcPr>
            <w:tcW w:w="134" w:type="pct"/>
            <w:tcBorders>
              <w:top w:val="nil"/>
              <w:left w:val="nil"/>
              <w:bottom w:val="nil"/>
              <w:right w:val="single" w:sz="4" w:space="0" w:color="auto"/>
            </w:tcBorders>
            <w:shd w:val="clear" w:color="000000" w:fill="D9D9D9"/>
            <w:hideMark/>
          </w:tcPr>
          <w:p w:rsidR="007952AA" w:rsidRPr="00BB2B2A" w:rsidRDefault="007952AA" w:rsidP="007952AA">
            <w:pPr>
              <w:spacing w:before="0" w:after="0" w:line="240" w:lineRule="auto"/>
              <w:jc w:val="center"/>
              <w:rPr>
                <w:rFonts w:ascii="Calibri" w:eastAsia="Times New Roman" w:hAnsi="Calibri" w:cs="Arial"/>
                <w:b/>
                <w:bCs/>
                <w:color w:val="FFFFFF"/>
                <w:sz w:val="16"/>
                <w:szCs w:val="16"/>
              </w:rPr>
            </w:pPr>
            <w:r w:rsidRPr="00BB2B2A">
              <w:rPr>
                <w:rFonts w:ascii="Calibri" w:eastAsia="Times New Roman" w:hAnsi="Calibri" w:cs="Arial"/>
                <w:b/>
                <w:bCs/>
                <w:color w:val="FFFFFF"/>
                <w:sz w:val="16"/>
                <w:szCs w:val="16"/>
              </w:rPr>
              <w:t> </w:t>
            </w:r>
          </w:p>
        </w:tc>
        <w:tc>
          <w:tcPr>
            <w:tcW w:w="572" w:type="pct"/>
            <w:vMerge/>
            <w:tcBorders>
              <w:top w:val="single" w:sz="4" w:space="0" w:color="auto"/>
              <w:left w:val="single" w:sz="4" w:space="0" w:color="auto"/>
              <w:bottom w:val="single" w:sz="4" w:space="0" w:color="000000"/>
              <w:right w:val="single" w:sz="4" w:space="0" w:color="auto"/>
            </w:tcBorders>
            <w:vAlign w:val="center"/>
            <w:hideMark/>
          </w:tcPr>
          <w:p w:rsidR="007952AA" w:rsidRPr="00BB2B2A" w:rsidRDefault="007952AA" w:rsidP="007952AA">
            <w:pPr>
              <w:spacing w:before="0" w:after="0" w:line="240" w:lineRule="auto"/>
              <w:rPr>
                <w:rFonts w:ascii="Calibri" w:eastAsia="Times New Roman" w:hAnsi="Calibri" w:cs="Arial"/>
                <w:b/>
                <w:bCs/>
                <w:color w:val="FFFFFF"/>
                <w:sz w:val="16"/>
                <w:szCs w:val="16"/>
              </w:rPr>
            </w:pPr>
          </w:p>
        </w:tc>
      </w:tr>
      <w:tr w:rsidR="007952AA" w:rsidRPr="00BB2B2A" w:rsidTr="009B1A79">
        <w:trPr>
          <w:trHeight w:val="20"/>
        </w:trPr>
        <w:tc>
          <w:tcPr>
            <w:tcW w:w="1085" w:type="pct"/>
            <w:tcBorders>
              <w:top w:val="nil"/>
              <w:left w:val="single" w:sz="4" w:space="0" w:color="auto"/>
              <w:bottom w:val="single" w:sz="4" w:space="0" w:color="auto"/>
              <w:right w:val="nil"/>
            </w:tcBorders>
            <w:shd w:val="clear" w:color="000000" w:fill="D9D9D9"/>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Residence at Diagnosis</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000000"/>
              <w:right w:val="single" w:sz="4" w:space="0" w:color="auto"/>
            </w:tcBorders>
            <w:shd w:val="clear" w:color="000000" w:fill="D9D9D9"/>
            <w:vAlign w:val="bottom"/>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Clark County</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122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338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378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27%</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-9%</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Washoe County</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7</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25</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14</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35%</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7%</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All Other Counties**</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w:t>
            </w:r>
          </w:p>
        </w:tc>
      </w:tr>
      <w:tr w:rsidR="007952AA" w:rsidRPr="00BB2B2A" w:rsidTr="009B1A79">
        <w:trPr>
          <w:trHeight w:val="20"/>
        </w:trPr>
        <w:tc>
          <w:tcPr>
            <w:tcW w:w="1085" w:type="pct"/>
            <w:tcBorders>
              <w:top w:val="nil"/>
              <w:left w:val="single" w:sz="4" w:space="0" w:color="auto"/>
              <w:bottom w:val="single" w:sz="4" w:space="0" w:color="auto"/>
              <w:right w:val="nil"/>
            </w:tcBorders>
            <w:shd w:val="clear" w:color="auto" w:fill="auto"/>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Total</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132</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118</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422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28%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-8%</w:t>
            </w:r>
          </w:p>
        </w:tc>
      </w:tr>
      <w:tr w:rsidR="007952AA" w:rsidRPr="00BB2B2A" w:rsidTr="009B1A79">
        <w:trPr>
          <w:trHeight w:val="20"/>
        </w:trPr>
        <w:tc>
          <w:tcPr>
            <w:tcW w:w="1085" w:type="pct"/>
            <w:tcBorders>
              <w:top w:val="nil"/>
              <w:left w:val="single" w:sz="4" w:space="0" w:color="auto"/>
              <w:bottom w:val="single" w:sz="4" w:space="0" w:color="auto"/>
              <w:right w:val="nil"/>
            </w:tcBorders>
            <w:shd w:val="clear" w:color="000000" w:fill="D9D9D9"/>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Sex at Birth</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Male</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110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307</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368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-8%</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Female</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61</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16</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54</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w:t>
            </w:r>
          </w:p>
        </w:tc>
      </w:tr>
      <w:tr w:rsidR="007952AA" w:rsidRPr="00BB2B2A" w:rsidTr="009B1A79">
        <w:trPr>
          <w:trHeight w:val="20"/>
        </w:trPr>
        <w:tc>
          <w:tcPr>
            <w:tcW w:w="1085" w:type="pct"/>
            <w:tcBorders>
              <w:top w:val="nil"/>
              <w:left w:val="single" w:sz="4" w:space="0" w:color="auto"/>
              <w:bottom w:val="single" w:sz="4" w:space="0" w:color="auto"/>
              <w:right w:val="nil"/>
            </w:tcBorders>
            <w:shd w:val="clear" w:color="auto" w:fill="auto"/>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Total</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132</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118</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422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28%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-8%</w:t>
            </w:r>
          </w:p>
        </w:tc>
      </w:tr>
      <w:tr w:rsidR="007952AA" w:rsidRPr="00BB2B2A" w:rsidTr="009B1A79">
        <w:trPr>
          <w:trHeight w:val="20"/>
        </w:trPr>
        <w:tc>
          <w:tcPr>
            <w:tcW w:w="1085" w:type="pct"/>
            <w:tcBorders>
              <w:top w:val="nil"/>
              <w:left w:val="single" w:sz="4" w:space="0" w:color="auto"/>
              <w:bottom w:val="single" w:sz="4" w:space="0" w:color="auto"/>
              <w:right w:val="nil"/>
            </w:tcBorders>
            <w:shd w:val="clear" w:color="000000" w:fill="D9D9D9"/>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Race/Ethnicity</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White, non-Hispanic</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45</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136</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33%</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153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35%</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Black, non-Hispanic</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26</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101</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23%</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Hispanic</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48</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47%</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31</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133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23%</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-24%</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Asian/Hawaiian/Pacific Islander</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45%</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11</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American Indian/Alaska Native</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Multi-race/other/unknown</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7</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43%</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-43%</w:t>
            </w:r>
          </w:p>
        </w:tc>
      </w:tr>
      <w:tr w:rsidR="007952AA" w:rsidRPr="00BB2B2A" w:rsidTr="009B1A79">
        <w:trPr>
          <w:trHeight w:val="20"/>
        </w:trPr>
        <w:tc>
          <w:tcPr>
            <w:tcW w:w="1085" w:type="pct"/>
            <w:tcBorders>
              <w:top w:val="nil"/>
              <w:left w:val="single" w:sz="4" w:space="0" w:color="auto"/>
              <w:bottom w:val="nil"/>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Total</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132</w:t>
            </w:r>
          </w:p>
        </w:tc>
        <w:tc>
          <w:tcPr>
            <w:tcW w:w="490" w:type="pct"/>
            <w:tcBorders>
              <w:top w:val="single" w:sz="4" w:space="0" w:color="auto"/>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118</w:t>
            </w:r>
          </w:p>
        </w:tc>
        <w:tc>
          <w:tcPr>
            <w:tcW w:w="490" w:type="pct"/>
            <w:tcBorders>
              <w:top w:val="single" w:sz="4" w:space="0" w:color="auto"/>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422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28%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-8%</w:t>
            </w:r>
          </w:p>
        </w:tc>
      </w:tr>
      <w:tr w:rsidR="007952AA" w:rsidRPr="00BB2B2A" w:rsidTr="009B1A79">
        <w:trPr>
          <w:trHeight w:val="20"/>
        </w:trPr>
        <w:tc>
          <w:tcPr>
            <w:tcW w:w="1085" w:type="pct"/>
            <w:tcBorders>
              <w:top w:val="single" w:sz="4" w:space="0" w:color="auto"/>
              <w:left w:val="single" w:sz="4" w:space="0" w:color="auto"/>
              <w:bottom w:val="single" w:sz="4" w:space="0" w:color="auto"/>
              <w:right w:val="nil"/>
            </w:tcBorders>
            <w:shd w:val="clear" w:color="000000" w:fill="D9D9D9"/>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Age at Diagnosis</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&lt; 13</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13 to 24</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80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97</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12%</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25 to 34</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27</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25%</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28</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146</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19%</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35 to 44</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93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80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41%</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45 to 54</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27</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52%</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34</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73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47%</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55 to 64</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16</w:t>
            </w:r>
          </w:p>
        </w:tc>
        <w:tc>
          <w:tcPr>
            <w:tcW w:w="490" w:type="pct"/>
            <w:tcBorders>
              <w:top w:val="single" w:sz="4" w:space="0" w:color="auto"/>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29</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55%</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9</w:t>
            </w:r>
          </w:p>
        </w:tc>
        <w:tc>
          <w:tcPr>
            <w:tcW w:w="490" w:type="pct"/>
            <w:tcBorders>
              <w:top w:val="single" w:sz="4" w:space="0" w:color="auto"/>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39%</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-16%</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color w:val="000000"/>
                <w:sz w:val="16"/>
                <w:szCs w:val="16"/>
              </w:rPr>
            </w:pPr>
            <w:r w:rsidRPr="00BB2B2A">
              <w:rPr>
                <w:rFonts w:ascii="Calibri" w:eastAsia="Times New Roman" w:hAnsi="Calibri" w:cs="Arial"/>
                <w:color w:val="000000"/>
                <w:sz w:val="16"/>
                <w:szCs w:val="16"/>
              </w:rPr>
              <w:t>65 +</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100%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67%</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-33%</w:t>
            </w:r>
          </w:p>
        </w:tc>
      </w:tr>
      <w:tr w:rsidR="007952AA" w:rsidRPr="00BB2B2A" w:rsidTr="009B1A79">
        <w:trPr>
          <w:trHeight w:val="20"/>
        </w:trPr>
        <w:tc>
          <w:tcPr>
            <w:tcW w:w="1085" w:type="pct"/>
            <w:tcBorders>
              <w:top w:val="nil"/>
              <w:left w:val="single" w:sz="4" w:space="0" w:color="auto"/>
              <w:bottom w:val="nil"/>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Total</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132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118</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422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28%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-8%</w:t>
            </w:r>
          </w:p>
        </w:tc>
      </w:tr>
      <w:tr w:rsidR="007952AA" w:rsidRPr="00BB2B2A" w:rsidTr="009B1A79">
        <w:trPr>
          <w:trHeight w:val="20"/>
        </w:trPr>
        <w:tc>
          <w:tcPr>
            <w:tcW w:w="1085" w:type="pct"/>
            <w:tcBorders>
              <w:top w:val="single" w:sz="4" w:space="0" w:color="auto"/>
              <w:left w:val="single" w:sz="4" w:space="0" w:color="auto"/>
              <w:bottom w:val="single" w:sz="4" w:space="0" w:color="auto"/>
              <w:right w:val="nil"/>
            </w:tcBorders>
            <w:shd w:val="clear" w:color="000000" w:fill="D9D9D9"/>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Transmission Category</w:t>
            </w:r>
          </w:p>
        </w:tc>
        <w:tc>
          <w:tcPr>
            <w:tcW w:w="134" w:type="pct"/>
            <w:tcBorders>
              <w:top w:val="nil"/>
              <w:left w:val="single" w:sz="4" w:space="0" w:color="auto"/>
              <w:bottom w:val="nil"/>
              <w:right w:val="single" w:sz="4" w:space="0" w:color="auto"/>
            </w:tcBorders>
            <w:shd w:val="clear" w:color="000000" w:fill="D9D9D9"/>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Male</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MSM</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91</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255</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73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274</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27%</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-9%</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IDU</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14</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21%</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13</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17%</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MSM+IDU</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19</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32%</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25</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-12%</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Heterosexual contact</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60%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12</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17%</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-43%</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Perinatal exposure</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Transfusion/Hemophilia</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NIR/NRR</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7</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14</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17</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44</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39%</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-11%</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1"/>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Subtotal</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110</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307</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102</w:t>
            </w:r>
          </w:p>
        </w:tc>
        <w:tc>
          <w:tcPr>
            <w:tcW w:w="490" w:type="pct"/>
            <w:tcBorders>
              <w:top w:val="nil"/>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28%</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-8%</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Female</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IDU</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5</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-20%</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Heterosexual contact</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19</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49</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39%</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3</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15%</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-24%</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Perinatal exposure</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single" w:sz="4" w:space="0" w:color="000000"/>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Transfusion/Hemophilia</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0%</w:t>
            </w:r>
          </w:p>
        </w:tc>
      </w:tr>
      <w:tr w:rsidR="007952AA" w:rsidRPr="00BB2B2A" w:rsidTr="009B1A79">
        <w:trPr>
          <w:trHeight w:val="20"/>
        </w:trPr>
        <w:tc>
          <w:tcPr>
            <w:tcW w:w="1085" w:type="pct"/>
            <w:tcBorders>
              <w:top w:val="nil"/>
              <w:left w:val="single" w:sz="4" w:space="0" w:color="auto"/>
              <w:bottom w:val="single" w:sz="4" w:space="0" w:color="000000"/>
              <w:right w:val="nil"/>
            </w:tcBorders>
            <w:shd w:val="clear" w:color="000000" w:fill="FFFFFF"/>
            <w:vAlign w:val="center"/>
            <w:hideMark/>
          </w:tcPr>
          <w:p w:rsidR="007952AA" w:rsidRPr="00BB2B2A" w:rsidRDefault="007952AA" w:rsidP="007952AA">
            <w:pPr>
              <w:spacing w:before="0" w:after="0" w:line="240" w:lineRule="auto"/>
              <w:ind w:firstLineChars="100" w:firstLine="160"/>
              <w:rPr>
                <w:rFonts w:ascii="Calibri" w:eastAsia="Times New Roman" w:hAnsi="Calibri" w:cs="Arial"/>
                <w:color w:val="000000"/>
                <w:sz w:val="16"/>
                <w:szCs w:val="16"/>
              </w:rPr>
            </w:pPr>
            <w:r w:rsidRPr="00BB2B2A">
              <w:rPr>
                <w:rFonts w:ascii="Calibri" w:eastAsia="Times New Roman" w:hAnsi="Calibri" w:cs="Arial"/>
                <w:color w:val="000000"/>
                <w:sz w:val="16"/>
                <w:szCs w:val="16"/>
              </w:rPr>
              <w:t>NIR/NRR</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7</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29%</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single" w:sz="4" w:space="0" w:color="auto"/>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28</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46%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0"/>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18%</w:t>
            </w:r>
          </w:p>
        </w:tc>
      </w:tr>
      <w:tr w:rsidR="007952AA" w:rsidRPr="00BB2B2A" w:rsidTr="009B1A79">
        <w:trPr>
          <w:trHeight w:val="20"/>
        </w:trPr>
        <w:tc>
          <w:tcPr>
            <w:tcW w:w="1085" w:type="pct"/>
            <w:tcBorders>
              <w:top w:val="nil"/>
              <w:left w:val="single" w:sz="4" w:space="0" w:color="auto"/>
              <w:bottom w:val="nil"/>
              <w:right w:val="nil"/>
            </w:tcBorders>
            <w:shd w:val="clear" w:color="000000" w:fill="FFFFFF"/>
            <w:vAlign w:val="center"/>
            <w:hideMark/>
          </w:tcPr>
          <w:p w:rsidR="007952AA" w:rsidRPr="00BB2B2A" w:rsidRDefault="007952AA" w:rsidP="007952AA">
            <w:pPr>
              <w:spacing w:before="0" w:after="0" w:line="240" w:lineRule="auto"/>
              <w:ind w:firstLineChars="100" w:firstLine="161"/>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Subtotal</w:t>
            </w:r>
          </w:p>
        </w:tc>
        <w:tc>
          <w:tcPr>
            <w:tcW w:w="134" w:type="pct"/>
            <w:tcBorders>
              <w:top w:val="nil"/>
              <w:left w:val="single" w:sz="4" w:space="0" w:color="auto"/>
              <w:bottom w:val="nil"/>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22</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61</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nil"/>
              <w:left w:val="nil"/>
              <w:bottom w:val="nil"/>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16</w:t>
            </w:r>
          </w:p>
        </w:tc>
        <w:tc>
          <w:tcPr>
            <w:tcW w:w="490" w:type="pct"/>
            <w:tcBorders>
              <w:top w:val="nil"/>
              <w:left w:val="single" w:sz="4" w:space="0" w:color="auto"/>
              <w:bottom w:val="nil"/>
              <w:right w:val="single" w:sz="4" w:space="0" w:color="auto"/>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54</w:t>
            </w:r>
          </w:p>
        </w:tc>
        <w:tc>
          <w:tcPr>
            <w:tcW w:w="491" w:type="pct"/>
            <w:tcBorders>
              <w:top w:val="nil"/>
              <w:left w:val="nil"/>
              <w:bottom w:val="single" w:sz="4" w:space="0" w:color="000000"/>
              <w:right w:val="nil"/>
            </w:tcBorders>
            <w:shd w:val="clear" w:color="auto" w:fill="auto"/>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30%</w:t>
            </w:r>
          </w:p>
        </w:tc>
        <w:tc>
          <w:tcPr>
            <w:tcW w:w="134" w:type="pct"/>
            <w:tcBorders>
              <w:top w:val="nil"/>
              <w:left w:val="single" w:sz="4" w:space="0" w:color="auto"/>
              <w:bottom w:val="nil"/>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572" w:type="pct"/>
            <w:tcBorders>
              <w:top w:val="nil"/>
              <w:left w:val="nil"/>
              <w:bottom w:val="single" w:sz="4" w:space="0" w:color="000000"/>
              <w:right w:val="single" w:sz="4" w:space="0" w:color="000000"/>
            </w:tcBorders>
            <w:shd w:val="clear" w:color="auto" w:fill="auto"/>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-6%</w:t>
            </w:r>
          </w:p>
        </w:tc>
      </w:tr>
      <w:tr w:rsidR="007952AA" w:rsidRPr="00BB2B2A" w:rsidTr="009B1A79">
        <w:trPr>
          <w:trHeight w:val="20"/>
        </w:trPr>
        <w:tc>
          <w:tcPr>
            <w:tcW w:w="1085" w:type="pct"/>
            <w:tcBorders>
              <w:top w:val="single" w:sz="4" w:space="0" w:color="auto"/>
              <w:left w:val="single" w:sz="4" w:space="0" w:color="auto"/>
              <w:bottom w:val="single" w:sz="4" w:space="0" w:color="auto"/>
              <w:right w:val="nil"/>
            </w:tcBorders>
            <w:shd w:val="clear" w:color="000000" w:fill="D9D9D9"/>
            <w:vAlign w:val="center"/>
            <w:hideMark/>
          </w:tcPr>
          <w:p w:rsidR="007952AA" w:rsidRPr="00BB2B2A" w:rsidRDefault="007952AA" w:rsidP="007952AA">
            <w:pPr>
              <w:spacing w:before="0" w:after="0" w:line="240" w:lineRule="auto"/>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Total</w:t>
            </w:r>
          </w:p>
        </w:tc>
        <w:tc>
          <w:tcPr>
            <w:tcW w:w="134" w:type="pct"/>
            <w:tcBorders>
              <w:top w:val="nil"/>
              <w:left w:val="single" w:sz="4" w:space="0" w:color="auto"/>
              <w:bottom w:val="single" w:sz="4" w:space="0" w:color="auto"/>
              <w:right w:val="single" w:sz="4" w:space="0" w:color="auto"/>
            </w:tcBorders>
            <w:shd w:val="clear" w:color="000000" w:fill="D9D9D9"/>
            <w:vAlign w:val="bottom"/>
            <w:hideMark/>
          </w:tcPr>
          <w:p w:rsidR="007952AA" w:rsidRPr="00BB2B2A" w:rsidRDefault="007952AA" w:rsidP="007952AA">
            <w:pPr>
              <w:spacing w:before="0" w:after="0" w:line="240" w:lineRule="auto"/>
              <w:jc w:val="right"/>
              <w:rPr>
                <w:rFonts w:ascii="Calibri" w:eastAsia="Times New Roman" w:hAnsi="Calibri" w:cs="Arial"/>
                <w:color w:val="000000"/>
                <w:sz w:val="16"/>
                <w:szCs w:val="16"/>
              </w:rPr>
            </w:pPr>
            <w:r w:rsidRPr="00BB2B2A">
              <w:rPr>
                <w:rFonts w:ascii="Calibri" w:eastAsia="Times New Roman" w:hAnsi="Calibri" w:cs="Arial"/>
                <w:color w:val="000000"/>
                <w:sz w:val="16"/>
                <w:szCs w:val="16"/>
              </w:rPr>
              <w:t> </w:t>
            </w:r>
          </w:p>
        </w:tc>
        <w:tc>
          <w:tcPr>
            <w:tcW w:w="490" w:type="pct"/>
            <w:tcBorders>
              <w:top w:val="single" w:sz="4" w:space="0" w:color="auto"/>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132</w:t>
            </w:r>
          </w:p>
        </w:tc>
        <w:tc>
          <w:tcPr>
            <w:tcW w:w="49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368</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36%</w:t>
            </w:r>
          </w:p>
        </w:tc>
        <w:tc>
          <w:tcPr>
            <w:tcW w:w="134"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490" w:type="pct"/>
            <w:tcBorders>
              <w:top w:val="single" w:sz="4" w:space="0" w:color="auto"/>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118</w:t>
            </w:r>
          </w:p>
        </w:tc>
        <w:tc>
          <w:tcPr>
            <w:tcW w:w="49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422</w:t>
            </w:r>
          </w:p>
        </w:tc>
        <w:tc>
          <w:tcPr>
            <w:tcW w:w="491" w:type="pct"/>
            <w:tcBorders>
              <w:top w:val="nil"/>
              <w:left w:val="nil"/>
              <w:bottom w:val="single" w:sz="4" w:space="0" w:color="auto"/>
              <w:right w:val="nil"/>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28%</w:t>
            </w:r>
          </w:p>
        </w:tc>
        <w:tc>
          <w:tcPr>
            <w:tcW w:w="134" w:type="pct"/>
            <w:tcBorders>
              <w:top w:val="nil"/>
              <w:left w:val="single" w:sz="4" w:space="0" w:color="auto"/>
              <w:bottom w:val="single" w:sz="4" w:space="0" w:color="auto"/>
              <w:right w:val="single" w:sz="4" w:space="0" w:color="auto"/>
            </w:tcBorders>
            <w:shd w:val="clear" w:color="000000" w:fill="D9D9D9"/>
            <w:vAlign w:val="center"/>
            <w:hideMark/>
          </w:tcPr>
          <w:p w:rsidR="007952AA" w:rsidRPr="00BB2B2A" w:rsidRDefault="007952AA" w:rsidP="007952AA">
            <w:pPr>
              <w:spacing w:before="0" w:after="0" w:line="240" w:lineRule="auto"/>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 </w:t>
            </w:r>
          </w:p>
        </w:tc>
        <w:tc>
          <w:tcPr>
            <w:tcW w:w="572" w:type="pct"/>
            <w:tcBorders>
              <w:top w:val="nil"/>
              <w:left w:val="nil"/>
              <w:bottom w:val="single" w:sz="4" w:space="0" w:color="000000"/>
              <w:right w:val="single" w:sz="4" w:space="0" w:color="000000"/>
            </w:tcBorders>
            <w:shd w:val="clear" w:color="000000" w:fill="D9D9D9"/>
            <w:vAlign w:val="center"/>
            <w:hideMark/>
          </w:tcPr>
          <w:p w:rsidR="007952AA" w:rsidRPr="00BB2B2A" w:rsidRDefault="007952AA" w:rsidP="007952AA">
            <w:pPr>
              <w:spacing w:before="0" w:after="0" w:line="240" w:lineRule="auto"/>
              <w:ind w:firstLineChars="300" w:firstLine="482"/>
              <w:jc w:val="right"/>
              <w:rPr>
                <w:rFonts w:ascii="Calibri" w:eastAsia="Times New Roman" w:hAnsi="Calibri" w:cs="Arial"/>
                <w:b/>
                <w:bCs/>
                <w:color w:val="000000"/>
                <w:sz w:val="16"/>
                <w:szCs w:val="16"/>
              </w:rPr>
            </w:pPr>
            <w:r w:rsidRPr="00BB2B2A">
              <w:rPr>
                <w:rFonts w:ascii="Calibri" w:eastAsia="Times New Roman" w:hAnsi="Calibri" w:cs="Arial"/>
                <w:b/>
                <w:bCs/>
                <w:color w:val="000000"/>
                <w:sz w:val="16"/>
                <w:szCs w:val="16"/>
              </w:rPr>
              <w:t>-8%</w:t>
            </w:r>
          </w:p>
        </w:tc>
      </w:tr>
      <w:tr w:rsidR="007952AA" w:rsidRPr="00BB2B2A" w:rsidTr="005D2B0D">
        <w:trPr>
          <w:trHeight w:val="20"/>
        </w:trPr>
        <w:tc>
          <w:tcPr>
            <w:tcW w:w="5000" w:type="pct"/>
            <w:gridSpan w:val="11"/>
            <w:tcBorders>
              <w:top w:val="nil"/>
              <w:left w:val="nil"/>
              <w:bottom w:val="nil"/>
              <w:right w:val="nil"/>
            </w:tcBorders>
            <w:shd w:val="clear" w:color="000000" w:fill="FFFFFF"/>
            <w:hideMark/>
          </w:tcPr>
          <w:p w:rsidR="007952AA" w:rsidRDefault="007952AA" w:rsidP="007952AA">
            <w:pPr>
              <w:spacing w:before="0" w:after="0" w:line="240" w:lineRule="auto"/>
              <w:rPr>
                <w:rFonts w:ascii="Calibri" w:eastAsia="Times New Roman" w:hAnsi="Calibri" w:cs="Arial"/>
                <w:i/>
                <w:iCs/>
                <w:sz w:val="16"/>
                <w:szCs w:val="16"/>
              </w:rPr>
            </w:pPr>
            <w:r w:rsidRPr="00BB2B2A">
              <w:rPr>
                <w:rFonts w:ascii="Calibri" w:eastAsia="Times New Roman" w:hAnsi="Calibri" w:cs="Arial"/>
                <w:i/>
                <w:iCs/>
                <w:sz w:val="16"/>
                <w:szCs w:val="16"/>
              </w:rPr>
              <w:t>Only persons who were informed of their HIV infection were included in this table.</w:t>
            </w:r>
          </w:p>
          <w:p w:rsidR="005D2B0D" w:rsidRDefault="005D2B0D" w:rsidP="005D2B0D">
            <w:pPr>
              <w:spacing w:before="0" w:after="0" w:line="240" w:lineRule="auto"/>
              <w:rPr>
                <w:rFonts w:ascii="Calibri" w:eastAsia="Times New Roman" w:hAnsi="Calibri" w:cs="Arial"/>
                <w:i/>
                <w:iCs/>
                <w:sz w:val="16"/>
                <w:szCs w:val="16"/>
              </w:rPr>
            </w:pPr>
            <w:r w:rsidRPr="00BB2B2A">
              <w:rPr>
                <w:rFonts w:ascii="Calibri" w:eastAsia="Times New Roman" w:hAnsi="Calibri" w:cs="Arial"/>
                <w:i/>
                <w:iCs/>
                <w:sz w:val="16"/>
                <w:szCs w:val="16"/>
              </w:rPr>
              <w:t xml:space="preserve">*Difference in proportion was calculated as the proportion of persons in 2010 with a diagnosis of HIV Stage 3 (AIDS) within 12 months of their HIV diagnosis subtracted from the proportion of persons in 2014 with a diagnosis of HIV Stage 3 (AIDS) within 12 months of their HIV diagnosis. </w:t>
            </w:r>
          </w:p>
          <w:p w:rsidR="005D2B0D" w:rsidRDefault="005D2B0D" w:rsidP="005D2B0D">
            <w:pPr>
              <w:spacing w:before="0" w:after="0" w:line="240" w:lineRule="auto"/>
              <w:rPr>
                <w:rFonts w:ascii="Calibri" w:eastAsia="Times New Roman" w:hAnsi="Calibri" w:cs="Arial"/>
                <w:i/>
                <w:iCs/>
                <w:sz w:val="16"/>
                <w:szCs w:val="16"/>
              </w:rPr>
            </w:pPr>
          </w:p>
          <w:p w:rsidR="005D2B0D" w:rsidRDefault="005D2B0D" w:rsidP="005D2B0D">
            <w:pPr>
              <w:spacing w:before="0" w:after="0" w:line="240" w:lineRule="auto"/>
              <w:rPr>
                <w:rFonts w:ascii="Calibri" w:eastAsia="Times New Roman" w:hAnsi="Calibri" w:cs="Arial"/>
                <w:i/>
                <w:iCs/>
                <w:sz w:val="16"/>
                <w:szCs w:val="16"/>
              </w:rPr>
            </w:pPr>
          </w:p>
          <w:p w:rsidR="005D2B0D" w:rsidRDefault="005D2B0D" w:rsidP="005D2B0D">
            <w:pPr>
              <w:widowControl w:val="0"/>
              <w:spacing w:before="0" w:after="0"/>
              <w:jc w:val="both"/>
            </w:pPr>
            <w:r w:rsidRPr="00775F58">
              <w:lastRenderedPageBreak/>
              <w:t>Having</w:t>
            </w:r>
            <w:r>
              <w:t xml:space="preserve"> a diagnosis of HIV and HIV stage 3 (AIDS) within a 12-month period is commonly considered to be a marker for a late HIV diagnosis and late HIV testing. However, recent research suggests that using this measurement alone may misclassify individuals as late testers.</w:t>
            </w:r>
            <w:r>
              <w:rPr>
                <w:rStyle w:val="EndnoteReference"/>
              </w:rPr>
              <w:endnoteReference w:id="18"/>
            </w:r>
            <w:r>
              <w:t xml:space="preserve"> Thus, when reviewing these data, it is important to consider the full range of factors that could cause a short time interval from HIV to HIV stage 3 (AIDS) diagnosis.</w:t>
            </w:r>
          </w:p>
          <w:p w:rsidR="005D2B0D" w:rsidRDefault="005D2B0D" w:rsidP="005D2B0D">
            <w:pPr>
              <w:widowControl w:val="0"/>
              <w:spacing w:before="0" w:after="0"/>
              <w:jc w:val="both"/>
            </w:pPr>
            <w:r>
              <w:t> </w:t>
            </w:r>
          </w:p>
          <w:p w:rsidR="005D2B0D" w:rsidRDefault="005D2B0D" w:rsidP="005D2B0D">
            <w:pPr>
              <w:widowControl w:val="0"/>
              <w:spacing w:before="0" w:after="0"/>
              <w:jc w:val="both"/>
            </w:pPr>
            <w:r>
              <w:t xml:space="preserve">In this analysis, only individuals who were diagnosed with HIV in Nevada and informed of their HIV status were included. Based on CD4 lab data from eHARS (HIV stage 3 (AIDS) is typically diagnosed when an HIV-positive individual’s CD4 count is less than 200 cells/µL of blood or CD4 percent is less than 14), HIV stage 3 (AIDS) diagnosis information was complete for a majority of these individuals. </w:t>
            </w:r>
            <w:r w:rsidRPr="00E7568D">
              <w:t>In 2014, 96% of persons had a CD4 lab within 12 months of their HIV diagnosis, and in 2010, 99% of persons had a CD4 lab within 12 months of their HIV diagnosis. However, CD4 counts greater than 500 cells/µL of blood do not have to be reported, so some lab results may have been missing.</w:t>
            </w:r>
          </w:p>
          <w:p w:rsidR="005D2B0D" w:rsidRDefault="005D2B0D" w:rsidP="005D2B0D">
            <w:pPr>
              <w:widowControl w:val="0"/>
              <w:spacing w:before="0" w:after="0"/>
              <w:jc w:val="both"/>
            </w:pPr>
            <w:r>
              <w:t> </w:t>
            </w:r>
          </w:p>
          <w:p w:rsidR="005D2B0D" w:rsidRDefault="005D2B0D" w:rsidP="005D2B0D">
            <w:pPr>
              <w:widowControl w:val="0"/>
              <w:spacing w:before="0" w:after="0"/>
              <w:jc w:val="both"/>
            </w:pPr>
            <w:r>
              <w:t>In 2014, of the 422 individuals who were newly diagnosed with HIV and had been informed of their status, 28% were diagnosed with HIV stage 3 (AIDS) within 12 months of their HIV Diagnosis. From 2010 to 2014, there was a decrease of 8 percentage points in the proportion of late diagnoses.</w:t>
            </w:r>
          </w:p>
          <w:p w:rsidR="005D2B0D" w:rsidRDefault="005D2B0D" w:rsidP="005D2B0D">
            <w:pPr>
              <w:widowControl w:val="0"/>
              <w:spacing w:before="0" w:after="0"/>
              <w:jc w:val="both"/>
            </w:pPr>
            <w:r>
              <w:t> </w:t>
            </w:r>
          </w:p>
          <w:p w:rsidR="005D2B0D" w:rsidRDefault="005D2B0D" w:rsidP="005D2B0D">
            <w:pPr>
              <w:widowControl w:val="0"/>
              <w:spacing w:before="0" w:after="0"/>
              <w:jc w:val="both"/>
            </w:pPr>
            <w:r>
              <w:t xml:space="preserve">The all other counties region had the highest proportion of persons with a late diagnosis (50%) in 2014, and this proportion has decreased by 10 percentage points since 2010. In 2014, Clark County had the lowest proportion of late diagnoses (27%), and this proportion decreased by 9 percentage points from 2010 to 2014. </w:t>
            </w:r>
          </w:p>
          <w:p w:rsidR="005D2B0D" w:rsidRDefault="005D2B0D" w:rsidP="005D2B0D">
            <w:pPr>
              <w:widowControl w:val="0"/>
              <w:spacing w:before="0" w:after="0"/>
              <w:jc w:val="both"/>
            </w:pPr>
            <w:r>
              <w:t> </w:t>
            </w:r>
          </w:p>
          <w:p w:rsidR="005D2B0D" w:rsidRDefault="005D2B0D" w:rsidP="005D2B0D">
            <w:pPr>
              <w:widowControl w:val="0"/>
              <w:spacing w:before="0" w:after="0"/>
              <w:jc w:val="both"/>
            </w:pPr>
            <w:r>
              <w:t>In 2014, a greater proportion of females had a late diagnosis compared to males (30% vs. 28%). From 2010 to 2014, the proportion of late diagnoses points among female’s increased 6 percentage points whereas males decreased 8 percentage points.</w:t>
            </w:r>
          </w:p>
          <w:p w:rsidR="005D2B0D" w:rsidRDefault="005D2B0D" w:rsidP="005D2B0D">
            <w:pPr>
              <w:widowControl w:val="0"/>
              <w:spacing w:before="0" w:after="0"/>
              <w:jc w:val="both"/>
            </w:pPr>
            <w:r>
              <w:t> </w:t>
            </w:r>
          </w:p>
          <w:p w:rsidR="005D2B0D" w:rsidRDefault="005D2B0D" w:rsidP="005D2B0D">
            <w:pPr>
              <w:widowControl w:val="0"/>
              <w:spacing w:before="0" w:after="0"/>
              <w:jc w:val="both"/>
            </w:pPr>
            <w:r>
              <w:t>In terms of race/ethnicity, the highest proportion of late diagnoses occurred among persons who identified as API (50%), White (35%), Hispanic (23%) and Black (23%) in 2014. Hispanics were the only race/ethnicity group to experience a large decrease. The proportion of late diagnoses among Hispanics decreased by 24 percentage points from 2010 to 2014.</w:t>
            </w:r>
          </w:p>
          <w:p w:rsidR="005D2B0D" w:rsidRDefault="005D2B0D" w:rsidP="005D2B0D">
            <w:pPr>
              <w:widowControl w:val="0"/>
              <w:spacing w:before="0" w:after="0"/>
              <w:jc w:val="both"/>
            </w:pPr>
            <w:r>
              <w:t> </w:t>
            </w:r>
          </w:p>
          <w:p w:rsidR="005D2B0D" w:rsidRDefault="005D2B0D" w:rsidP="005D2B0D">
            <w:pPr>
              <w:widowControl w:val="0"/>
              <w:spacing w:before="0" w:after="0"/>
              <w:jc w:val="both"/>
            </w:pPr>
            <w:r>
              <w:t xml:space="preserve">With regard to age, the proportion of late diagnoses was much higher in older age groups, with the highest proportions among those over 65 years of age (67%) and 45 to 54 year olds (47%). From 2010 to 2014, all groups had a percentage decrease of those converting to stage 3 (AIDS) within 12 months. Those over 65 years of age experienced the greatest decrease in proportion of late diagnoses, from 100% in 2010 to 67% in 2014. </w:t>
            </w:r>
          </w:p>
          <w:p w:rsidR="005D2B0D" w:rsidRDefault="005D2B0D" w:rsidP="005D2B0D">
            <w:pPr>
              <w:widowControl w:val="0"/>
              <w:spacing w:before="0" w:after="0"/>
              <w:jc w:val="both"/>
            </w:pPr>
            <w:r>
              <w:t> </w:t>
            </w:r>
          </w:p>
          <w:p w:rsidR="005D2B0D" w:rsidRDefault="005D2B0D" w:rsidP="005D2B0D">
            <w:pPr>
              <w:widowControl w:val="0"/>
              <w:spacing w:before="0" w:after="0"/>
              <w:jc w:val="both"/>
            </w:pPr>
            <w:r>
              <w:t>Among males, individuals with a transmission category of NIR/NRR had the highest proportion of late diagnoses (39%) followed by IDU (38%). The proportion of NIR/NRR who had a late diagnosis decreased 11 percentage points from 2010 to 2014. IDU is the only transmission category to have an increase from 21% in 2010 to 38% in 2014. Males who had a transmission category of Heterosexual contact had the lowest proportion for a reported transmission category of late diagnoses (17%), and there was a 43 percentage point decrease in this proportion from 2010 to 2014.</w:t>
            </w:r>
          </w:p>
          <w:p w:rsidR="005D2B0D" w:rsidRDefault="005D2B0D" w:rsidP="005D2B0D">
            <w:pPr>
              <w:widowControl w:val="0"/>
              <w:spacing w:before="0" w:after="0"/>
              <w:jc w:val="both"/>
            </w:pPr>
            <w:r>
              <w:t>  </w:t>
            </w:r>
          </w:p>
          <w:p w:rsidR="005D2B0D" w:rsidRDefault="005D2B0D" w:rsidP="005D2B0D">
            <w:pPr>
              <w:widowControl w:val="0"/>
              <w:spacing w:before="0" w:after="0"/>
              <w:jc w:val="both"/>
            </w:pPr>
            <w:r>
              <w:t xml:space="preserve">Among females, individuals with a transmission category of NIR/NRR had the highest proportion of late diagnoses (46%), followed by individuals who had Heterosexual contact (15%). </w:t>
            </w:r>
          </w:p>
          <w:p w:rsidR="00546460" w:rsidRDefault="00546460" w:rsidP="005D2B0D">
            <w:pPr>
              <w:widowControl w:val="0"/>
              <w:spacing w:before="0" w:after="0"/>
              <w:jc w:val="both"/>
            </w:pPr>
          </w:p>
          <w:p w:rsidR="00546460" w:rsidRDefault="00546460" w:rsidP="00546460">
            <w:pPr>
              <w:widowControl w:val="0"/>
              <w:spacing w:before="0" w:after="0"/>
              <w:jc w:val="both"/>
            </w:pPr>
          </w:p>
          <w:p w:rsidR="00546460" w:rsidRDefault="00546460" w:rsidP="00546460">
            <w:pPr>
              <w:spacing w:before="0" w:after="0"/>
              <w:rPr>
                <w:b/>
              </w:rPr>
            </w:pPr>
            <w:r w:rsidRPr="00F40EA6">
              <w:rPr>
                <w:b/>
              </w:rPr>
              <w:lastRenderedPageBreak/>
              <w:t>Survival for more than 12, 24, and 36 months after a diagnosis of HIV Stage 3 (AIDS) in Nevada during 2008-2012 by selected characteristics</w:t>
            </w:r>
          </w:p>
          <w:tbl>
            <w:tblPr>
              <w:tblW w:w="6372" w:type="dxa"/>
              <w:tblInd w:w="103" w:type="dxa"/>
              <w:tblLook w:val="04A0" w:firstRow="1" w:lastRow="0" w:firstColumn="1" w:lastColumn="0" w:noHBand="0" w:noVBand="1"/>
            </w:tblPr>
            <w:tblGrid>
              <w:gridCol w:w="2952"/>
              <w:gridCol w:w="900"/>
              <w:gridCol w:w="900"/>
              <w:gridCol w:w="810"/>
              <w:gridCol w:w="810"/>
            </w:tblGrid>
            <w:tr w:rsidR="00546460" w:rsidRPr="00F40EA6" w:rsidTr="008A385E">
              <w:trPr>
                <w:trHeight w:val="20"/>
              </w:trPr>
              <w:tc>
                <w:tcPr>
                  <w:tcW w:w="2952" w:type="dxa"/>
                  <w:tcBorders>
                    <w:top w:val="single" w:sz="4" w:space="0" w:color="auto"/>
                    <w:left w:val="single" w:sz="4" w:space="0" w:color="auto"/>
                    <w:bottom w:val="nil"/>
                    <w:right w:val="nil"/>
                  </w:tcBorders>
                  <w:shd w:val="clear" w:color="000000" w:fill="4F81BD"/>
                  <w:vAlign w:val="center"/>
                  <w:hideMark/>
                </w:tcPr>
                <w:p w:rsidR="00546460" w:rsidRPr="00F40EA6" w:rsidRDefault="00546460" w:rsidP="00546460">
                  <w:pPr>
                    <w:spacing w:before="0" w:after="0" w:line="240" w:lineRule="auto"/>
                    <w:jc w:val="center"/>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4F81BD"/>
                  <w:vAlign w:val="center"/>
                  <w:hideMark/>
                </w:tcPr>
                <w:p w:rsidR="00546460" w:rsidRPr="00F40EA6" w:rsidRDefault="00546460" w:rsidP="00546460">
                  <w:pPr>
                    <w:spacing w:before="0" w:after="0" w:line="240" w:lineRule="auto"/>
                    <w:jc w:val="center"/>
                    <w:rPr>
                      <w:rFonts w:ascii="Calibri" w:eastAsia="Times New Roman" w:hAnsi="Calibri" w:cs="Times New Roman"/>
                      <w:b/>
                      <w:bCs/>
                      <w:color w:val="FFFFFF"/>
                      <w:sz w:val="18"/>
                      <w:szCs w:val="18"/>
                    </w:rPr>
                  </w:pPr>
                  <w:r w:rsidRPr="00F40EA6">
                    <w:rPr>
                      <w:rFonts w:ascii="Calibri" w:eastAsia="Times New Roman" w:hAnsi="Calibri" w:cs="Times New Roman"/>
                      <w:b/>
                      <w:bCs/>
                      <w:color w:val="FFFFFF"/>
                      <w:sz w:val="18"/>
                      <w:szCs w:val="18"/>
                    </w:rPr>
                    <w:t>Number of Persons</w:t>
                  </w:r>
                </w:p>
              </w:tc>
              <w:tc>
                <w:tcPr>
                  <w:tcW w:w="2520" w:type="dxa"/>
                  <w:gridSpan w:val="3"/>
                  <w:tcBorders>
                    <w:top w:val="single" w:sz="4" w:space="0" w:color="auto"/>
                    <w:left w:val="nil"/>
                    <w:bottom w:val="nil"/>
                    <w:right w:val="single" w:sz="4" w:space="0" w:color="000000"/>
                  </w:tcBorders>
                  <w:shd w:val="clear" w:color="000000" w:fill="4F81BD"/>
                  <w:vAlign w:val="center"/>
                  <w:hideMark/>
                </w:tcPr>
                <w:p w:rsidR="00546460" w:rsidRPr="00F40EA6" w:rsidRDefault="00546460" w:rsidP="00546460">
                  <w:pPr>
                    <w:spacing w:before="0" w:after="0" w:line="240" w:lineRule="auto"/>
                    <w:jc w:val="center"/>
                    <w:rPr>
                      <w:rFonts w:ascii="Calibri" w:eastAsia="Times New Roman" w:hAnsi="Calibri" w:cs="Times New Roman"/>
                      <w:b/>
                      <w:bCs/>
                      <w:color w:val="FFFFFF"/>
                      <w:sz w:val="18"/>
                      <w:szCs w:val="18"/>
                    </w:rPr>
                  </w:pPr>
                  <w:r w:rsidRPr="00F40EA6">
                    <w:rPr>
                      <w:rFonts w:ascii="Calibri" w:eastAsia="Times New Roman" w:hAnsi="Calibri" w:cs="Times New Roman"/>
                      <w:b/>
                      <w:bCs/>
                      <w:color w:val="FFFFFF"/>
                      <w:sz w:val="18"/>
                      <w:szCs w:val="18"/>
                    </w:rPr>
                    <w:t>Proportion Survived (in months)</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4F81BD"/>
                  <w:vAlign w:val="center"/>
                  <w:hideMark/>
                </w:tcPr>
                <w:p w:rsidR="00546460" w:rsidRPr="00F40EA6" w:rsidRDefault="00546460" w:rsidP="00546460">
                  <w:pPr>
                    <w:spacing w:before="0"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 </w:t>
                  </w:r>
                  <w:r w:rsidRPr="00F40EA6">
                    <w:rPr>
                      <w:rFonts w:ascii="Calibri" w:eastAsia="Times New Roman" w:hAnsi="Calibri" w:cs="Times New Roman"/>
                      <w:color w:val="000000"/>
                      <w:sz w:val="18"/>
                      <w:szCs w:val="18"/>
                    </w:rPr>
                    <w:t> </w:t>
                  </w: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546460" w:rsidRPr="00F40EA6" w:rsidRDefault="00546460" w:rsidP="00546460">
                  <w:pPr>
                    <w:spacing w:before="0" w:after="0" w:line="240" w:lineRule="auto"/>
                    <w:rPr>
                      <w:rFonts w:ascii="Calibri" w:eastAsia="Times New Roman" w:hAnsi="Calibri" w:cs="Times New Roman"/>
                      <w:b/>
                      <w:bCs/>
                      <w:color w:val="FFFFFF"/>
                      <w:sz w:val="18"/>
                      <w:szCs w:val="18"/>
                    </w:rPr>
                  </w:pPr>
                </w:p>
              </w:tc>
              <w:tc>
                <w:tcPr>
                  <w:tcW w:w="900" w:type="dxa"/>
                  <w:tcBorders>
                    <w:top w:val="nil"/>
                    <w:left w:val="nil"/>
                    <w:bottom w:val="single" w:sz="4" w:space="0" w:color="auto"/>
                    <w:right w:val="nil"/>
                  </w:tcBorders>
                  <w:shd w:val="clear" w:color="000000" w:fill="4F81BD"/>
                  <w:noWrap/>
                  <w:vAlign w:val="bottom"/>
                  <w:hideMark/>
                </w:tcPr>
                <w:p w:rsidR="00546460" w:rsidRPr="00F40EA6" w:rsidRDefault="00546460" w:rsidP="00546460">
                  <w:pPr>
                    <w:spacing w:before="0" w:after="0" w:line="240" w:lineRule="auto"/>
                    <w:jc w:val="center"/>
                    <w:rPr>
                      <w:rFonts w:ascii="Calibri" w:eastAsia="Times New Roman" w:hAnsi="Calibri" w:cs="Times New Roman"/>
                      <w:b/>
                      <w:bCs/>
                      <w:color w:val="FFFFFF"/>
                      <w:sz w:val="18"/>
                      <w:szCs w:val="18"/>
                    </w:rPr>
                  </w:pPr>
                  <w:r w:rsidRPr="00F40EA6">
                    <w:rPr>
                      <w:rFonts w:ascii="Calibri" w:eastAsia="Times New Roman" w:hAnsi="Calibri" w:cs="Times New Roman"/>
                      <w:b/>
                      <w:bCs/>
                      <w:color w:val="FFFFFF"/>
                      <w:sz w:val="18"/>
                      <w:szCs w:val="18"/>
                    </w:rPr>
                    <w:t>&gt;12</w:t>
                  </w:r>
                </w:p>
              </w:tc>
              <w:tc>
                <w:tcPr>
                  <w:tcW w:w="810" w:type="dxa"/>
                  <w:tcBorders>
                    <w:top w:val="nil"/>
                    <w:left w:val="nil"/>
                    <w:bottom w:val="single" w:sz="4" w:space="0" w:color="auto"/>
                    <w:right w:val="nil"/>
                  </w:tcBorders>
                  <w:shd w:val="clear" w:color="000000" w:fill="4F81BD"/>
                  <w:noWrap/>
                  <w:vAlign w:val="bottom"/>
                  <w:hideMark/>
                </w:tcPr>
                <w:p w:rsidR="00546460" w:rsidRPr="00F40EA6" w:rsidRDefault="00546460" w:rsidP="00546460">
                  <w:pPr>
                    <w:spacing w:before="0" w:after="0" w:line="240" w:lineRule="auto"/>
                    <w:jc w:val="center"/>
                    <w:rPr>
                      <w:rFonts w:ascii="Calibri" w:eastAsia="Times New Roman" w:hAnsi="Calibri" w:cs="Times New Roman"/>
                      <w:b/>
                      <w:bCs/>
                      <w:color w:val="FFFFFF"/>
                      <w:sz w:val="18"/>
                      <w:szCs w:val="18"/>
                    </w:rPr>
                  </w:pPr>
                  <w:r w:rsidRPr="00F40EA6">
                    <w:rPr>
                      <w:rFonts w:ascii="Calibri" w:eastAsia="Times New Roman" w:hAnsi="Calibri" w:cs="Times New Roman"/>
                      <w:b/>
                      <w:bCs/>
                      <w:color w:val="FFFFFF"/>
                      <w:sz w:val="18"/>
                      <w:szCs w:val="18"/>
                    </w:rPr>
                    <w:t>&gt;24</w:t>
                  </w:r>
                </w:p>
              </w:tc>
              <w:tc>
                <w:tcPr>
                  <w:tcW w:w="810" w:type="dxa"/>
                  <w:tcBorders>
                    <w:top w:val="nil"/>
                    <w:left w:val="nil"/>
                    <w:bottom w:val="single" w:sz="4" w:space="0" w:color="auto"/>
                    <w:right w:val="single" w:sz="4" w:space="0" w:color="auto"/>
                  </w:tcBorders>
                  <w:shd w:val="clear" w:color="000000" w:fill="4F81BD"/>
                  <w:noWrap/>
                  <w:vAlign w:val="bottom"/>
                  <w:hideMark/>
                </w:tcPr>
                <w:p w:rsidR="00546460" w:rsidRPr="00F40EA6" w:rsidRDefault="00546460" w:rsidP="00546460">
                  <w:pPr>
                    <w:spacing w:before="0" w:after="0" w:line="240" w:lineRule="auto"/>
                    <w:jc w:val="center"/>
                    <w:rPr>
                      <w:rFonts w:ascii="Calibri" w:eastAsia="Times New Roman" w:hAnsi="Calibri" w:cs="Times New Roman"/>
                      <w:b/>
                      <w:bCs/>
                      <w:color w:val="FFFFFF"/>
                      <w:sz w:val="18"/>
                      <w:szCs w:val="18"/>
                    </w:rPr>
                  </w:pPr>
                  <w:r w:rsidRPr="00F40EA6">
                    <w:rPr>
                      <w:rFonts w:ascii="Calibri" w:eastAsia="Times New Roman" w:hAnsi="Calibri" w:cs="Times New Roman"/>
                      <w:b/>
                      <w:bCs/>
                      <w:color w:val="FFFFFF"/>
                      <w:sz w:val="18"/>
                      <w:szCs w:val="18"/>
                    </w:rPr>
                    <w:t>&gt;36</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D9D9D9"/>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Residence at AIDS Diagnosis</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Clark County</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1,044</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Washoe County</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sz w:val="18"/>
                      <w:szCs w:val="18"/>
                    </w:rPr>
                  </w:pPr>
                  <w:r w:rsidRPr="00F40EA6">
                    <w:rPr>
                      <w:rFonts w:ascii="Calibri" w:eastAsia="Times New Roman" w:hAnsi="Calibri" w:cs="Times New Roman"/>
                      <w:sz w:val="18"/>
                      <w:szCs w:val="18"/>
                    </w:rPr>
                    <w:t>92</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77%</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76%</w:t>
                  </w:r>
                </w:p>
              </w:tc>
            </w:tr>
            <w:tr w:rsidR="00546460" w:rsidRPr="00F40EA6" w:rsidTr="008A385E">
              <w:trPr>
                <w:trHeight w:val="20"/>
              </w:trPr>
              <w:tc>
                <w:tcPr>
                  <w:tcW w:w="2952" w:type="dxa"/>
                  <w:tcBorders>
                    <w:top w:val="single" w:sz="4" w:space="0" w:color="auto"/>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All Other counties*</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sz w:val="18"/>
                      <w:szCs w:val="18"/>
                    </w:rPr>
                  </w:pPr>
                  <w:r w:rsidRPr="00F40EA6">
                    <w:rPr>
                      <w:rFonts w:ascii="Calibri" w:eastAsia="Times New Roman" w:hAnsi="Calibri" w:cs="Times New Roman"/>
                      <w:sz w:val="18"/>
                      <w:szCs w:val="18"/>
                    </w:rPr>
                    <w:t>38</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89%</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r>
            <w:tr w:rsidR="00546460" w:rsidRPr="00F40EA6" w:rsidTr="008A385E">
              <w:trPr>
                <w:trHeight w:val="20"/>
              </w:trPr>
              <w:tc>
                <w:tcPr>
                  <w:tcW w:w="2952" w:type="dxa"/>
                  <w:tcBorders>
                    <w:top w:val="single" w:sz="4" w:space="0" w:color="auto"/>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Total</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1,174</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83%</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81%</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D9D9D9"/>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Sex at Birth</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Male</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973</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Female</w:t>
                  </w:r>
                </w:p>
              </w:tc>
              <w:tc>
                <w:tcPr>
                  <w:tcW w:w="900" w:type="dxa"/>
                  <w:tcBorders>
                    <w:top w:val="nil"/>
                    <w:left w:val="single" w:sz="4" w:space="0" w:color="auto"/>
                    <w:bottom w:val="single" w:sz="4" w:space="0" w:color="auto"/>
                    <w:right w:val="single" w:sz="4" w:space="0" w:color="auto"/>
                  </w:tcBorders>
                  <w:shd w:val="clear" w:color="000000" w:fill="FFFFFF"/>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201</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81%</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79%</w:t>
                  </w:r>
                </w:p>
              </w:tc>
            </w:tr>
            <w:tr w:rsidR="00546460" w:rsidRPr="00F40EA6" w:rsidTr="008A385E">
              <w:trPr>
                <w:trHeight w:val="20"/>
              </w:trPr>
              <w:tc>
                <w:tcPr>
                  <w:tcW w:w="2952" w:type="dxa"/>
                  <w:tcBorders>
                    <w:top w:val="single" w:sz="4" w:space="0" w:color="auto"/>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Total</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1,174</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83%</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81%</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D9D9D9"/>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Race/Ethnicity</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White, non-Hispanic</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458</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81%</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Black, non-Hispanic</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324</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81%</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Hispanic</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312</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85%</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83%</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Asian/Hawaiian/Pacific Islander</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51</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American Indian/Alaska Native</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10</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80%</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80%</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Multi-race/Other</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19</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79%</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74%</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Total</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1,174</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83%</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81%</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D9D9D9"/>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Age at AIDS Diagnosis</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&lt; 13</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13 to 24</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92</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95%</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93%</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25 to 34</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286</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91%</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90%</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88%</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35 to 44</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359</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85%</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83%</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45 to 54</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303</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80%</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55 to 64</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111</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74%</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66%</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61%</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65 +</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23</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52%</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48%</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43%</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Total</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1,174</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83%</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81%</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D9D9D9"/>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Transmission Category</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 xml:space="preserve">Male </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c>
                <w:tcPr>
                  <w:tcW w:w="900" w:type="dxa"/>
                  <w:tcBorders>
                    <w:top w:val="nil"/>
                    <w:left w:val="nil"/>
                    <w:bottom w:val="nil"/>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c>
                <w:tcPr>
                  <w:tcW w:w="810" w:type="dxa"/>
                  <w:tcBorders>
                    <w:top w:val="nil"/>
                    <w:left w:val="nil"/>
                    <w:bottom w:val="nil"/>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MSM</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736</w:t>
                  </w:r>
                </w:p>
              </w:tc>
              <w:tc>
                <w:tcPr>
                  <w:tcW w:w="900" w:type="dxa"/>
                  <w:tcBorders>
                    <w:top w:val="single" w:sz="4" w:space="0" w:color="auto"/>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86%</w:t>
                  </w:r>
                </w:p>
              </w:tc>
              <w:tc>
                <w:tcPr>
                  <w:tcW w:w="810" w:type="dxa"/>
                  <w:tcBorders>
                    <w:top w:val="single" w:sz="4" w:space="0" w:color="auto"/>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81%</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IDU</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67</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88%</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85%</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MSM+IDU</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63</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Heterosexual Contact</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40</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90%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88%</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85%</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Perinatal Exposure</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6</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Hemophilia/Blood Transfusion</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1</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NIR/NRR</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60</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78%</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78%</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78%</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1"/>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Subtotal</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973</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84%</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82%</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 xml:space="preserve">Female </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c>
                <w:tcPr>
                  <w:tcW w:w="900" w:type="dxa"/>
                  <w:tcBorders>
                    <w:top w:val="nil"/>
                    <w:left w:val="nil"/>
                    <w:bottom w:val="nil"/>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 </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IDU</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33</w:t>
                  </w:r>
                </w:p>
              </w:tc>
              <w:tc>
                <w:tcPr>
                  <w:tcW w:w="900" w:type="dxa"/>
                  <w:tcBorders>
                    <w:top w:val="single" w:sz="4" w:space="0" w:color="auto"/>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79%</w:t>
                  </w:r>
                </w:p>
              </w:tc>
              <w:tc>
                <w:tcPr>
                  <w:tcW w:w="810" w:type="dxa"/>
                  <w:tcBorders>
                    <w:top w:val="single" w:sz="4" w:space="0" w:color="auto"/>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76%</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Heterosexual Contact</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128</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88%</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83%</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81%</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Perinatal Exposure</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Hemophilia/Blood Transfusion</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0%</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0"/>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NIR/NRR</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37</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78%</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73%</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73%</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ind w:firstLineChars="100" w:firstLine="181"/>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Subtotal</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201</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86%</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81%</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79%</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D9D9D9"/>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Year of AIDS Diagnosis</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c>
                <w:tcPr>
                  <w:tcW w:w="810" w:type="dxa"/>
                  <w:tcBorders>
                    <w:top w:val="nil"/>
                    <w:left w:val="nil"/>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 </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2008</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280</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85%</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83%</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81%</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2009</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228</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89%</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86%</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2010</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226</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85%</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81%</w:t>
                  </w:r>
                </w:p>
              </w:tc>
            </w:tr>
            <w:tr w:rsidR="00546460" w:rsidRPr="00F40EA6" w:rsidTr="008A385E">
              <w:trPr>
                <w:trHeight w:val="20"/>
              </w:trPr>
              <w:tc>
                <w:tcPr>
                  <w:tcW w:w="2952" w:type="dxa"/>
                  <w:tcBorders>
                    <w:top w:val="nil"/>
                    <w:left w:val="single" w:sz="4" w:space="0" w:color="auto"/>
                    <w:bottom w:val="single" w:sz="4" w:space="0" w:color="auto"/>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2011</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225</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87%</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84%</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82%</w:t>
                  </w:r>
                </w:p>
              </w:tc>
            </w:tr>
            <w:tr w:rsidR="00546460" w:rsidRPr="00F40EA6" w:rsidTr="008A385E">
              <w:trPr>
                <w:trHeight w:val="20"/>
              </w:trPr>
              <w:tc>
                <w:tcPr>
                  <w:tcW w:w="2952" w:type="dxa"/>
                  <w:tcBorders>
                    <w:top w:val="nil"/>
                    <w:left w:val="single" w:sz="4" w:space="0" w:color="auto"/>
                    <w:bottom w:val="nil"/>
                    <w:right w:val="nil"/>
                  </w:tcBorders>
                  <w:shd w:val="clear" w:color="000000" w:fill="FFFFFF"/>
                  <w:noWrap/>
                  <w:vAlign w:val="bottom"/>
                  <w:hideMark/>
                </w:tcPr>
                <w:p w:rsidR="00546460" w:rsidRPr="00F40EA6" w:rsidRDefault="00546460" w:rsidP="00546460">
                  <w:pPr>
                    <w:spacing w:before="0" w:after="0" w:line="240" w:lineRule="auto"/>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2012</w:t>
                  </w:r>
                </w:p>
              </w:tc>
              <w:tc>
                <w:tcPr>
                  <w:tcW w:w="900" w:type="dxa"/>
                  <w:tcBorders>
                    <w:top w:val="nil"/>
                    <w:left w:val="single" w:sz="4" w:space="0" w:color="auto"/>
                    <w:bottom w:val="nil"/>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color w:val="000000"/>
                      <w:sz w:val="18"/>
                      <w:szCs w:val="18"/>
                    </w:rPr>
                  </w:pPr>
                  <w:r w:rsidRPr="00F40EA6">
                    <w:rPr>
                      <w:rFonts w:ascii="Calibri" w:eastAsia="Times New Roman" w:hAnsi="Calibri" w:cs="Times New Roman"/>
                      <w:color w:val="000000"/>
                      <w:sz w:val="18"/>
                      <w:szCs w:val="18"/>
                    </w:rPr>
                    <w:t>215</w:t>
                  </w:r>
                </w:p>
              </w:tc>
              <w:tc>
                <w:tcPr>
                  <w:tcW w:w="90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85%</w:t>
                  </w:r>
                </w:p>
              </w:tc>
              <w:tc>
                <w:tcPr>
                  <w:tcW w:w="810" w:type="dxa"/>
                  <w:tcBorders>
                    <w:top w:val="nil"/>
                    <w:left w:val="nil"/>
                    <w:bottom w:val="single" w:sz="4" w:space="0" w:color="auto"/>
                    <w:right w:val="nil"/>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82%</w:t>
                  </w:r>
                </w:p>
              </w:tc>
              <w:tc>
                <w:tcPr>
                  <w:tcW w:w="810" w:type="dxa"/>
                  <w:tcBorders>
                    <w:top w:val="nil"/>
                    <w:left w:val="nil"/>
                    <w:bottom w:val="single" w:sz="4" w:space="0" w:color="auto"/>
                    <w:right w:val="single" w:sz="4" w:space="0" w:color="auto"/>
                  </w:tcBorders>
                  <w:shd w:val="clear" w:color="000000" w:fill="FFFFFF"/>
                  <w:noWrap/>
                  <w:vAlign w:val="center"/>
                  <w:hideMark/>
                </w:tcPr>
                <w:p w:rsidR="00546460" w:rsidRPr="00F40EA6" w:rsidRDefault="00546460" w:rsidP="00546460">
                  <w:pPr>
                    <w:spacing w:before="0" w:after="0" w:line="240" w:lineRule="auto"/>
                    <w:jc w:val="right"/>
                    <w:rPr>
                      <w:rFonts w:ascii="Calibri" w:eastAsia="Times New Roman" w:hAnsi="Calibri" w:cs="Times New Roman"/>
                      <w:b/>
                      <w:bCs/>
                      <w:color w:val="000000"/>
                      <w:sz w:val="18"/>
                      <w:szCs w:val="18"/>
                    </w:rPr>
                  </w:pPr>
                  <w:r w:rsidRPr="00F40EA6">
                    <w:rPr>
                      <w:rFonts w:ascii="Calibri" w:eastAsia="Times New Roman" w:hAnsi="Calibri" w:cs="Times New Roman"/>
                      <w:b/>
                      <w:bCs/>
                      <w:color w:val="000000"/>
                      <w:sz w:val="18"/>
                      <w:szCs w:val="18"/>
                    </w:rPr>
                    <w:t>81%</w:t>
                  </w:r>
                </w:p>
              </w:tc>
            </w:tr>
            <w:tr w:rsidR="00546460" w:rsidRPr="00F40EA6" w:rsidTr="008A385E">
              <w:trPr>
                <w:trHeight w:val="20"/>
              </w:trPr>
              <w:tc>
                <w:tcPr>
                  <w:tcW w:w="2952" w:type="dxa"/>
                  <w:tcBorders>
                    <w:top w:val="single" w:sz="4" w:space="0" w:color="auto"/>
                    <w:left w:val="single" w:sz="4" w:space="0" w:color="auto"/>
                    <w:bottom w:val="single" w:sz="4" w:space="0" w:color="auto"/>
                    <w:right w:val="nil"/>
                  </w:tcBorders>
                  <w:shd w:val="clear" w:color="000000" w:fill="D9D9D9"/>
                  <w:noWrap/>
                  <w:vAlign w:val="bottom"/>
                  <w:hideMark/>
                </w:tcPr>
                <w:p w:rsidR="00546460" w:rsidRPr="00F40EA6" w:rsidRDefault="00546460" w:rsidP="00546460">
                  <w:pPr>
                    <w:spacing w:before="0" w:after="0" w:line="240" w:lineRule="auto"/>
                    <w:rPr>
                      <w:rFonts w:ascii="Calibri" w:eastAsia="Times New Roman" w:hAnsi="Calibri" w:cs="Times New Roman"/>
                      <w:b/>
                      <w:bCs/>
                      <w:sz w:val="18"/>
                      <w:szCs w:val="18"/>
                    </w:rPr>
                  </w:pPr>
                  <w:r w:rsidRPr="00F40EA6">
                    <w:rPr>
                      <w:rFonts w:ascii="Calibri" w:eastAsia="Times New Roman" w:hAnsi="Calibri" w:cs="Times New Roman"/>
                      <w:b/>
                      <w:bCs/>
                      <w:sz w:val="18"/>
                      <w:szCs w:val="18"/>
                    </w:rPr>
                    <w:t>Total</w:t>
                  </w:r>
                </w:p>
              </w:tc>
              <w:tc>
                <w:tcPr>
                  <w:tcW w:w="9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1,174</w:t>
                  </w:r>
                </w:p>
              </w:tc>
              <w:tc>
                <w:tcPr>
                  <w:tcW w:w="90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86%</w:t>
                  </w:r>
                </w:p>
              </w:tc>
              <w:tc>
                <w:tcPr>
                  <w:tcW w:w="810" w:type="dxa"/>
                  <w:tcBorders>
                    <w:top w:val="nil"/>
                    <w:left w:val="nil"/>
                    <w:bottom w:val="single" w:sz="4" w:space="0" w:color="auto"/>
                    <w:right w:val="nil"/>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83%</w:t>
                  </w:r>
                </w:p>
              </w:tc>
              <w:tc>
                <w:tcPr>
                  <w:tcW w:w="810" w:type="dxa"/>
                  <w:tcBorders>
                    <w:top w:val="nil"/>
                    <w:left w:val="nil"/>
                    <w:bottom w:val="single" w:sz="4" w:space="0" w:color="auto"/>
                    <w:right w:val="single" w:sz="4" w:space="0" w:color="auto"/>
                  </w:tcBorders>
                  <w:shd w:val="clear" w:color="000000" w:fill="D9D9D9"/>
                  <w:noWrap/>
                  <w:vAlign w:val="center"/>
                  <w:hideMark/>
                </w:tcPr>
                <w:p w:rsidR="00546460" w:rsidRPr="00F40EA6" w:rsidRDefault="00546460" w:rsidP="00546460">
                  <w:pPr>
                    <w:spacing w:before="0" w:after="0" w:line="240" w:lineRule="auto"/>
                    <w:jc w:val="right"/>
                    <w:rPr>
                      <w:rFonts w:ascii="Calibri" w:eastAsia="Times New Roman" w:hAnsi="Calibri" w:cs="Times New Roman"/>
                      <w:b/>
                      <w:bCs/>
                      <w:sz w:val="18"/>
                      <w:szCs w:val="18"/>
                    </w:rPr>
                  </w:pPr>
                  <w:r w:rsidRPr="00F40EA6">
                    <w:rPr>
                      <w:rFonts w:ascii="Calibri" w:eastAsia="Times New Roman" w:hAnsi="Calibri" w:cs="Times New Roman"/>
                      <w:b/>
                      <w:bCs/>
                      <w:sz w:val="18"/>
                      <w:szCs w:val="18"/>
                    </w:rPr>
                    <w:t>81%</w:t>
                  </w:r>
                </w:p>
              </w:tc>
            </w:tr>
          </w:tbl>
          <w:p w:rsidR="00546460" w:rsidRDefault="00546460" w:rsidP="00546460">
            <w:pPr>
              <w:widowControl w:val="0"/>
              <w:spacing w:before="0" w:after="0" w:line="240" w:lineRule="auto"/>
              <w:jc w:val="both"/>
            </w:pPr>
            <w:r>
              <w:lastRenderedPageBreak/>
              <w:t xml:space="preserve">In this analysis of survival after an HIV stage 3 (AIDS) diagnosis, only persons who were diagnosed with HIV stage 3 (AIDS) in Nevada in </w:t>
            </w:r>
            <w:r w:rsidRPr="00D77CFE">
              <w:t>200</w:t>
            </w:r>
            <w:r>
              <w:t>8</w:t>
            </w:r>
            <w:r w:rsidRPr="00D77CFE">
              <w:t>-20</w:t>
            </w:r>
            <w:r>
              <w:t>12</w:t>
            </w:r>
            <w:r w:rsidRPr="00D77CFE">
              <w:t xml:space="preserve"> and had a current Nevada residence as of March 2016 were included.</w:t>
            </w:r>
            <w:r>
              <w:t xml:space="preserve"> </w:t>
            </w:r>
          </w:p>
          <w:p w:rsidR="00546460" w:rsidRDefault="00546460" w:rsidP="00546460">
            <w:pPr>
              <w:widowControl w:val="0"/>
              <w:spacing w:before="0" w:after="0" w:line="240" w:lineRule="auto"/>
              <w:jc w:val="both"/>
            </w:pPr>
            <w:r>
              <w:t> </w:t>
            </w:r>
          </w:p>
          <w:p w:rsidR="00546460" w:rsidRDefault="00546460" w:rsidP="00546460">
            <w:pPr>
              <w:widowControl w:val="0"/>
              <w:spacing w:before="0" w:after="0" w:line="240" w:lineRule="auto"/>
              <w:jc w:val="both"/>
            </w:pPr>
            <w:r w:rsidRPr="00D77CFE">
              <w:t>Overall, 86% of persons living with HIV stage 3 (AIDS) in Nevada survived more than 12 months after their HIV stage 3 (AIDS) diagnosis. The proportion surviving more than 36 months was 81%, only 5% less than the proportion surviving more than 12 months.</w:t>
            </w:r>
          </w:p>
          <w:p w:rsidR="00546460" w:rsidRDefault="00546460" w:rsidP="00546460">
            <w:pPr>
              <w:widowControl w:val="0"/>
              <w:spacing w:before="0" w:after="0" w:line="240" w:lineRule="auto"/>
              <w:jc w:val="both"/>
            </w:pPr>
            <w:r>
              <w:t> </w:t>
            </w:r>
          </w:p>
          <w:p w:rsidR="00546460" w:rsidRDefault="00546460" w:rsidP="00546460">
            <w:pPr>
              <w:widowControl w:val="0"/>
              <w:spacing w:before="0" w:after="0" w:line="240" w:lineRule="auto"/>
              <w:jc w:val="both"/>
            </w:pPr>
            <w:r w:rsidRPr="00D77CFE">
              <w:t>From 200</w:t>
            </w:r>
            <w:r>
              <w:t>8</w:t>
            </w:r>
            <w:r w:rsidRPr="00D77CFE">
              <w:t xml:space="preserve"> to 20</w:t>
            </w:r>
            <w:r>
              <w:t>12</w:t>
            </w:r>
            <w:r w:rsidRPr="00D77CFE">
              <w:t>, there was little change in survival for more than 12, 24, and 36 months.</w:t>
            </w:r>
          </w:p>
          <w:p w:rsidR="00546460" w:rsidRDefault="00546460" w:rsidP="00546460">
            <w:pPr>
              <w:widowControl w:val="0"/>
              <w:spacing w:before="0" w:after="0" w:line="240" w:lineRule="auto"/>
              <w:jc w:val="both"/>
            </w:pPr>
            <w:r>
              <w:t> </w:t>
            </w:r>
          </w:p>
          <w:p w:rsidR="00546460" w:rsidRDefault="00546460" w:rsidP="00546460">
            <w:pPr>
              <w:widowControl w:val="0"/>
              <w:spacing w:before="0" w:after="0" w:line="240" w:lineRule="auto"/>
              <w:jc w:val="both"/>
            </w:pPr>
            <w:r>
              <w:t>Between Clark, Washoe, and all other counties, differences in the proportion surviving were very small. The all other counties region had the greatest proportion of persons surviving 36 months or more (87%).</w:t>
            </w:r>
          </w:p>
          <w:p w:rsidR="00546460" w:rsidRDefault="00546460" w:rsidP="00546460">
            <w:pPr>
              <w:widowControl w:val="0"/>
              <w:spacing w:before="0" w:after="0" w:line="240" w:lineRule="auto"/>
              <w:jc w:val="both"/>
            </w:pPr>
            <w:r>
              <w:t> </w:t>
            </w:r>
          </w:p>
          <w:p w:rsidR="00546460" w:rsidRDefault="00546460" w:rsidP="00546460">
            <w:pPr>
              <w:widowControl w:val="0"/>
              <w:spacing w:before="0" w:after="0" w:line="240" w:lineRule="auto"/>
              <w:jc w:val="both"/>
            </w:pPr>
            <w:r>
              <w:t>In Nevada as a whole, the proportion of males surviving more than 36 months was similar to that of females. Gender differences were small with regard to survival for more than 12 months and more than 24 months.</w:t>
            </w:r>
          </w:p>
          <w:p w:rsidR="00546460" w:rsidRDefault="00546460" w:rsidP="00546460">
            <w:pPr>
              <w:widowControl w:val="0"/>
              <w:spacing w:before="0" w:after="0" w:line="240" w:lineRule="auto"/>
              <w:jc w:val="both"/>
              <w:rPr>
                <w:rFonts w:ascii="Times New Roman" w:hAnsi="Times New Roman"/>
                <w:sz w:val="24"/>
                <w:szCs w:val="24"/>
              </w:rPr>
            </w:pPr>
            <w:r>
              <w:rPr>
                <w:rFonts w:ascii="Times New Roman" w:hAnsi="Times New Roman"/>
                <w:sz w:val="24"/>
                <w:szCs w:val="24"/>
              </w:rPr>
              <w:t> </w:t>
            </w:r>
          </w:p>
          <w:p w:rsidR="00546460" w:rsidRPr="00623DA6" w:rsidRDefault="00546460" w:rsidP="00546460">
            <w:pPr>
              <w:widowControl w:val="0"/>
              <w:spacing w:before="0" w:after="0" w:line="240" w:lineRule="auto"/>
              <w:jc w:val="both"/>
            </w:pPr>
            <w:r>
              <w:t>AI/AN</w:t>
            </w:r>
            <w:r w:rsidRPr="00623DA6">
              <w:t xml:space="preserve"> had the lowest proportion of persons surviving more than 12 months after an </w:t>
            </w:r>
            <w:r>
              <w:t>H</w:t>
            </w:r>
            <w:r w:rsidRPr="00F837E6">
              <w:t>IV stage 3 (AIDS) diagnosis (80%), followed by API (84%). Hispanics had the highest proportion surviving more than 12 months (87%) followed by Blacks (87%).</w:t>
            </w:r>
          </w:p>
          <w:p w:rsidR="00546460" w:rsidRDefault="00546460" w:rsidP="00546460">
            <w:pPr>
              <w:widowControl w:val="0"/>
              <w:spacing w:before="0" w:after="0" w:line="240" w:lineRule="auto"/>
              <w:jc w:val="both"/>
              <w:rPr>
                <w:rFonts w:ascii="Times New Roman" w:hAnsi="Times New Roman"/>
              </w:rPr>
            </w:pPr>
            <w:r>
              <w:rPr>
                <w:rFonts w:ascii="Times New Roman" w:hAnsi="Times New Roman"/>
              </w:rPr>
              <w:t xml:space="preserve"> </w:t>
            </w:r>
          </w:p>
          <w:p w:rsidR="00546460" w:rsidRDefault="00546460" w:rsidP="00546460">
            <w:pPr>
              <w:widowControl w:val="0"/>
              <w:spacing w:before="0" w:after="0" w:line="240" w:lineRule="auto"/>
              <w:jc w:val="both"/>
              <w:rPr>
                <w:rFonts w:ascii="Calibri" w:hAnsi="Calibri"/>
              </w:rPr>
            </w:pPr>
            <w:r>
              <w:t xml:space="preserve">As age increased, the proportion of persons surviving more than 12 months decreased. Persons 55 to 64 years old and persons 65 had the lowest proportions of persons surviving more than 12 months (74% </w:t>
            </w:r>
            <w:r w:rsidRPr="00A90D07">
              <w:t>and 52%, respectively</w:t>
            </w:r>
            <w:r>
              <w:t xml:space="preserve">). </w:t>
            </w:r>
          </w:p>
          <w:p w:rsidR="00546460" w:rsidRDefault="00546460" w:rsidP="00546460">
            <w:pPr>
              <w:widowControl w:val="0"/>
              <w:spacing w:before="0" w:after="0" w:line="240" w:lineRule="auto"/>
              <w:jc w:val="both"/>
            </w:pPr>
            <w:r>
              <w:t> </w:t>
            </w:r>
          </w:p>
          <w:p w:rsidR="00546460" w:rsidRDefault="00546460" w:rsidP="00546460">
            <w:pPr>
              <w:widowControl w:val="0"/>
              <w:spacing w:before="0" w:after="0" w:line="240" w:lineRule="auto"/>
              <w:jc w:val="both"/>
            </w:pPr>
            <w:r>
              <w:t xml:space="preserve">Among males, persons with a transmission category of injection drug use NIR/NRR had the lowest proportion of persons surviving more than 12 months (78%). </w:t>
            </w:r>
          </w:p>
          <w:p w:rsidR="00546460" w:rsidRDefault="00546460" w:rsidP="00546460">
            <w:pPr>
              <w:widowControl w:val="0"/>
              <w:spacing w:before="0" w:after="0" w:line="240" w:lineRule="auto"/>
              <w:jc w:val="both"/>
            </w:pPr>
            <w:r>
              <w:t> </w:t>
            </w:r>
          </w:p>
          <w:p w:rsidR="00546460" w:rsidRDefault="00546460" w:rsidP="00546460">
            <w:pPr>
              <w:widowControl w:val="0"/>
              <w:spacing w:before="0" w:after="0" w:line="240" w:lineRule="auto"/>
              <w:jc w:val="both"/>
            </w:pPr>
            <w:r>
              <w:t>Among females, persons with a transmission category of Heterosexual contact had the highest proportion surviving more than 12 months 88%). However, the overall proportion of females surviving more than 36 months was only 79%.</w:t>
            </w:r>
          </w:p>
          <w:p w:rsidR="00546460" w:rsidRDefault="00546460" w:rsidP="005D2B0D">
            <w:pPr>
              <w:widowControl w:val="0"/>
              <w:spacing w:before="0" w:after="0"/>
              <w:jc w:val="both"/>
            </w:pPr>
          </w:p>
          <w:p w:rsidR="005D2B0D" w:rsidRPr="00BB2B2A" w:rsidRDefault="005D2B0D" w:rsidP="007952AA">
            <w:pPr>
              <w:spacing w:before="0" w:after="0" w:line="240" w:lineRule="auto"/>
              <w:rPr>
                <w:rFonts w:ascii="Calibri" w:eastAsia="Times New Roman" w:hAnsi="Calibri" w:cs="Arial"/>
                <w:i/>
                <w:iCs/>
                <w:sz w:val="16"/>
                <w:szCs w:val="16"/>
              </w:rPr>
            </w:pPr>
          </w:p>
        </w:tc>
      </w:tr>
    </w:tbl>
    <w:p w:rsidR="009B1A79" w:rsidRDefault="009B1A79" w:rsidP="00A61FF3">
      <w:pPr>
        <w:spacing w:before="0" w:after="0" w:line="240" w:lineRule="auto"/>
        <w:rPr>
          <w:rFonts w:ascii="Calibri" w:eastAsia="Times New Roman" w:hAnsi="Calibri" w:cs="Arial"/>
          <w:i/>
          <w:iCs/>
          <w:sz w:val="16"/>
          <w:szCs w:val="16"/>
        </w:rPr>
        <w:sectPr w:rsidR="009B1A79" w:rsidSect="009B63AA">
          <w:endnotePr>
            <w:numFmt w:val="decimal"/>
          </w:endnotePr>
          <w:pgSz w:w="12240" w:h="15840" w:code="1"/>
          <w:pgMar w:top="1440" w:right="1440" w:bottom="1440" w:left="1440" w:header="0" w:footer="288" w:gutter="0"/>
          <w:cols w:space="720"/>
          <w:titlePg/>
          <w:docGrid w:linePitch="360"/>
        </w:sectPr>
      </w:pPr>
    </w:p>
    <w:p w:rsidR="009B1A79" w:rsidRDefault="009B1A79" w:rsidP="00A61FF3">
      <w:pPr>
        <w:spacing w:before="0" w:after="0" w:line="240" w:lineRule="auto"/>
        <w:rPr>
          <w:rFonts w:ascii="Calibri" w:eastAsia="Times New Roman" w:hAnsi="Calibri" w:cs="Arial"/>
          <w:i/>
          <w:iCs/>
          <w:sz w:val="16"/>
          <w:szCs w:val="16"/>
        </w:rPr>
        <w:sectPr w:rsidR="009B1A79" w:rsidSect="009B63AA">
          <w:type w:val="continuous"/>
          <w:pgSz w:w="12240" w:h="15840" w:code="1"/>
          <w:pgMar w:top="1440" w:right="1440" w:bottom="1440" w:left="1440" w:header="0" w:footer="288" w:gutter="0"/>
          <w:cols w:space="720"/>
          <w:titlePg/>
          <w:docGrid w:linePitch="360"/>
        </w:sectPr>
      </w:pPr>
    </w:p>
    <w:p w:rsidR="007952AA" w:rsidRPr="007952AA" w:rsidRDefault="007952AA" w:rsidP="007952AA">
      <w:pPr>
        <w:rPr>
          <w:b/>
          <w:bCs/>
          <w:color w:val="1F497D"/>
          <w:sz w:val="22"/>
        </w:rPr>
        <w:sectPr w:rsidR="007952AA" w:rsidRPr="007952AA" w:rsidSect="009B63AA">
          <w:endnotePr>
            <w:numFmt w:val="decimal"/>
          </w:endnotePr>
          <w:type w:val="continuous"/>
          <w:pgSz w:w="12240" w:h="15840" w:code="1"/>
          <w:pgMar w:top="1440" w:right="1440" w:bottom="1440" w:left="1440" w:header="0" w:footer="288" w:gutter="0"/>
          <w:cols w:space="720"/>
          <w:titlePg/>
          <w:docGrid w:linePitch="360"/>
        </w:sectPr>
      </w:pPr>
    </w:p>
    <w:p w:rsidR="00C26637" w:rsidRDefault="00C26637" w:rsidP="00342034">
      <w:pPr>
        <w:pStyle w:val="Heading2"/>
      </w:pPr>
      <w:bookmarkStart w:id="61" w:name="_Toc461188604"/>
      <w:r>
        <w:lastRenderedPageBreak/>
        <w:t>Appendix C: Jurisdictional HIV Resources Inventory</w:t>
      </w:r>
      <w:bookmarkEnd w:id="61"/>
    </w:p>
    <w:p w:rsidR="00EC4E2B" w:rsidRDefault="00EC4E2B" w:rsidP="00EC4E2B">
      <w:pPr>
        <w:rPr>
          <w:rFonts w:cs="Calibri Light"/>
        </w:rPr>
      </w:pPr>
      <w:r>
        <w:rPr>
          <w:rFonts w:cs="Calibri Light"/>
          <w:b/>
        </w:rPr>
        <w:t>Jurisdictional HIV Resources Inventory</w:t>
      </w:r>
    </w:p>
    <w:tbl>
      <w:tblPr>
        <w:tblStyle w:val="GridTable4-Accent11"/>
        <w:tblW w:w="5000" w:type="pct"/>
        <w:tblLook w:val="04A0" w:firstRow="1" w:lastRow="0" w:firstColumn="1" w:lastColumn="0" w:noHBand="0" w:noVBand="1"/>
      </w:tblPr>
      <w:tblGrid>
        <w:gridCol w:w="1545"/>
        <w:gridCol w:w="1488"/>
        <w:gridCol w:w="1405"/>
        <w:gridCol w:w="2575"/>
        <w:gridCol w:w="2337"/>
      </w:tblGrid>
      <w:tr w:rsidR="00EC4E2B" w:rsidRPr="00637EC5" w:rsidTr="005D2B0D">
        <w:trPr>
          <w:cnfStyle w:val="100000000000" w:firstRow="1" w:lastRow="0" w:firstColumn="0" w:lastColumn="0" w:oddVBand="0" w:evenVBand="0" w:oddHBand="0" w:evenHBand="0" w:firstRowFirstColumn="0" w:firstRowLastColumn="0" w:lastRowFirstColumn="0" w:lastRowLastColumn="0"/>
          <w:trHeight w:val="1035"/>
          <w:tblHeader/>
        </w:trPr>
        <w:tc>
          <w:tcPr>
            <w:cnfStyle w:val="001000000000" w:firstRow="0" w:lastRow="0" w:firstColumn="1" w:lastColumn="0" w:oddVBand="0" w:evenVBand="0" w:oddHBand="0" w:evenHBand="0" w:firstRowFirstColumn="0" w:firstRowLastColumn="0" w:lastRowFirstColumn="0" w:lastRowLastColumn="0"/>
            <w:tcW w:w="869" w:type="pct"/>
            <w:shd w:val="clear" w:color="auto" w:fill="808080" w:themeFill="background1" w:themeFillShade="80"/>
            <w:hideMark/>
          </w:tcPr>
          <w:p w:rsidR="00EC4E2B" w:rsidRPr="00637EC5" w:rsidRDefault="00EC4E2B" w:rsidP="00B56801">
            <w:pPr>
              <w:spacing w:before="0"/>
              <w:rPr>
                <w:bCs w:val="0"/>
              </w:rPr>
            </w:pPr>
            <w:r w:rsidRPr="00637EC5">
              <w:rPr>
                <w:bCs w:val="0"/>
              </w:rPr>
              <w:t>Funding source</w:t>
            </w:r>
          </w:p>
        </w:tc>
        <w:tc>
          <w:tcPr>
            <w:tcW w:w="625" w:type="pct"/>
            <w:shd w:val="clear" w:color="auto" w:fill="808080" w:themeFill="background1" w:themeFillShade="80"/>
            <w:hideMark/>
          </w:tcPr>
          <w:p w:rsidR="00EC4E2B" w:rsidRPr="00637EC5" w:rsidRDefault="00EC4E2B" w:rsidP="00B56801">
            <w:pPr>
              <w:spacing w:before="0"/>
              <w:cnfStyle w:val="100000000000" w:firstRow="1" w:lastRow="0" w:firstColumn="0" w:lastColumn="0" w:oddVBand="0" w:evenVBand="0" w:oddHBand="0" w:evenHBand="0" w:firstRowFirstColumn="0" w:firstRowLastColumn="0" w:lastRowFirstColumn="0" w:lastRowLastColumn="0"/>
              <w:rPr>
                <w:bCs w:val="0"/>
              </w:rPr>
            </w:pPr>
            <w:r w:rsidRPr="00637EC5">
              <w:rPr>
                <w:bCs w:val="0"/>
              </w:rPr>
              <w:t>Funding Amount FY16</w:t>
            </w:r>
          </w:p>
        </w:tc>
        <w:tc>
          <w:tcPr>
            <w:tcW w:w="794" w:type="pct"/>
            <w:shd w:val="clear" w:color="auto" w:fill="808080" w:themeFill="background1" w:themeFillShade="80"/>
            <w:hideMark/>
          </w:tcPr>
          <w:p w:rsidR="00EC4E2B" w:rsidRPr="00637EC5" w:rsidRDefault="00EC4E2B" w:rsidP="00B56801">
            <w:pPr>
              <w:spacing w:before="0"/>
              <w:cnfStyle w:val="100000000000" w:firstRow="1" w:lastRow="0" w:firstColumn="0" w:lastColumn="0" w:oddVBand="0" w:evenVBand="0" w:oddHBand="0" w:evenHBand="0" w:firstRowFirstColumn="0" w:firstRowLastColumn="0" w:lastRowFirstColumn="0" w:lastRowLastColumn="0"/>
              <w:rPr>
                <w:bCs w:val="0"/>
              </w:rPr>
            </w:pPr>
            <w:r w:rsidRPr="00637EC5">
              <w:rPr>
                <w:bCs w:val="0"/>
              </w:rPr>
              <w:t xml:space="preserve">Funded Service Provider Agencies </w:t>
            </w:r>
          </w:p>
        </w:tc>
        <w:tc>
          <w:tcPr>
            <w:tcW w:w="1420" w:type="pct"/>
            <w:shd w:val="clear" w:color="auto" w:fill="808080" w:themeFill="background1" w:themeFillShade="80"/>
            <w:hideMark/>
          </w:tcPr>
          <w:p w:rsidR="00EC4E2B" w:rsidRPr="00637EC5" w:rsidRDefault="00EC4E2B" w:rsidP="00B56801">
            <w:pPr>
              <w:spacing w:before="0"/>
              <w:cnfStyle w:val="100000000000" w:firstRow="1" w:lastRow="0" w:firstColumn="0" w:lastColumn="0" w:oddVBand="0" w:evenVBand="0" w:oddHBand="0" w:evenHBand="0" w:firstRowFirstColumn="0" w:firstRowLastColumn="0" w:lastRowFirstColumn="0" w:lastRowLastColumn="0"/>
              <w:rPr>
                <w:bCs w:val="0"/>
              </w:rPr>
            </w:pPr>
            <w:r w:rsidRPr="00637EC5">
              <w:rPr>
                <w:bCs w:val="0"/>
              </w:rPr>
              <w:t>Services Delivered</w:t>
            </w:r>
          </w:p>
        </w:tc>
        <w:tc>
          <w:tcPr>
            <w:tcW w:w="1292" w:type="pct"/>
            <w:shd w:val="clear" w:color="auto" w:fill="808080" w:themeFill="background1" w:themeFillShade="80"/>
            <w:hideMark/>
          </w:tcPr>
          <w:p w:rsidR="00EC4E2B" w:rsidRPr="00637EC5" w:rsidRDefault="00EC4E2B" w:rsidP="00B56801">
            <w:pPr>
              <w:spacing w:before="0"/>
              <w:cnfStyle w:val="100000000000" w:firstRow="1" w:lastRow="0" w:firstColumn="0" w:lastColumn="0" w:oddVBand="0" w:evenVBand="0" w:oddHBand="0" w:evenHBand="0" w:firstRowFirstColumn="0" w:firstRowLastColumn="0" w:lastRowFirstColumn="0" w:lastRowLastColumn="0"/>
              <w:rPr>
                <w:bCs w:val="0"/>
              </w:rPr>
            </w:pPr>
            <w:r w:rsidRPr="00637EC5">
              <w:rPr>
                <w:bCs w:val="0"/>
              </w:rPr>
              <w:t>Which HIV Care Continuum Step(s) or Component(s) of HIV Prevention Impacted</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Ryan White Part A (Las Vegas/Clark County TGA)</w:t>
            </w:r>
          </w:p>
        </w:tc>
        <w:tc>
          <w:tcPr>
            <w:tcW w:w="625" w:type="pct"/>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$4,727,707.65</w:t>
            </w:r>
          </w:p>
        </w:tc>
        <w:tc>
          <w:tcPr>
            <w:tcW w:w="794"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c>
          <w:tcPr>
            <w:tcW w:w="1420"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c>
          <w:tcPr>
            <w:tcW w:w="1292"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DBE5F1" w:themeFill="accent1"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DBE5F1" w:themeFill="accent1" w:themeFillTint="33"/>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$612,108.31</w:t>
            </w:r>
          </w:p>
        </w:tc>
        <w:tc>
          <w:tcPr>
            <w:tcW w:w="794"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Aid for AIDS of Nevada (AFAN)</w:t>
            </w:r>
          </w:p>
        </w:tc>
        <w:tc>
          <w:tcPr>
            <w:tcW w:w="1420"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emergency financial assistance, medical nutrition therapy</w:t>
            </w:r>
          </w:p>
        </w:tc>
        <w:tc>
          <w:tcPr>
            <w:tcW w:w="1292"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$305,348.20</w:t>
            </w:r>
          </w:p>
        </w:tc>
        <w:tc>
          <w:tcPr>
            <w:tcW w:w="794"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AIDS Healthcare Foundation</w:t>
            </w:r>
          </w:p>
        </w:tc>
        <w:tc>
          <w:tcPr>
            <w:tcW w:w="1420"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outpatient/ambulatory medical care, early intervention services</w:t>
            </w:r>
          </w:p>
        </w:tc>
        <w:tc>
          <w:tcPr>
            <w:tcW w:w="1292"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DBE5F1" w:themeFill="accent1"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DBE5F1" w:themeFill="accent1" w:themeFillTint="33"/>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$341,047.84</w:t>
            </w:r>
          </w:p>
        </w:tc>
        <w:tc>
          <w:tcPr>
            <w:tcW w:w="794"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Community Counseling Center</w:t>
            </w:r>
          </w:p>
        </w:tc>
        <w:tc>
          <w:tcPr>
            <w:tcW w:w="1420"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substance abuse and mental health services</w:t>
            </w:r>
          </w:p>
        </w:tc>
        <w:tc>
          <w:tcPr>
            <w:tcW w:w="1292"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869" w:type="pct"/>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$30,000.00</w:t>
            </w:r>
          </w:p>
        </w:tc>
        <w:tc>
          <w:tcPr>
            <w:tcW w:w="794"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Clark County Social Service</w:t>
            </w:r>
          </w:p>
        </w:tc>
        <w:tc>
          <w:tcPr>
            <w:tcW w:w="1420"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Health Insurance Continuation Program (Co-pays for Physician and Lab visits)</w:t>
            </w:r>
          </w:p>
        </w:tc>
        <w:tc>
          <w:tcPr>
            <w:tcW w:w="1292"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Retained in Car</w:t>
            </w:r>
            <w:r>
              <w:rPr>
                <w:rFonts w:ascii="Calibri" w:eastAsia="Times New Roman" w:hAnsi="Calibri" w:cs="Times New Roman"/>
                <w:color w:val="000000"/>
              </w:rPr>
              <w:t xml:space="preserve">e; </w:t>
            </w:r>
            <w:r w:rsidRPr="00637EC5">
              <w:rPr>
                <w:rFonts w:ascii="Calibri" w:eastAsia="Times New Roman" w:hAnsi="Calibri" w:cs="Times New Roman"/>
                <w:color w:val="000000"/>
              </w:rPr>
              <w:t>Viral Load Suppression</w:t>
            </w:r>
          </w:p>
        </w:tc>
      </w:tr>
      <w:tr w:rsidR="00EC4E2B" w:rsidRPr="00637EC5" w:rsidTr="00B56801">
        <w:trPr>
          <w:trHeight w:val="1718"/>
        </w:trPr>
        <w:tc>
          <w:tcPr>
            <w:cnfStyle w:val="001000000000" w:firstRow="0" w:lastRow="0" w:firstColumn="1" w:lastColumn="0" w:oddVBand="0" w:evenVBand="0" w:oddHBand="0" w:evenHBand="0" w:firstRowFirstColumn="0" w:firstRowLastColumn="0" w:lastRowFirstColumn="0" w:lastRowLastColumn="0"/>
            <w:tcW w:w="869" w:type="pct"/>
            <w:shd w:val="clear" w:color="auto" w:fill="DBE5F1" w:themeFill="accent1"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DBE5F1" w:themeFill="accent1" w:themeFillTint="33"/>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$391,611.80</w:t>
            </w:r>
          </w:p>
        </w:tc>
        <w:tc>
          <w:tcPr>
            <w:tcW w:w="794"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Community Outreach Medical Center</w:t>
            </w:r>
          </w:p>
        </w:tc>
        <w:tc>
          <w:tcPr>
            <w:tcW w:w="1420"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outpatient/ambulatory medical care; emergency financial assistance; medical nutrition therapy; medical transportation; food bank/home delivered meals; health education/risk reduction; psychosocial support services</w:t>
            </w:r>
          </w:p>
        </w:tc>
        <w:tc>
          <w:tcPr>
            <w:tcW w:w="1292"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$35,000.00</w:t>
            </w:r>
          </w:p>
        </w:tc>
        <w:tc>
          <w:tcPr>
            <w:tcW w:w="794"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Firstmed Health and Wellness</w:t>
            </w:r>
          </w:p>
        </w:tc>
        <w:tc>
          <w:tcPr>
            <w:tcW w:w="1420"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Outpatient &amp; ambulatory health</w:t>
            </w:r>
          </w:p>
        </w:tc>
        <w:tc>
          <w:tcPr>
            <w:tcW w:w="1292"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DBE5F1" w:themeFill="accent1"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DBE5F1" w:themeFill="accent1" w:themeFillTint="33"/>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$180,939.53</w:t>
            </w:r>
          </w:p>
        </w:tc>
        <w:tc>
          <w:tcPr>
            <w:tcW w:w="794"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Golden Rainbow</w:t>
            </w:r>
          </w:p>
        </w:tc>
        <w:tc>
          <w:tcPr>
            <w:tcW w:w="1420"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Emergency financial assistance; housing assistance</w:t>
            </w:r>
          </w:p>
        </w:tc>
        <w:tc>
          <w:tcPr>
            <w:tcW w:w="1292"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xml:space="preserve">Retained in Care; </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$116,777.08</w:t>
            </w:r>
          </w:p>
        </w:tc>
        <w:tc>
          <w:tcPr>
            <w:tcW w:w="794"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Horizon Ridge Clinic</w:t>
            </w:r>
          </w:p>
        </w:tc>
        <w:tc>
          <w:tcPr>
            <w:tcW w:w="1420"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mental health; substance abuse outpatient; pyschosocial support services</w:t>
            </w:r>
          </w:p>
        </w:tc>
        <w:tc>
          <w:tcPr>
            <w:tcW w:w="1292"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trHeight w:val="1970"/>
        </w:trPr>
        <w:tc>
          <w:tcPr>
            <w:cnfStyle w:val="001000000000" w:firstRow="0" w:lastRow="0" w:firstColumn="1" w:lastColumn="0" w:oddVBand="0" w:evenVBand="0" w:oddHBand="0" w:evenHBand="0" w:firstRowFirstColumn="0" w:firstRowLastColumn="0" w:lastRowFirstColumn="0" w:lastRowLastColumn="0"/>
            <w:tcW w:w="869" w:type="pct"/>
            <w:shd w:val="clear" w:color="auto" w:fill="DBE5F1" w:themeFill="accent1"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lastRenderedPageBreak/>
              <w:t> </w:t>
            </w:r>
          </w:p>
        </w:tc>
        <w:tc>
          <w:tcPr>
            <w:tcW w:w="625" w:type="pct"/>
            <w:shd w:val="clear" w:color="auto" w:fill="DBE5F1" w:themeFill="accent1" w:themeFillTint="33"/>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$188,000.00</w:t>
            </w:r>
          </w:p>
        </w:tc>
        <w:tc>
          <w:tcPr>
            <w:tcW w:w="794"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North Country Health Center</w:t>
            </w:r>
          </w:p>
        </w:tc>
        <w:tc>
          <w:tcPr>
            <w:tcW w:w="1420"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Outpatient ambulatory medical care; oral healthcare; health insurance continuation program; mental health; medical nutrition therapy; medical case management; emergency financial assistance; food bank/home delivered meals; medical transportation; psychosocial support services</w:t>
            </w:r>
          </w:p>
        </w:tc>
        <w:tc>
          <w:tcPr>
            <w:tcW w:w="1292"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69" w:type="pct"/>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$119,277.08</w:t>
            </w:r>
          </w:p>
        </w:tc>
        <w:tc>
          <w:tcPr>
            <w:tcW w:w="794"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Nye County Health and Human Services</w:t>
            </w:r>
          </w:p>
        </w:tc>
        <w:tc>
          <w:tcPr>
            <w:tcW w:w="1420"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medical transportation assistance; food bank/home delivered meals; emergency financial assistance</w:t>
            </w:r>
          </w:p>
        </w:tc>
        <w:tc>
          <w:tcPr>
            <w:tcW w:w="1292"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trHeight w:val="1035"/>
        </w:trPr>
        <w:tc>
          <w:tcPr>
            <w:cnfStyle w:val="001000000000" w:firstRow="0" w:lastRow="0" w:firstColumn="1" w:lastColumn="0" w:oddVBand="0" w:evenVBand="0" w:oddHBand="0" w:evenHBand="0" w:firstRowFirstColumn="0" w:firstRowLastColumn="0" w:lastRowFirstColumn="0" w:lastRowLastColumn="0"/>
            <w:tcW w:w="869" w:type="pct"/>
            <w:shd w:val="clear" w:color="auto" w:fill="DBE5F1" w:themeFill="accent1"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DBE5F1" w:themeFill="accent1" w:themeFillTint="33"/>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$1,360,000.00</w:t>
            </w:r>
          </w:p>
        </w:tc>
        <w:tc>
          <w:tcPr>
            <w:tcW w:w="794"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Southern Nevada Health District Sexual Health Clinic</w:t>
            </w:r>
          </w:p>
        </w:tc>
        <w:tc>
          <w:tcPr>
            <w:tcW w:w="1420"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outpatient/ambulatory medical care; early intervention services; substance abuse; emergency financial assistance</w:t>
            </w:r>
          </w:p>
        </w:tc>
        <w:tc>
          <w:tcPr>
            <w:tcW w:w="1292"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$892,212.43</w:t>
            </w:r>
          </w:p>
        </w:tc>
        <w:tc>
          <w:tcPr>
            <w:tcW w:w="794"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UMC Wellness Center</w:t>
            </w:r>
          </w:p>
        </w:tc>
        <w:tc>
          <w:tcPr>
            <w:tcW w:w="1420"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outpatient/ambulatory medical care; oral health care; mental health</w:t>
            </w:r>
          </w:p>
        </w:tc>
        <w:tc>
          <w:tcPr>
            <w:tcW w:w="1292" w:type="pct"/>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DBE5F1" w:themeFill="accent1"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DBE5F1" w:themeFill="accent1" w:themeFillTint="33"/>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i/>
                <w:color w:val="000000"/>
              </w:rPr>
            </w:pPr>
            <w:r w:rsidRPr="00637EC5">
              <w:rPr>
                <w:rFonts w:ascii="Calibri" w:eastAsia="Times New Roman" w:hAnsi="Calibri" w:cs="Times New Roman"/>
                <w:bCs/>
                <w:i/>
                <w:color w:val="000000"/>
              </w:rPr>
              <w:t>$155,385.38</w:t>
            </w:r>
          </w:p>
        </w:tc>
        <w:tc>
          <w:tcPr>
            <w:tcW w:w="794"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UNLV School of Dental Medicine</w:t>
            </w:r>
          </w:p>
        </w:tc>
        <w:tc>
          <w:tcPr>
            <w:tcW w:w="1420"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Oral healthcare</w:t>
            </w:r>
          </w:p>
        </w:tc>
        <w:tc>
          <w:tcPr>
            <w:tcW w:w="1292" w:type="pct"/>
            <w:shd w:val="clear" w:color="auto" w:fill="DBE5F1" w:themeFill="accent1"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xml:space="preserve">Retained in Care; </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Ryan White Part B (Nevada Department of Health and Human Services)</w:t>
            </w:r>
          </w:p>
        </w:tc>
        <w:tc>
          <w:tcPr>
            <w:tcW w:w="625" w:type="pct"/>
            <w:shd w:val="clear" w:color="auto" w:fill="F2DBDB" w:themeFill="accent2" w:themeFillTint="33"/>
            <w:noWrap/>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p w:rsidR="00EC4E2B" w:rsidRPr="00637EC5" w:rsidRDefault="00EC4E2B" w:rsidP="00B56801">
            <w:pP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37EC5">
              <w:rPr>
                <w:rFonts w:ascii="Calibri" w:hAnsi="Calibri"/>
                <w:b/>
                <w:color w:val="000000"/>
              </w:rPr>
              <w:t>$4,847,857.00</w:t>
            </w:r>
          </w:p>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r>
      <w:tr w:rsidR="00EC4E2B" w:rsidRPr="00637EC5" w:rsidTr="00B56801">
        <w:trPr>
          <w:trHeight w:val="105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$78,208.00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Access for Community &amp; Cultural Education Programs &amp; Training (ACCEPT)</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Health Education/Risk Reduction</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$1,670,956.00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xml:space="preserve">Access to Healthcare </w:t>
            </w:r>
            <w:r w:rsidRPr="00637EC5">
              <w:rPr>
                <w:rFonts w:ascii="Calibri" w:eastAsia="Times New Roman" w:hAnsi="Calibri" w:cs="Times New Roman"/>
                <w:color w:val="000000"/>
              </w:rPr>
              <w:lastRenderedPageBreak/>
              <w:t>Network (AHN)</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lastRenderedPageBreak/>
              <w:t>Health Ins Prem</w:t>
            </w:r>
            <w:r w:rsidR="008A385E">
              <w:rPr>
                <w:rFonts w:ascii="Calibri" w:eastAsia="Times New Roman" w:hAnsi="Calibri" w:cs="Times New Roman"/>
                <w:color w:val="000000"/>
              </w:rPr>
              <w:t>ium</w:t>
            </w:r>
            <w:r w:rsidRPr="00637EC5">
              <w:rPr>
                <w:rFonts w:ascii="Calibri" w:eastAsia="Times New Roman" w:hAnsi="Calibri" w:cs="Times New Roman"/>
                <w:color w:val="000000"/>
              </w:rPr>
              <w:t xml:space="preserve"> Cost Sharing; Oral Health Care; </w:t>
            </w:r>
            <w:r w:rsidRPr="00637EC5">
              <w:rPr>
                <w:rFonts w:ascii="Calibri" w:eastAsia="Times New Roman" w:hAnsi="Calibri" w:cs="Times New Roman"/>
                <w:color w:val="000000"/>
              </w:rPr>
              <w:lastRenderedPageBreak/>
              <w:t>Medical Transportation; Referral Healthcare</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lastRenderedPageBreak/>
              <w:t xml:space="preserve">HIV-Diagnosed; Linkage to Care; Retained in Care; </w:t>
            </w:r>
            <w:r w:rsidRPr="00637EC5">
              <w:rPr>
                <w:rFonts w:ascii="Calibri" w:eastAsia="Times New Roman" w:hAnsi="Calibri" w:cs="Times New Roman"/>
                <w:color w:val="000000"/>
              </w:rPr>
              <w:lastRenderedPageBreak/>
              <w:t>Antiretroviral Use; Viral Load Suppression</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lastRenderedPageBreak/>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$149,796.00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Aid for AIDS of Nevada (AFAN)</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Referral Healthcare; Health Education/Risk Reduction</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Linked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$279,857.00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CARE Coalition</w:t>
            </w:r>
          </w:p>
        </w:tc>
        <w:tc>
          <w:tcPr>
            <w:tcW w:w="1420" w:type="pct"/>
            <w:shd w:val="clear" w:color="auto" w:fill="F2DBDB" w:themeFill="accent2" w:themeFillTint="33"/>
            <w:hideMark/>
          </w:tcPr>
          <w:p w:rsidR="00EC4E2B" w:rsidRPr="00637EC5" w:rsidRDefault="008A385E"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Non-medical</w:t>
            </w:r>
            <w:r w:rsidR="00EC4E2B" w:rsidRPr="00637EC5">
              <w:rPr>
                <w:rFonts w:ascii="Calibri" w:eastAsia="Times New Roman" w:hAnsi="Calibri" w:cs="Times New Roman"/>
                <w:color w:val="000000"/>
              </w:rPr>
              <w:t xml:space="preserve"> Case Management </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$124,694.00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Community Counseling Center (CCC)</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Health Education/Risk Reduction</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Linked to Care; Retained in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$104,821.00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Carson City Health &amp; Human Services (CCHHS)</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Health Education/Risk Reduction</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Linked to Care; Retained in Care</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$146,930.00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Community Outreach Medical Center (COMC)</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xml:space="preserve"> Outpatient &amp; ambulatory health</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$140,333.00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Dignity Health</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Health Education/Risk Reduction</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Linked to Care; Retained in Care</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$270,503.00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US"/>
              </w:rPr>
            </w:pPr>
            <w:r w:rsidRPr="00637EC5">
              <w:rPr>
                <w:rFonts w:ascii="Calibri" w:eastAsia="Times New Roman" w:hAnsi="Calibri" w:cs="Times New Roman"/>
                <w:color w:val="000000"/>
                <w:lang w:val="es-US"/>
              </w:rPr>
              <w:t>Las Vegas Urban League (LVUL)</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Early Intervention Services</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$128,920.00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Southern Nevada AIDS Research &amp; Education Society (NARES)</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Medical Case Management; Medical Nutrition</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$80,780.00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Nevada Legal Services</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Legal Services</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$585,250.00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Northern Nevada HOPES</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Mental Health; Medical Case M</w:t>
            </w:r>
            <w:r>
              <w:rPr>
                <w:rFonts w:ascii="Calibri" w:eastAsia="Times New Roman" w:hAnsi="Calibri" w:cs="Times New Roman"/>
                <w:color w:val="000000"/>
              </w:rPr>
              <w:t>anagement</w:t>
            </w:r>
            <w:r w:rsidRPr="00637EC5">
              <w:rPr>
                <w:rFonts w:ascii="Calibri" w:eastAsia="Times New Roman" w:hAnsi="Calibri" w:cs="Times New Roman"/>
                <w:color w:val="000000"/>
              </w:rPr>
              <w:t xml:space="preserve">; Substance Abuse; Non-Medical Case </w:t>
            </w:r>
            <w:r>
              <w:rPr>
                <w:rFonts w:ascii="Calibri" w:eastAsia="Times New Roman" w:hAnsi="Calibri" w:cs="Times New Roman"/>
                <w:color w:val="000000"/>
              </w:rPr>
              <w:t>Management</w:t>
            </w:r>
            <w:r w:rsidRPr="00637EC5">
              <w:rPr>
                <w:rFonts w:ascii="Calibri" w:eastAsia="Times New Roman" w:hAnsi="Calibri" w:cs="Times New Roman"/>
                <w:color w:val="000000"/>
              </w:rPr>
              <w:t xml:space="preserve">;  Housing; Medical Transportation; Psychosocial; Referral </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$39,634.00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Ridge House</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Substance Abuse</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xml:space="preserve">Linkage to Care; Retained in Care; Antiretroviral </w:t>
            </w:r>
            <w:r w:rsidRPr="00637EC5">
              <w:rPr>
                <w:rFonts w:ascii="Calibri" w:eastAsia="Times New Roman" w:hAnsi="Calibri" w:cs="Times New Roman"/>
                <w:color w:val="000000"/>
              </w:rPr>
              <w:lastRenderedPageBreak/>
              <w:t>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lastRenderedPageBreak/>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$675,840.00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Southern Nevada Health District</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Early Intervention Services; Medical Case Management; Referral Healthcare</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$120,105.00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The Center</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Health Education/Risk Reduction</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Linked to Care; Retained in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$143,902.00</w:t>
            </w:r>
          </w:p>
        </w:tc>
        <w:tc>
          <w:tcPr>
            <w:tcW w:w="794"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University Medical Center (UMC)</w:t>
            </w:r>
          </w:p>
        </w:tc>
        <w:tc>
          <w:tcPr>
            <w:tcW w:w="1420"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Mental Health</w:t>
            </w:r>
          </w:p>
        </w:tc>
        <w:tc>
          <w:tcPr>
            <w:tcW w:w="1292" w:type="pct"/>
            <w:shd w:val="clear" w:color="auto" w:fill="F2DBDB" w:themeFill="accent2"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DBDB" w:themeFill="accent2"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F2DBDB" w:themeFill="accent2"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$107,328.00</w:t>
            </w:r>
          </w:p>
        </w:tc>
        <w:tc>
          <w:tcPr>
            <w:tcW w:w="794"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Washoe County Health District</w:t>
            </w:r>
          </w:p>
        </w:tc>
        <w:tc>
          <w:tcPr>
            <w:tcW w:w="1420"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Early Intervention Services</w:t>
            </w:r>
          </w:p>
        </w:tc>
        <w:tc>
          <w:tcPr>
            <w:tcW w:w="1292" w:type="pct"/>
            <w:shd w:val="clear" w:color="auto" w:fill="F2DBDB" w:themeFill="accent2"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EAF1DD" w:themeFill="accent3"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Ryan White Part C: Community-Based Early Intervention</w:t>
            </w:r>
          </w:p>
        </w:tc>
        <w:tc>
          <w:tcPr>
            <w:tcW w:w="625" w:type="pct"/>
            <w:shd w:val="clear" w:color="auto" w:fill="EAF1DD" w:themeFill="accent3"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$669,117.00</w:t>
            </w:r>
          </w:p>
        </w:tc>
        <w:tc>
          <w:tcPr>
            <w:tcW w:w="794" w:type="pct"/>
            <w:shd w:val="clear" w:color="auto" w:fill="EAF1DD" w:themeFill="accent3"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Northern Nevada HOPES</w:t>
            </w:r>
          </w:p>
        </w:tc>
        <w:tc>
          <w:tcPr>
            <w:tcW w:w="1420" w:type="pct"/>
            <w:shd w:val="clear" w:color="auto" w:fill="EAF1DD" w:themeFill="accent3"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outpatient/ambulatory medical care; dental care; vision care; psychiatric care; specialty referrals</w:t>
            </w:r>
          </w:p>
        </w:tc>
        <w:tc>
          <w:tcPr>
            <w:tcW w:w="1292" w:type="pct"/>
            <w:shd w:val="clear" w:color="auto" w:fill="EAF1DD" w:themeFill="accent3"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EAF1DD" w:themeFill="accent3"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EAF1DD" w:themeFill="accent3"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$875,172.00</w:t>
            </w:r>
          </w:p>
        </w:tc>
        <w:tc>
          <w:tcPr>
            <w:tcW w:w="794" w:type="pct"/>
            <w:shd w:val="clear" w:color="auto" w:fill="EAF1DD" w:themeFill="accent3"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University Medical Center of Southern Nevada</w:t>
            </w:r>
          </w:p>
        </w:tc>
        <w:tc>
          <w:tcPr>
            <w:tcW w:w="1420" w:type="pct"/>
            <w:shd w:val="clear" w:color="auto" w:fill="EAF1DD" w:themeFill="accent3"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outpatient/ambulatory medical care; dental care; vision care; psychiatric care; specialty referrals</w:t>
            </w:r>
          </w:p>
        </w:tc>
        <w:tc>
          <w:tcPr>
            <w:tcW w:w="1292" w:type="pct"/>
            <w:shd w:val="clear" w:color="auto" w:fill="EAF1DD" w:themeFill="accent3"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869" w:type="pct"/>
            <w:shd w:val="clear" w:color="auto" w:fill="E5DFEC" w:themeFill="accent4"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Ryan White Part D: Women, Infants, Children, Youth</w:t>
            </w:r>
          </w:p>
        </w:tc>
        <w:tc>
          <w:tcPr>
            <w:tcW w:w="625" w:type="pct"/>
            <w:shd w:val="clear" w:color="auto" w:fill="E5DFEC" w:themeFill="accent4"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$429,900.00</w:t>
            </w:r>
          </w:p>
        </w:tc>
        <w:tc>
          <w:tcPr>
            <w:tcW w:w="794" w:type="pct"/>
            <w:shd w:val="clear" w:color="auto" w:fill="E5DFEC" w:themeFill="accent4"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Northern Nevada HOPES</w:t>
            </w:r>
          </w:p>
        </w:tc>
        <w:tc>
          <w:tcPr>
            <w:tcW w:w="1420" w:type="pct"/>
            <w:shd w:val="clear" w:color="auto" w:fill="E5DFEC" w:themeFill="accent4"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HIV/AIDS medical care, pediatric services birth-21 years old; HIV/AIDS services for women including pregnancy consultations, prenatal care, specialty referrals</w:t>
            </w:r>
          </w:p>
        </w:tc>
        <w:tc>
          <w:tcPr>
            <w:tcW w:w="1292" w:type="pct"/>
            <w:shd w:val="clear" w:color="auto" w:fill="E5DFEC" w:themeFill="accent4"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trHeight w:val="1290"/>
        </w:trPr>
        <w:tc>
          <w:tcPr>
            <w:cnfStyle w:val="001000000000" w:firstRow="0" w:lastRow="0" w:firstColumn="1" w:lastColumn="0" w:oddVBand="0" w:evenVBand="0" w:oddHBand="0" w:evenHBand="0" w:firstRowFirstColumn="0" w:firstRowLastColumn="0" w:lastRowFirstColumn="0" w:lastRowLastColumn="0"/>
            <w:tcW w:w="869" w:type="pct"/>
            <w:shd w:val="clear" w:color="auto" w:fill="E5DFEC" w:themeFill="accent4"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E5DFEC" w:themeFill="accent4"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$210,993.00</w:t>
            </w:r>
          </w:p>
        </w:tc>
        <w:tc>
          <w:tcPr>
            <w:tcW w:w="794" w:type="pct"/>
            <w:shd w:val="clear" w:color="auto" w:fill="E5DFEC" w:themeFill="accent4"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University Nevada Reno, School of Medicine</w:t>
            </w:r>
          </w:p>
        </w:tc>
        <w:tc>
          <w:tcPr>
            <w:tcW w:w="1420" w:type="pct"/>
            <w:shd w:val="clear" w:color="auto" w:fill="E5DFEC" w:themeFill="accent4"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HIV/AIDS medical care, pediatric services birth-21 years old; HIV/AIDS services for women including pregnancy consultations, prenatal care, specialty referrals</w:t>
            </w:r>
          </w:p>
        </w:tc>
        <w:tc>
          <w:tcPr>
            <w:tcW w:w="1292" w:type="pct"/>
            <w:shd w:val="clear" w:color="auto" w:fill="E5DFEC" w:themeFill="accent4"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869" w:type="pct"/>
            <w:shd w:val="clear" w:color="auto" w:fill="DAEEF3" w:themeFill="accent5"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Ryan White Part F: AIDS Education &amp; Training Centers (AETC)</w:t>
            </w:r>
          </w:p>
        </w:tc>
        <w:tc>
          <w:tcPr>
            <w:tcW w:w="625" w:type="pct"/>
            <w:shd w:val="clear" w:color="auto" w:fill="DAEEF3" w:themeFill="accent5" w:themeFillTint="33"/>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$185,045.00</w:t>
            </w:r>
          </w:p>
        </w:tc>
        <w:tc>
          <w:tcPr>
            <w:tcW w:w="794" w:type="pct"/>
            <w:shd w:val="clear" w:color="auto" w:fill="DAEEF3" w:themeFill="accent5"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Nevada AETC, University of Nevada School of Medicine</w:t>
            </w:r>
          </w:p>
        </w:tc>
        <w:tc>
          <w:tcPr>
            <w:tcW w:w="1420" w:type="pct"/>
            <w:shd w:val="clear" w:color="auto" w:fill="DAEEF3" w:themeFill="accent5"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Practice Transformation, education and support services regarding HIV clinical care to providers in Nevada</w:t>
            </w:r>
          </w:p>
        </w:tc>
        <w:tc>
          <w:tcPr>
            <w:tcW w:w="1292" w:type="pct"/>
            <w:shd w:val="clear" w:color="auto" w:fill="DAEEF3" w:themeFill="accent5" w:themeFillTint="33"/>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Testing, linkage to care, retention in care</w:t>
            </w:r>
          </w:p>
        </w:tc>
      </w:tr>
      <w:tr w:rsidR="00EC4E2B" w:rsidRPr="00637EC5" w:rsidTr="00B56801">
        <w:trPr>
          <w:trHeight w:val="1800"/>
        </w:trPr>
        <w:tc>
          <w:tcPr>
            <w:cnfStyle w:val="001000000000" w:firstRow="0" w:lastRow="0" w:firstColumn="1" w:lastColumn="0" w:oddVBand="0" w:evenVBand="0" w:oddHBand="0" w:evenHBand="0" w:firstRowFirstColumn="0" w:firstRowLastColumn="0" w:lastRowFirstColumn="0" w:lastRowLastColumn="0"/>
            <w:tcW w:w="869" w:type="pct"/>
            <w:shd w:val="clear" w:color="auto" w:fill="FDE9D9" w:themeFill="accent6" w:themeFillTint="33"/>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lastRenderedPageBreak/>
              <w:t>CDC HIV Prevention &amp; Surveillance Programs</w:t>
            </w:r>
          </w:p>
        </w:tc>
        <w:tc>
          <w:tcPr>
            <w:tcW w:w="625" w:type="pct"/>
            <w:shd w:val="clear" w:color="auto" w:fill="FDE9D9" w:themeFill="accent6" w:themeFillTint="33"/>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$1,645,582.00</w:t>
            </w:r>
          </w:p>
        </w:tc>
        <w:tc>
          <w:tcPr>
            <w:tcW w:w="794" w:type="pct"/>
            <w:shd w:val="clear" w:color="auto" w:fill="FDE9D9" w:themeFill="accent6"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xml:space="preserve">Southern Nevada Health District; Washoe County Health District; Carson City Health </w:t>
            </w:r>
            <w:r>
              <w:rPr>
                <w:rFonts w:ascii="Calibri" w:eastAsia="Times New Roman" w:hAnsi="Calibri" w:cs="Times New Roman"/>
                <w:color w:val="000000"/>
              </w:rPr>
              <w:t xml:space="preserve">&amp; </w:t>
            </w:r>
            <w:r w:rsidRPr="00637EC5">
              <w:rPr>
                <w:rFonts w:ascii="Calibri" w:eastAsia="Times New Roman" w:hAnsi="Calibri" w:cs="Times New Roman"/>
                <w:color w:val="000000"/>
              </w:rPr>
              <w:t>Human Services</w:t>
            </w:r>
          </w:p>
        </w:tc>
        <w:tc>
          <w:tcPr>
            <w:tcW w:w="1420" w:type="pct"/>
            <w:shd w:val="clear" w:color="auto" w:fill="FDE9D9" w:themeFill="accent6"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xml:space="preserve">Counseling, testing &amp;  referral; health communication &amp; public information; Individual level intervention; partner services </w:t>
            </w:r>
          </w:p>
        </w:tc>
        <w:tc>
          <w:tcPr>
            <w:tcW w:w="1292" w:type="pct"/>
            <w:shd w:val="clear" w:color="auto" w:fill="FDE9D9" w:themeFill="accent6" w:themeFillTint="33"/>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 Testing; Effective Behavioral Interventions; comprehensive risk counseling &amp; services; condom distribution; comprehensive programs; prevention with persons with HIV; HIV Diagnosed; Linked to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Minority AIDS Initiative (MAI)</w:t>
            </w:r>
          </w:p>
        </w:tc>
        <w:tc>
          <w:tcPr>
            <w:tcW w:w="625" w:type="pct"/>
            <w:shd w:val="clear" w:color="auto" w:fill="F2F2F2" w:themeFill="background1" w:themeFillShade="F2"/>
            <w:noWrap/>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c>
          <w:tcPr>
            <w:tcW w:w="794" w:type="pct"/>
            <w:shd w:val="clear" w:color="auto" w:fill="F2F2F2" w:themeFill="background1" w:themeFillShade="F2"/>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c>
          <w:tcPr>
            <w:tcW w:w="1420" w:type="pct"/>
            <w:shd w:val="clear" w:color="auto" w:fill="F2F2F2" w:themeFill="background1" w:themeFillShade="F2"/>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c>
          <w:tcPr>
            <w:tcW w:w="1292" w:type="pct"/>
            <w:shd w:val="clear" w:color="auto" w:fill="F2F2F2" w:themeFill="background1" w:themeFillShade="F2"/>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 </w:t>
            </w:r>
          </w:p>
        </w:tc>
      </w:tr>
      <w:tr w:rsidR="00EC4E2B" w:rsidRPr="00637EC5" w:rsidTr="00B56801">
        <w:trPr>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hideMark/>
          </w:tcPr>
          <w:p w:rsidR="00EC4E2B" w:rsidRPr="00637EC5" w:rsidRDefault="00EC4E2B" w:rsidP="00B56801">
            <w:pPr>
              <w:spacing w:before="0"/>
              <w:jc w:val="right"/>
              <w:rPr>
                <w:rFonts w:ascii="Calibri" w:eastAsia="Times New Roman" w:hAnsi="Calibri" w:cs="Times New Roman"/>
                <w:color w:val="000000"/>
              </w:rPr>
            </w:pPr>
            <w:r w:rsidRPr="00637EC5">
              <w:rPr>
                <w:rFonts w:ascii="Calibri" w:eastAsia="Times New Roman" w:hAnsi="Calibri" w:cs="Times New Roman"/>
                <w:color w:val="000000"/>
              </w:rPr>
              <w:t>MAI Part A</w:t>
            </w:r>
          </w:p>
        </w:tc>
        <w:tc>
          <w:tcPr>
            <w:tcW w:w="625" w:type="pct"/>
            <w:shd w:val="clear" w:color="auto" w:fill="F2F2F2" w:themeFill="background1" w:themeFillShade="F2"/>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$115,651.80</w:t>
            </w:r>
          </w:p>
        </w:tc>
        <w:tc>
          <w:tcPr>
            <w:tcW w:w="794" w:type="pct"/>
            <w:shd w:val="clear" w:color="auto" w:fill="F2F2F2" w:themeFill="background1" w:themeFillShade="F2"/>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AIDS Healthcare Foundation</w:t>
            </w:r>
          </w:p>
        </w:tc>
        <w:tc>
          <w:tcPr>
            <w:tcW w:w="1420" w:type="pct"/>
            <w:shd w:val="clear" w:color="auto" w:fill="F2F2F2" w:themeFill="background1" w:themeFillShade="F2"/>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Outpatient Ambulatory medical care; medical case management</w:t>
            </w:r>
          </w:p>
        </w:tc>
        <w:tc>
          <w:tcPr>
            <w:tcW w:w="1292" w:type="pct"/>
            <w:shd w:val="clear" w:color="auto" w:fill="F2F2F2" w:themeFill="background1" w:themeFillShade="F2"/>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hideMark/>
          </w:tcPr>
          <w:p w:rsidR="00EC4E2B" w:rsidRPr="00637EC5" w:rsidRDefault="00EC4E2B" w:rsidP="00B56801">
            <w:pPr>
              <w:spacing w:before="0"/>
              <w:jc w:val="right"/>
              <w:rPr>
                <w:rFonts w:ascii="Calibri" w:eastAsia="Times New Roman" w:hAnsi="Calibri" w:cs="Times New Roman"/>
                <w:color w:val="000000"/>
              </w:rPr>
            </w:pPr>
            <w:r w:rsidRPr="00637EC5">
              <w:rPr>
                <w:rFonts w:ascii="Calibri" w:eastAsia="Times New Roman" w:hAnsi="Calibri" w:cs="Times New Roman"/>
                <w:color w:val="000000"/>
              </w:rPr>
              <w:t>MAI Part A</w:t>
            </w:r>
          </w:p>
        </w:tc>
        <w:tc>
          <w:tcPr>
            <w:tcW w:w="625" w:type="pct"/>
            <w:shd w:val="clear" w:color="auto" w:fill="F2F2F2" w:themeFill="background1" w:themeFillShade="F2"/>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$276,388.20</w:t>
            </w:r>
          </w:p>
        </w:tc>
        <w:tc>
          <w:tcPr>
            <w:tcW w:w="794" w:type="pct"/>
            <w:shd w:val="clear" w:color="auto" w:fill="F2F2F2" w:themeFill="background1" w:themeFillShade="F2"/>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Community Outreach Medical Center</w:t>
            </w:r>
          </w:p>
        </w:tc>
        <w:tc>
          <w:tcPr>
            <w:tcW w:w="1420" w:type="pct"/>
            <w:shd w:val="clear" w:color="auto" w:fill="F2F2F2" w:themeFill="background1" w:themeFillShade="F2"/>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Outpatient Ambulatory medical care; medical case management</w:t>
            </w:r>
          </w:p>
        </w:tc>
        <w:tc>
          <w:tcPr>
            <w:tcW w:w="1292" w:type="pct"/>
            <w:shd w:val="clear" w:color="auto" w:fill="F2F2F2" w:themeFill="background1" w:themeFillShade="F2"/>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r w:rsidR="00EC4E2B" w:rsidRPr="00637EC5" w:rsidTr="00B56801">
        <w:tc>
          <w:tcPr>
            <w:cnfStyle w:val="001000000000" w:firstRow="0" w:lastRow="0" w:firstColumn="1" w:lastColumn="0" w:oddVBand="0" w:evenVBand="0" w:oddHBand="0" w:evenHBand="0" w:firstRowFirstColumn="0" w:firstRowLastColumn="0" w:lastRowFirstColumn="0" w:lastRowLastColumn="0"/>
            <w:tcW w:w="869" w:type="pct"/>
            <w:shd w:val="clear" w:color="auto" w:fill="DDD9C3" w:themeFill="background2" w:themeFillShade="E6"/>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SAMHSA</w:t>
            </w:r>
          </w:p>
        </w:tc>
        <w:tc>
          <w:tcPr>
            <w:tcW w:w="625" w:type="pct"/>
            <w:shd w:val="clear" w:color="auto" w:fill="DDD9C3" w:themeFill="background2" w:themeFillShade="E6"/>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$850,000.00</w:t>
            </w:r>
          </w:p>
        </w:tc>
        <w:tc>
          <w:tcPr>
            <w:tcW w:w="794" w:type="pct"/>
            <w:shd w:val="clear" w:color="auto" w:fill="DDD9C3" w:themeFill="background2" w:themeFillShade="E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Substance Abuse Providers</w:t>
            </w:r>
          </w:p>
        </w:tc>
        <w:tc>
          <w:tcPr>
            <w:tcW w:w="1420" w:type="pct"/>
            <w:shd w:val="clear" w:color="auto" w:fill="DDD9C3" w:themeFill="background2" w:themeFillShade="E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Early Intervention Services</w:t>
            </w:r>
          </w:p>
        </w:tc>
        <w:tc>
          <w:tcPr>
            <w:tcW w:w="1292" w:type="pct"/>
            <w:shd w:val="clear" w:color="auto" w:fill="DDD9C3" w:themeFill="background2" w:themeFillShade="E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B8CCE4" w:themeFill="accent1" w:themeFillTint="66"/>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HUD/HOPWA NN</w:t>
            </w:r>
          </w:p>
        </w:tc>
        <w:tc>
          <w:tcPr>
            <w:tcW w:w="625" w:type="pct"/>
            <w:shd w:val="clear" w:color="auto" w:fill="B8CCE4" w:themeFill="accent1" w:themeFillTint="66"/>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$253,362.00</w:t>
            </w:r>
          </w:p>
        </w:tc>
        <w:tc>
          <w:tcPr>
            <w:tcW w:w="794" w:type="pct"/>
            <w:shd w:val="clear" w:color="auto" w:fill="B8CCE4" w:themeFill="accent1"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Northern Nevada HOPES</w:t>
            </w:r>
          </w:p>
        </w:tc>
        <w:tc>
          <w:tcPr>
            <w:tcW w:w="1420" w:type="pct"/>
            <w:shd w:val="clear" w:color="auto" w:fill="B8CCE4" w:themeFill="accent1"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Housing Assistance; Access to Healthcare</w:t>
            </w:r>
          </w:p>
        </w:tc>
        <w:tc>
          <w:tcPr>
            <w:tcW w:w="1292" w:type="pct"/>
            <w:shd w:val="clear" w:color="auto" w:fill="B8CCE4" w:themeFill="accent1"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Linkage to Care; Retained in Care</w:t>
            </w:r>
          </w:p>
        </w:tc>
      </w:tr>
      <w:tr w:rsidR="00EC4E2B" w:rsidRPr="00637EC5" w:rsidTr="00B56801">
        <w:trPr>
          <w:trHeight w:val="525"/>
        </w:trPr>
        <w:tc>
          <w:tcPr>
            <w:cnfStyle w:val="001000000000" w:firstRow="0" w:lastRow="0" w:firstColumn="1" w:lastColumn="0" w:oddVBand="0" w:evenVBand="0" w:oddHBand="0" w:evenHBand="0" w:firstRowFirstColumn="0" w:firstRowLastColumn="0" w:lastRowFirstColumn="0" w:lastRowLastColumn="0"/>
            <w:tcW w:w="869" w:type="pct"/>
            <w:shd w:val="clear" w:color="auto" w:fill="E5B8B7" w:themeFill="accent2" w:themeFillTint="66"/>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HUD/HOPWA SNV</w:t>
            </w:r>
          </w:p>
        </w:tc>
        <w:tc>
          <w:tcPr>
            <w:tcW w:w="625" w:type="pct"/>
            <w:shd w:val="clear" w:color="auto" w:fill="E5B8B7" w:themeFill="accent2" w:themeFillTint="66"/>
            <w:noWrap/>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$1,139,472.00</w:t>
            </w:r>
          </w:p>
        </w:tc>
        <w:tc>
          <w:tcPr>
            <w:tcW w:w="794" w:type="pct"/>
            <w:shd w:val="clear" w:color="auto" w:fill="E5B8B7" w:themeFill="accent2" w:themeFillTint="66"/>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420" w:type="pct"/>
            <w:shd w:val="clear" w:color="auto" w:fill="E5B8B7" w:themeFill="accent2" w:themeFillTint="66"/>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292" w:type="pct"/>
            <w:shd w:val="clear" w:color="auto" w:fill="E5B8B7" w:themeFill="accent2" w:themeFillTint="66"/>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9" w:type="pct"/>
            <w:shd w:val="clear" w:color="auto" w:fill="E5B8B7" w:themeFill="accent2" w:themeFillTint="66"/>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E5B8B7" w:themeFill="accent2" w:themeFillTint="66"/>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$608,671.00</w:t>
            </w:r>
          </w:p>
        </w:tc>
        <w:tc>
          <w:tcPr>
            <w:tcW w:w="794" w:type="pct"/>
            <w:shd w:val="clear" w:color="auto" w:fill="E5B8B7" w:themeFill="accent2"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AFAN</w:t>
            </w:r>
          </w:p>
        </w:tc>
        <w:tc>
          <w:tcPr>
            <w:tcW w:w="1420" w:type="pct"/>
            <w:shd w:val="clear" w:color="auto" w:fill="E5B8B7" w:themeFill="accent2"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STRMU, TBRA, Supp. Svcs., Housing, Permanent Housing Placement</w:t>
            </w:r>
          </w:p>
        </w:tc>
        <w:tc>
          <w:tcPr>
            <w:tcW w:w="1292" w:type="pct"/>
            <w:shd w:val="clear" w:color="auto" w:fill="E5B8B7" w:themeFill="accent2"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Retained in Care</w:t>
            </w:r>
          </w:p>
        </w:tc>
      </w:tr>
      <w:tr w:rsidR="00EC4E2B" w:rsidRPr="00637EC5" w:rsidTr="00B56801">
        <w:trPr>
          <w:trHeight w:val="510"/>
        </w:trPr>
        <w:tc>
          <w:tcPr>
            <w:cnfStyle w:val="001000000000" w:firstRow="0" w:lastRow="0" w:firstColumn="1" w:lastColumn="0" w:oddVBand="0" w:evenVBand="0" w:oddHBand="0" w:evenHBand="0" w:firstRowFirstColumn="0" w:firstRowLastColumn="0" w:lastRowFirstColumn="0" w:lastRowLastColumn="0"/>
            <w:tcW w:w="869" w:type="pct"/>
            <w:shd w:val="clear" w:color="auto" w:fill="E5B8B7" w:themeFill="accent2" w:themeFillTint="66"/>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E5B8B7" w:themeFill="accent2" w:themeFillTint="66"/>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$200,000.00</w:t>
            </w:r>
          </w:p>
        </w:tc>
        <w:tc>
          <w:tcPr>
            <w:tcW w:w="794" w:type="pct"/>
            <w:shd w:val="clear" w:color="auto" w:fill="E5B8B7" w:themeFill="accent2" w:themeFillTint="6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Golden Rainbow</w:t>
            </w:r>
          </w:p>
        </w:tc>
        <w:tc>
          <w:tcPr>
            <w:tcW w:w="1420" w:type="pct"/>
            <w:shd w:val="clear" w:color="auto" w:fill="E5B8B7" w:themeFill="accent2" w:themeFillTint="6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Supp. Svcs., Housing, Permanent Housing Placement.</w:t>
            </w:r>
          </w:p>
        </w:tc>
        <w:tc>
          <w:tcPr>
            <w:tcW w:w="1292" w:type="pct"/>
            <w:shd w:val="clear" w:color="auto" w:fill="E5B8B7" w:themeFill="accent2" w:themeFillTint="6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Retained in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9" w:type="pct"/>
            <w:shd w:val="clear" w:color="auto" w:fill="E5B8B7" w:themeFill="accent2" w:themeFillTint="66"/>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E5B8B7" w:themeFill="accent2" w:themeFillTint="66"/>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$50,000.00</w:t>
            </w:r>
          </w:p>
        </w:tc>
        <w:tc>
          <w:tcPr>
            <w:tcW w:w="794" w:type="pct"/>
            <w:shd w:val="clear" w:color="auto" w:fill="E5B8B7" w:themeFill="accent2"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Community Counseling</w:t>
            </w:r>
          </w:p>
        </w:tc>
        <w:tc>
          <w:tcPr>
            <w:tcW w:w="1420" w:type="pct"/>
            <w:shd w:val="clear" w:color="auto" w:fill="E5B8B7" w:themeFill="accent2"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Supportive Svcs. (Counseling)</w:t>
            </w:r>
          </w:p>
        </w:tc>
        <w:tc>
          <w:tcPr>
            <w:tcW w:w="1292" w:type="pct"/>
            <w:shd w:val="clear" w:color="auto" w:fill="E5B8B7" w:themeFill="accent2"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Retained in Care</w:t>
            </w:r>
          </w:p>
        </w:tc>
      </w:tr>
      <w:tr w:rsidR="00EC4E2B" w:rsidRPr="00637EC5" w:rsidTr="00B56801">
        <w:trPr>
          <w:trHeight w:val="300"/>
        </w:trPr>
        <w:tc>
          <w:tcPr>
            <w:cnfStyle w:val="001000000000" w:firstRow="0" w:lastRow="0" w:firstColumn="1" w:lastColumn="0" w:oddVBand="0" w:evenVBand="0" w:oddHBand="0" w:evenHBand="0" w:firstRowFirstColumn="0" w:firstRowLastColumn="0" w:lastRowFirstColumn="0" w:lastRowLastColumn="0"/>
            <w:tcW w:w="869" w:type="pct"/>
            <w:shd w:val="clear" w:color="auto" w:fill="E5B8B7" w:themeFill="accent2" w:themeFillTint="66"/>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 </w:t>
            </w:r>
          </w:p>
        </w:tc>
        <w:tc>
          <w:tcPr>
            <w:tcW w:w="625" w:type="pct"/>
            <w:shd w:val="clear" w:color="auto" w:fill="E5B8B7" w:themeFill="accent2" w:themeFillTint="66"/>
            <w:noWrap/>
            <w:hideMark/>
          </w:tcPr>
          <w:p w:rsidR="00EC4E2B" w:rsidRPr="00637EC5" w:rsidRDefault="00EC4E2B" w:rsidP="00B56801">
            <w:pPr>
              <w:spacing w:befor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rPr>
            </w:pPr>
            <w:r w:rsidRPr="00637EC5">
              <w:rPr>
                <w:rFonts w:ascii="Calibri" w:eastAsia="Times New Roman" w:hAnsi="Calibri" w:cs="Times New Roman"/>
                <w:i/>
                <w:color w:val="000000"/>
              </w:rPr>
              <w:t>$151,307.00</w:t>
            </w:r>
          </w:p>
        </w:tc>
        <w:tc>
          <w:tcPr>
            <w:tcW w:w="794" w:type="pct"/>
            <w:shd w:val="clear" w:color="auto" w:fill="E5B8B7" w:themeFill="accent2" w:themeFillTint="6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Women’s Dev. Center</w:t>
            </w:r>
          </w:p>
        </w:tc>
        <w:tc>
          <w:tcPr>
            <w:tcW w:w="1420" w:type="pct"/>
            <w:shd w:val="clear" w:color="auto" w:fill="E5B8B7" w:themeFill="accent2" w:themeFillTint="6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Supp. Svcs. Housing (rental assistance)</w:t>
            </w:r>
          </w:p>
        </w:tc>
        <w:tc>
          <w:tcPr>
            <w:tcW w:w="1292" w:type="pct"/>
            <w:shd w:val="clear" w:color="auto" w:fill="E5B8B7" w:themeFill="accent2" w:themeFillTint="66"/>
            <w:hideMark/>
          </w:tcPr>
          <w:p w:rsidR="00EC4E2B" w:rsidRPr="00637EC5" w:rsidRDefault="00EC4E2B" w:rsidP="00B56801">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Retained in Care</w:t>
            </w:r>
          </w:p>
        </w:tc>
      </w:tr>
      <w:tr w:rsidR="00EC4E2B" w:rsidRPr="00637EC5" w:rsidTr="00B56801">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869" w:type="pct"/>
            <w:shd w:val="clear" w:color="auto" w:fill="D6E3BC" w:themeFill="accent3" w:themeFillTint="66"/>
            <w:hideMark/>
          </w:tcPr>
          <w:p w:rsidR="00EC4E2B" w:rsidRPr="00637EC5" w:rsidRDefault="00EC4E2B" w:rsidP="00B56801">
            <w:pPr>
              <w:spacing w:before="0"/>
              <w:rPr>
                <w:rFonts w:ascii="Calibri" w:eastAsia="Times New Roman" w:hAnsi="Calibri" w:cs="Times New Roman"/>
                <w:color w:val="000000"/>
              </w:rPr>
            </w:pPr>
            <w:r w:rsidRPr="00637EC5">
              <w:rPr>
                <w:rFonts w:ascii="Calibri" w:eastAsia="Times New Roman" w:hAnsi="Calibri" w:cs="Times New Roman"/>
                <w:color w:val="000000"/>
              </w:rPr>
              <w:t>Medicaid</w:t>
            </w:r>
          </w:p>
        </w:tc>
        <w:tc>
          <w:tcPr>
            <w:tcW w:w="625" w:type="pct"/>
            <w:shd w:val="clear" w:color="auto" w:fill="D6E3BC" w:themeFill="accent3" w:themeFillTint="66"/>
            <w:noWrap/>
            <w:hideMark/>
          </w:tcPr>
          <w:p w:rsidR="00EC4E2B" w:rsidRPr="00637EC5" w:rsidRDefault="00EC4E2B" w:rsidP="00B56801">
            <w:pPr>
              <w:spacing w:befor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637EC5">
              <w:rPr>
                <w:rFonts w:ascii="Calibri" w:eastAsia="Times New Roman" w:hAnsi="Calibri" w:cs="Times New Roman"/>
                <w:b/>
                <w:color w:val="000000"/>
              </w:rPr>
              <w:t>$31,400,847.13</w:t>
            </w:r>
          </w:p>
        </w:tc>
        <w:tc>
          <w:tcPr>
            <w:tcW w:w="2213" w:type="pct"/>
            <w:gridSpan w:val="2"/>
            <w:shd w:val="clear" w:color="auto" w:fill="D6E3BC" w:themeFill="accent3"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This represents the net cost to the state for all Fee For Service claims after all adjustments and third party liability (TPL) for everyone diagnosed with 042 or V08 in the 1</w:t>
            </w:r>
            <w:r>
              <w:rPr>
                <w:rFonts w:ascii="Calibri" w:eastAsia="Times New Roman" w:hAnsi="Calibri" w:cs="Times New Roman"/>
                <w:color w:val="000000"/>
              </w:rPr>
              <w:t>0/1/2014-9/30/2015 time period.</w:t>
            </w:r>
          </w:p>
        </w:tc>
        <w:tc>
          <w:tcPr>
            <w:tcW w:w="1292" w:type="pct"/>
            <w:shd w:val="clear" w:color="auto" w:fill="D6E3BC" w:themeFill="accent3" w:themeFillTint="66"/>
            <w:hideMark/>
          </w:tcPr>
          <w:p w:rsidR="00EC4E2B" w:rsidRPr="00637EC5" w:rsidRDefault="00EC4E2B" w:rsidP="00B56801">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37EC5">
              <w:rPr>
                <w:rFonts w:ascii="Calibri" w:eastAsia="Times New Roman" w:hAnsi="Calibri" w:cs="Times New Roman"/>
                <w:color w:val="000000"/>
              </w:rPr>
              <w:t>HIV-Diagnosed; Linkage to Care; Retained in Care; Antiretroviral Use; Viral Load Suppression</w:t>
            </w:r>
          </w:p>
        </w:tc>
      </w:tr>
    </w:tbl>
    <w:p w:rsidR="005D2B0D" w:rsidRDefault="005D2B0D">
      <w:pPr>
        <w:rPr>
          <w:rFonts w:cs="Calibri Light"/>
        </w:rPr>
        <w:sectPr w:rsidR="005D2B0D" w:rsidSect="009B63AA">
          <w:endnotePr>
            <w:numFmt w:val="decimal"/>
          </w:endnotePr>
          <w:pgSz w:w="12240" w:h="15840" w:code="1"/>
          <w:pgMar w:top="1440" w:right="1440" w:bottom="1440" w:left="1440" w:header="0" w:footer="720" w:gutter="0"/>
          <w:cols w:space="720"/>
          <w:docGrid w:linePitch="272"/>
        </w:sectPr>
      </w:pPr>
    </w:p>
    <w:p w:rsidR="001A24A2" w:rsidRDefault="001A24A2" w:rsidP="00342034">
      <w:pPr>
        <w:pStyle w:val="Heading2"/>
      </w:pPr>
      <w:bookmarkStart w:id="62" w:name="_Toc461188605"/>
      <w:r>
        <w:lastRenderedPageBreak/>
        <w:t>Appendix D: Stakeholder Meeting Representatives</w:t>
      </w:r>
      <w:bookmarkEnd w:id="62"/>
    </w:p>
    <w:p w:rsidR="001A24A2" w:rsidRPr="001A24A2" w:rsidRDefault="001A24A2" w:rsidP="001A24A2"/>
    <w:tbl>
      <w:tblPr>
        <w:tblStyle w:val="TableGrid"/>
        <w:tblW w:w="0" w:type="auto"/>
        <w:tblLook w:val="04A0" w:firstRow="1" w:lastRow="0" w:firstColumn="1" w:lastColumn="0" w:noHBand="0" w:noVBand="1"/>
      </w:tblPr>
      <w:tblGrid>
        <w:gridCol w:w="9350"/>
      </w:tblGrid>
      <w:tr w:rsidR="00DD1C76" w:rsidRPr="00DD1C76" w:rsidTr="008A385E">
        <w:tc>
          <w:tcPr>
            <w:tcW w:w="9350" w:type="dxa"/>
            <w:shd w:val="clear" w:color="auto" w:fill="C6D9F1" w:themeFill="text2" w:themeFillTint="33"/>
          </w:tcPr>
          <w:p w:rsidR="00DD1C76" w:rsidRPr="00DD1C76" w:rsidRDefault="00DD1C76" w:rsidP="00DD1C76">
            <w:pPr>
              <w:spacing w:before="0"/>
              <w:jc w:val="center"/>
              <w:rPr>
                <w:rFonts w:asciiTheme="minorHAnsi" w:hAnsiTheme="minorHAnsi"/>
                <w:b/>
                <w:sz w:val="22"/>
                <w:szCs w:val="22"/>
              </w:rPr>
            </w:pPr>
            <w:r w:rsidRPr="00DD1C76">
              <w:rPr>
                <w:rFonts w:asciiTheme="minorHAnsi" w:hAnsiTheme="minorHAnsi"/>
                <w:b/>
                <w:sz w:val="22"/>
                <w:szCs w:val="22"/>
              </w:rPr>
              <w:t xml:space="preserve">HIV PREVENTION/RYAN WHITE   PROVIDER ENGAGEMENT MEETING </w:t>
            </w:r>
          </w:p>
          <w:p w:rsidR="00DD1C76" w:rsidRPr="00DD1C76" w:rsidRDefault="00DD1C76" w:rsidP="00DD1C76">
            <w:pPr>
              <w:spacing w:before="0"/>
              <w:jc w:val="center"/>
              <w:rPr>
                <w:rFonts w:asciiTheme="minorHAnsi" w:hAnsiTheme="minorHAnsi"/>
                <w:b/>
                <w:sz w:val="22"/>
                <w:szCs w:val="22"/>
              </w:rPr>
            </w:pPr>
            <w:r w:rsidRPr="00DD1C76">
              <w:rPr>
                <w:rFonts w:asciiTheme="minorHAnsi" w:hAnsiTheme="minorHAnsi"/>
                <w:b/>
                <w:sz w:val="22"/>
                <w:szCs w:val="22"/>
              </w:rPr>
              <w:t xml:space="preserve">April 1, 2015 </w:t>
            </w:r>
          </w:p>
          <w:p w:rsidR="00DD1C76" w:rsidRPr="00DD1C76" w:rsidRDefault="00DD1C76" w:rsidP="00DD1C76">
            <w:pPr>
              <w:spacing w:before="0"/>
              <w:jc w:val="center"/>
              <w:rPr>
                <w:rFonts w:asciiTheme="minorHAnsi" w:hAnsiTheme="minorHAnsi"/>
                <w:sz w:val="22"/>
                <w:szCs w:val="22"/>
              </w:rPr>
            </w:pPr>
            <w:r w:rsidRPr="00DD1C76">
              <w:rPr>
                <w:rFonts w:asciiTheme="minorHAnsi" w:hAnsiTheme="minorHAnsi"/>
                <w:b/>
                <w:sz w:val="22"/>
                <w:szCs w:val="22"/>
              </w:rPr>
              <w:t>Reno</w:t>
            </w:r>
          </w:p>
        </w:tc>
      </w:tr>
      <w:tr w:rsidR="00DD1C76" w:rsidRPr="00DD1C76" w:rsidTr="008A385E">
        <w:tc>
          <w:tcPr>
            <w:tcW w:w="9350" w:type="dxa"/>
          </w:tcPr>
          <w:p w:rsidR="00DD1C76" w:rsidRPr="00DD1C76" w:rsidRDefault="00DD1C76" w:rsidP="00DD1C76">
            <w:pPr>
              <w:spacing w:before="0"/>
              <w:jc w:val="center"/>
              <w:rPr>
                <w:rFonts w:asciiTheme="minorHAnsi" w:hAnsiTheme="minorHAnsi"/>
                <w:b/>
                <w:sz w:val="22"/>
                <w:szCs w:val="22"/>
              </w:rPr>
            </w:pPr>
            <w:r w:rsidRPr="00DD1C76">
              <w:rPr>
                <w:rFonts w:asciiTheme="minorHAnsi" w:hAnsiTheme="minorHAnsi"/>
                <w:b/>
                <w:sz w:val="22"/>
                <w:szCs w:val="22"/>
              </w:rPr>
              <w:t>Agencies Represented</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 xml:space="preserve">Northern NV HIV Prevention Planning </w:t>
            </w:r>
            <w:r>
              <w:rPr>
                <w:rFonts w:asciiTheme="minorHAnsi" w:hAnsiTheme="minorHAnsi"/>
                <w:sz w:val="22"/>
                <w:szCs w:val="22"/>
              </w:rPr>
              <w:t>Group</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Carson City Health &amp; Human Services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University of Nevada- Reno School of Community Health Sciences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Carson City Health &amp; Human Services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Washoe County Health District</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Access to Healthcare Network</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Northern Nevada Hopes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Nevada AIDS Education and Training Center (AETC)</w:t>
            </w:r>
          </w:p>
        </w:tc>
      </w:tr>
    </w:tbl>
    <w:p w:rsidR="00DD1C76" w:rsidRPr="00DD1C76" w:rsidRDefault="00DD1C76" w:rsidP="00DD1C76">
      <w:pPr>
        <w:spacing w:before="0" w:after="0"/>
        <w:rPr>
          <w:sz w:val="22"/>
          <w:szCs w:val="22"/>
        </w:rPr>
      </w:pPr>
    </w:p>
    <w:p w:rsidR="00DD1C76" w:rsidRPr="00DD1C76" w:rsidRDefault="00DD1C76" w:rsidP="00DD1C76">
      <w:pPr>
        <w:spacing w:before="0" w:after="0"/>
        <w:rPr>
          <w:sz w:val="22"/>
          <w:szCs w:val="22"/>
        </w:rPr>
      </w:pPr>
    </w:p>
    <w:tbl>
      <w:tblPr>
        <w:tblStyle w:val="TableGrid"/>
        <w:tblW w:w="0" w:type="auto"/>
        <w:tblLook w:val="04A0" w:firstRow="1" w:lastRow="0" w:firstColumn="1" w:lastColumn="0" w:noHBand="0" w:noVBand="1"/>
      </w:tblPr>
      <w:tblGrid>
        <w:gridCol w:w="9350"/>
      </w:tblGrid>
      <w:tr w:rsidR="00DD1C76" w:rsidRPr="00DD1C76" w:rsidTr="008A385E">
        <w:tc>
          <w:tcPr>
            <w:tcW w:w="9350" w:type="dxa"/>
            <w:shd w:val="clear" w:color="auto" w:fill="C6D9F1" w:themeFill="text2" w:themeFillTint="33"/>
          </w:tcPr>
          <w:p w:rsidR="00DD1C76" w:rsidRPr="00DD1C76" w:rsidRDefault="00DD1C76" w:rsidP="00DD1C76">
            <w:pPr>
              <w:spacing w:before="0"/>
              <w:jc w:val="center"/>
              <w:rPr>
                <w:rFonts w:asciiTheme="minorHAnsi" w:hAnsiTheme="minorHAnsi"/>
                <w:b/>
                <w:sz w:val="22"/>
                <w:szCs w:val="22"/>
              </w:rPr>
            </w:pPr>
            <w:r w:rsidRPr="00DD1C76">
              <w:rPr>
                <w:rFonts w:asciiTheme="minorHAnsi" w:hAnsiTheme="minorHAnsi"/>
                <w:b/>
                <w:sz w:val="22"/>
                <w:szCs w:val="22"/>
              </w:rPr>
              <w:t>HIV PREVENTION/RYAN WHITE CARE PROVIDER ENGAGEMENT MEETING</w:t>
            </w:r>
          </w:p>
          <w:p w:rsidR="00DD1C76" w:rsidRPr="00DD1C76" w:rsidRDefault="00DD1C76" w:rsidP="00DD1C76">
            <w:pPr>
              <w:spacing w:before="0"/>
              <w:jc w:val="center"/>
              <w:rPr>
                <w:rFonts w:asciiTheme="minorHAnsi" w:hAnsiTheme="minorHAnsi"/>
                <w:b/>
                <w:sz w:val="22"/>
                <w:szCs w:val="22"/>
              </w:rPr>
            </w:pPr>
            <w:r w:rsidRPr="00DD1C76">
              <w:rPr>
                <w:rFonts w:asciiTheme="minorHAnsi" w:hAnsiTheme="minorHAnsi"/>
                <w:b/>
                <w:sz w:val="22"/>
                <w:szCs w:val="22"/>
              </w:rPr>
              <w:t xml:space="preserve">April 3, 2015 </w:t>
            </w:r>
          </w:p>
          <w:p w:rsidR="00DD1C76" w:rsidRPr="00DD1C76" w:rsidRDefault="00DD1C76" w:rsidP="00DD1C76">
            <w:pPr>
              <w:spacing w:before="0"/>
              <w:jc w:val="center"/>
              <w:rPr>
                <w:rFonts w:asciiTheme="minorHAnsi" w:hAnsiTheme="minorHAnsi"/>
                <w:b/>
                <w:sz w:val="22"/>
                <w:szCs w:val="22"/>
              </w:rPr>
            </w:pPr>
            <w:r w:rsidRPr="00DD1C76">
              <w:rPr>
                <w:rFonts w:asciiTheme="minorHAnsi" w:hAnsiTheme="minorHAnsi"/>
                <w:b/>
                <w:sz w:val="22"/>
                <w:szCs w:val="22"/>
              </w:rPr>
              <w:t>Las Vegas</w:t>
            </w:r>
          </w:p>
        </w:tc>
      </w:tr>
      <w:tr w:rsidR="00DD1C76" w:rsidRPr="00DD1C76" w:rsidTr="008A385E">
        <w:tc>
          <w:tcPr>
            <w:tcW w:w="9350" w:type="dxa"/>
          </w:tcPr>
          <w:p w:rsidR="00DD1C76" w:rsidRPr="00DD1C76" w:rsidRDefault="00DD1C76" w:rsidP="00DD1C76">
            <w:pPr>
              <w:spacing w:before="0"/>
              <w:jc w:val="center"/>
              <w:rPr>
                <w:rFonts w:asciiTheme="minorHAnsi" w:hAnsiTheme="minorHAnsi"/>
                <w:b/>
                <w:sz w:val="22"/>
                <w:szCs w:val="22"/>
              </w:rPr>
            </w:pPr>
            <w:r w:rsidRPr="00DD1C76">
              <w:rPr>
                <w:rFonts w:asciiTheme="minorHAnsi" w:hAnsiTheme="minorHAnsi"/>
                <w:b/>
                <w:sz w:val="22"/>
                <w:szCs w:val="22"/>
              </w:rPr>
              <w:t xml:space="preserve"> Agencies Represented</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Clark County Social Services- Ryan White Part A Program</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Aid For AIDS of Nevada (AFAN)</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Vanatter Consulting</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Horizon Ridge Mental Health</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Southern Nevada Health District (SNHD)</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WISH</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Golden Rainbow</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Member of HIV Prevention Planning Group of Southern NV</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The Gay and Lesbian Center of Las Vegas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RAGE</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Planned Parenthood Rocky Mountains (PPRM)</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University of Nevada- Las Vegas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UMC of SO NV – Wellness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HIV Prevention Planning Group of Northern Nevada</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University of Nevada- Reno School of Community Health Sciences</w:t>
            </w:r>
          </w:p>
        </w:tc>
      </w:tr>
      <w:tr w:rsidR="00DD1C76" w:rsidRPr="00DD1C76" w:rsidTr="008A385E">
        <w:tc>
          <w:tcPr>
            <w:tcW w:w="9350" w:type="dxa"/>
          </w:tcPr>
          <w:p w:rsidR="00DD1C76" w:rsidRPr="00DD1C76" w:rsidRDefault="00DD1C76" w:rsidP="00DD1C76">
            <w:pPr>
              <w:spacing w:before="0"/>
              <w:rPr>
                <w:rFonts w:asciiTheme="minorHAnsi" w:hAnsiTheme="minorHAnsi"/>
                <w:sz w:val="22"/>
                <w:szCs w:val="22"/>
              </w:rPr>
            </w:pPr>
            <w:r w:rsidRPr="00DD1C76">
              <w:rPr>
                <w:rFonts w:asciiTheme="minorHAnsi" w:hAnsiTheme="minorHAnsi"/>
                <w:sz w:val="22"/>
                <w:szCs w:val="22"/>
              </w:rPr>
              <w:t>Nevada AIDS Education and Training Center (AETC)</w:t>
            </w:r>
          </w:p>
        </w:tc>
      </w:tr>
    </w:tbl>
    <w:p w:rsidR="00DD1C76" w:rsidRPr="00F55F39" w:rsidRDefault="00DD1C76" w:rsidP="00DD1C76">
      <w:pPr>
        <w:spacing w:before="0" w:after="0"/>
        <w:rPr>
          <w:sz w:val="22"/>
          <w:szCs w:val="22"/>
        </w:rPr>
      </w:pPr>
    </w:p>
    <w:p w:rsidR="001A24A2" w:rsidRDefault="001A24A2">
      <w:pPr>
        <w:rPr>
          <w:rFonts w:cs="Calibri Light"/>
        </w:rPr>
      </w:pPr>
    </w:p>
    <w:p w:rsidR="00DD1C76" w:rsidRDefault="00DD1C76">
      <w:pPr>
        <w:rPr>
          <w:rFonts w:cs="Calibri Light"/>
        </w:rPr>
      </w:pPr>
    </w:p>
    <w:p w:rsidR="00DD1C76" w:rsidRDefault="00DD1C76">
      <w:pPr>
        <w:rPr>
          <w:rFonts w:cs="Calibri Light"/>
        </w:rPr>
      </w:pPr>
    </w:p>
    <w:tbl>
      <w:tblPr>
        <w:tblStyle w:val="TableGrid"/>
        <w:tblW w:w="0" w:type="auto"/>
        <w:tblLook w:val="04A0" w:firstRow="1" w:lastRow="0" w:firstColumn="1" w:lastColumn="0" w:noHBand="0" w:noVBand="1"/>
      </w:tblPr>
      <w:tblGrid>
        <w:gridCol w:w="9350"/>
      </w:tblGrid>
      <w:tr w:rsidR="00DD1C76" w:rsidRPr="00DD1C76" w:rsidTr="008A385E">
        <w:tc>
          <w:tcPr>
            <w:tcW w:w="9350" w:type="dxa"/>
            <w:shd w:val="clear" w:color="auto" w:fill="C6D9F1" w:themeFill="text2" w:themeFillTint="33"/>
          </w:tcPr>
          <w:p w:rsidR="00DD1C76" w:rsidRPr="00DD1C76" w:rsidRDefault="00DD1C76" w:rsidP="008A385E">
            <w:pPr>
              <w:spacing w:before="0"/>
              <w:jc w:val="center"/>
              <w:rPr>
                <w:rFonts w:asciiTheme="minorHAnsi" w:hAnsiTheme="minorHAnsi"/>
                <w:b/>
                <w:sz w:val="22"/>
                <w:szCs w:val="22"/>
              </w:rPr>
            </w:pPr>
            <w:r w:rsidRPr="00DD1C76">
              <w:rPr>
                <w:rFonts w:asciiTheme="minorHAnsi" w:hAnsiTheme="minorHAnsi"/>
                <w:b/>
                <w:sz w:val="22"/>
                <w:szCs w:val="22"/>
              </w:rPr>
              <w:lastRenderedPageBreak/>
              <w:t xml:space="preserve">HIV PREVENTION/RYAN WHITE CARE </w:t>
            </w:r>
            <w:r>
              <w:rPr>
                <w:rFonts w:asciiTheme="minorHAnsi" w:hAnsiTheme="minorHAnsi"/>
                <w:b/>
                <w:sz w:val="22"/>
                <w:szCs w:val="22"/>
              </w:rPr>
              <w:t>STAKEHOLDER</w:t>
            </w:r>
            <w:r w:rsidRPr="00DD1C76">
              <w:rPr>
                <w:rFonts w:asciiTheme="minorHAnsi" w:hAnsiTheme="minorHAnsi"/>
                <w:b/>
                <w:sz w:val="22"/>
                <w:szCs w:val="22"/>
              </w:rPr>
              <w:t xml:space="preserve"> MEETING</w:t>
            </w:r>
          </w:p>
          <w:p w:rsidR="00DD1C76" w:rsidRPr="00DD1C76" w:rsidRDefault="00DD1C76" w:rsidP="008A385E">
            <w:pPr>
              <w:spacing w:before="0"/>
              <w:jc w:val="center"/>
              <w:rPr>
                <w:rFonts w:asciiTheme="minorHAnsi" w:hAnsiTheme="minorHAnsi"/>
                <w:b/>
                <w:sz w:val="22"/>
                <w:szCs w:val="22"/>
              </w:rPr>
            </w:pPr>
            <w:r>
              <w:rPr>
                <w:rFonts w:asciiTheme="minorHAnsi" w:hAnsiTheme="minorHAnsi"/>
                <w:b/>
                <w:sz w:val="22"/>
                <w:szCs w:val="22"/>
              </w:rPr>
              <w:t>March 11, 2016</w:t>
            </w:r>
          </w:p>
          <w:p w:rsidR="00DD1C76" w:rsidRPr="00DD1C76" w:rsidRDefault="00DD1C76" w:rsidP="008A385E">
            <w:pPr>
              <w:spacing w:before="0"/>
              <w:jc w:val="center"/>
              <w:rPr>
                <w:rFonts w:asciiTheme="minorHAnsi" w:hAnsiTheme="minorHAnsi"/>
                <w:b/>
                <w:sz w:val="22"/>
                <w:szCs w:val="22"/>
              </w:rPr>
            </w:pPr>
            <w:r w:rsidRPr="00DD1C76">
              <w:rPr>
                <w:rFonts w:asciiTheme="minorHAnsi" w:hAnsiTheme="minorHAnsi"/>
                <w:b/>
                <w:sz w:val="22"/>
                <w:szCs w:val="22"/>
              </w:rPr>
              <w:t>Las Vegas</w:t>
            </w:r>
          </w:p>
        </w:tc>
      </w:tr>
      <w:tr w:rsidR="00051A8F" w:rsidRPr="00DD1C76" w:rsidTr="008A385E">
        <w:tc>
          <w:tcPr>
            <w:tcW w:w="9350" w:type="dxa"/>
          </w:tcPr>
          <w:p w:rsidR="00051A8F" w:rsidRPr="00DD1C76" w:rsidRDefault="00051A8F" w:rsidP="008A385E">
            <w:pPr>
              <w:spacing w:before="0"/>
              <w:jc w:val="center"/>
              <w:rPr>
                <w:rFonts w:asciiTheme="minorHAnsi" w:hAnsiTheme="minorHAnsi"/>
                <w:b/>
                <w:sz w:val="22"/>
                <w:szCs w:val="22"/>
              </w:rPr>
            </w:pPr>
            <w:r w:rsidRPr="00DD1C76">
              <w:rPr>
                <w:rFonts w:asciiTheme="minorHAnsi" w:hAnsiTheme="minorHAnsi"/>
                <w:b/>
                <w:sz w:val="22"/>
                <w:szCs w:val="22"/>
              </w:rPr>
              <w:t xml:space="preserve"> Agencies Represented</w:t>
            </w:r>
          </w:p>
        </w:tc>
      </w:tr>
      <w:tr w:rsidR="00051A8F" w:rsidRPr="00DD1C76" w:rsidTr="008A385E">
        <w:tc>
          <w:tcPr>
            <w:tcW w:w="9350" w:type="dxa"/>
          </w:tcPr>
          <w:p w:rsidR="00051A8F" w:rsidRDefault="00051A8F" w:rsidP="008A385E">
            <w:pPr>
              <w:spacing w:before="0"/>
              <w:rPr>
                <w:sz w:val="22"/>
                <w:szCs w:val="22"/>
              </w:rPr>
            </w:pPr>
            <w:r>
              <w:rPr>
                <w:sz w:val="22"/>
                <w:szCs w:val="22"/>
              </w:rPr>
              <w:t>Access to Healthcare Network</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sidRPr="00DD1C76">
              <w:rPr>
                <w:rFonts w:asciiTheme="minorHAnsi" w:hAnsiTheme="minorHAnsi"/>
                <w:sz w:val="22"/>
                <w:szCs w:val="22"/>
              </w:rPr>
              <w:t>Aid For AIDS of Nevada (AFAN)</w:t>
            </w:r>
          </w:p>
        </w:tc>
      </w:tr>
      <w:tr w:rsidR="00051A8F" w:rsidRPr="00DD1C76" w:rsidTr="008A385E">
        <w:tc>
          <w:tcPr>
            <w:tcW w:w="9350" w:type="dxa"/>
          </w:tcPr>
          <w:p w:rsidR="00051A8F" w:rsidRDefault="00051A8F" w:rsidP="008A385E">
            <w:pPr>
              <w:spacing w:before="0"/>
              <w:rPr>
                <w:sz w:val="22"/>
                <w:szCs w:val="22"/>
              </w:rPr>
            </w:pPr>
            <w:r>
              <w:rPr>
                <w:sz w:val="22"/>
                <w:szCs w:val="22"/>
              </w:rPr>
              <w:t>AIDS Healthcare Foundation</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CARE Coalition</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sidRPr="00DD1C76">
              <w:rPr>
                <w:rFonts w:asciiTheme="minorHAnsi" w:hAnsiTheme="minorHAnsi"/>
                <w:sz w:val="22"/>
                <w:szCs w:val="22"/>
              </w:rPr>
              <w:t>Community Counseling Center of Southern Nevada</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Community Outreach Medical Center</w:t>
            </w:r>
          </w:p>
        </w:tc>
      </w:tr>
      <w:tr w:rsidR="00051A8F" w:rsidRPr="00DD1C76" w:rsidTr="008A385E">
        <w:tc>
          <w:tcPr>
            <w:tcW w:w="9350" w:type="dxa"/>
          </w:tcPr>
          <w:p w:rsidR="00051A8F" w:rsidRDefault="00051A8F" w:rsidP="008A385E">
            <w:pPr>
              <w:spacing w:before="0"/>
              <w:rPr>
                <w:sz w:val="22"/>
                <w:szCs w:val="22"/>
              </w:rPr>
            </w:pPr>
            <w:r>
              <w:rPr>
                <w:sz w:val="22"/>
                <w:szCs w:val="22"/>
              </w:rPr>
              <w:t>FirstMed Health &amp; Wellness Center</w:t>
            </w:r>
          </w:p>
        </w:tc>
      </w:tr>
      <w:tr w:rsidR="00051A8F" w:rsidRPr="00DD1C76" w:rsidTr="008A385E">
        <w:tc>
          <w:tcPr>
            <w:tcW w:w="9350" w:type="dxa"/>
          </w:tcPr>
          <w:p w:rsidR="00051A8F" w:rsidRDefault="00051A8F" w:rsidP="008A385E">
            <w:pPr>
              <w:spacing w:before="0"/>
              <w:rPr>
                <w:sz w:val="22"/>
                <w:szCs w:val="22"/>
              </w:rPr>
            </w:pPr>
            <w:r>
              <w:rPr>
                <w:sz w:val="22"/>
                <w:szCs w:val="22"/>
              </w:rPr>
              <w:t>HIV/AIDS Office Division of Public and Behavioral Health</w:t>
            </w:r>
          </w:p>
        </w:tc>
      </w:tr>
      <w:tr w:rsidR="00051A8F" w:rsidRPr="00DD1C76" w:rsidTr="008A385E">
        <w:tc>
          <w:tcPr>
            <w:tcW w:w="9350" w:type="dxa"/>
          </w:tcPr>
          <w:p w:rsidR="00051A8F" w:rsidRDefault="00051A8F" w:rsidP="008A385E">
            <w:pPr>
              <w:spacing w:before="0"/>
              <w:rPr>
                <w:sz w:val="22"/>
                <w:szCs w:val="22"/>
              </w:rPr>
            </w:pPr>
            <w:r>
              <w:rPr>
                <w:sz w:val="22"/>
                <w:szCs w:val="22"/>
              </w:rPr>
              <w:t>Horizon Ridge Clinic LLC</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Las Vegas Urban League</w:t>
            </w:r>
          </w:p>
        </w:tc>
      </w:tr>
      <w:tr w:rsidR="00051A8F" w:rsidRPr="00DD1C76" w:rsidTr="008A385E">
        <w:tc>
          <w:tcPr>
            <w:tcW w:w="9350" w:type="dxa"/>
          </w:tcPr>
          <w:p w:rsidR="00051A8F" w:rsidRDefault="00051A8F" w:rsidP="008A385E">
            <w:pPr>
              <w:spacing w:before="0"/>
              <w:rPr>
                <w:sz w:val="22"/>
                <w:szCs w:val="22"/>
              </w:rPr>
            </w:pPr>
            <w:r>
              <w:rPr>
                <w:sz w:val="22"/>
                <w:szCs w:val="22"/>
              </w:rPr>
              <w:t>Nevada AIDS Education and Training Center (AETC)</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Nevada AIDS Research and Education Society (NARES)</w:t>
            </w:r>
          </w:p>
        </w:tc>
      </w:tr>
      <w:tr w:rsidR="00051A8F" w:rsidRPr="00DD1C76" w:rsidTr="008A385E">
        <w:tc>
          <w:tcPr>
            <w:tcW w:w="9350" w:type="dxa"/>
          </w:tcPr>
          <w:p w:rsidR="00051A8F" w:rsidRPr="00DD1C76" w:rsidRDefault="00051A8F" w:rsidP="00DD1C76">
            <w:pPr>
              <w:spacing w:before="0"/>
              <w:rPr>
                <w:rFonts w:asciiTheme="minorHAnsi" w:hAnsiTheme="minorHAnsi"/>
                <w:sz w:val="22"/>
                <w:szCs w:val="22"/>
              </w:rPr>
            </w:pPr>
            <w:r>
              <w:rPr>
                <w:rFonts w:asciiTheme="minorHAnsi" w:hAnsiTheme="minorHAnsi"/>
                <w:sz w:val="22"/>
                <w:szCs w:val="22"/>
              </w:rPr>
              <w:t>Northern Nevada HIV Prevention Planning Group</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Northern Nevada HOPES</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Nye County Health &amp; Human Services</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Persons Living With HIV</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Planned Parenthood of Southern Nevada</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Ryan White HIV/AIDS Part A Program</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Ryan White Part A Planning Council</w:t>
            </w:r>
          </w:p>
        </w:tc>
      </w:tr>
      <w:tr w:rsidR="00051A8F" w:rsidRPr="00DD1C76" w:rsidTr="008A385E">
        <w:tc>
          <w:tcPr>
            <w:tcW w:w="9350" w:type="dxa"/>
          </w:tcPr>
          <w:p w:rsidR="00051A8F" w:rsidRDefault="00051A8F" w:rsidP="008A385E">
            <w:pPr>
              <w:spacing w:before="0"/>
              <w:rPr>
                <w:sz w:val="22"/>
                <w:szCs w:val="22"/>
              </w:rPr>
            </w:pPr>
            <w:r>
              <w:rPr>
                <w:sz w:val="22"/>
                <w:szCs w:val="22"/>
              </w:rPr>
              <w:t>School of Community Health Sciences, University of Nevada, Reno</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Southern Nevada Health District</w:t>
            </w:r>
          </w:p>
        </w:tc>
      </w:tr>
      <w:tr w:rsidR="00051A8F" w:rsidRPr="00DD1C76" w:rsidTr="008A385E">
        <w:tc>
          <w:tcPr>
            <w:tcW w:w="9350" w:type="dxa"/>
          </w:tcPr>
          <w:p w:rsidR="00051A8F" w:rsidRDefault="00051A8F" w:rsidP="008A385E">
            <w:pPr>
              <w:spacing w:before="0"/>
              <w:rPr>
                <w:sz w:val="22"/>
                <w:szCs w:val="22"/>
              </w:rPr>
            </w:pPr>
            <w:r>
              <w:rPr>
                <w:sz w:val="22"/>
                <w:szCs w:val="22"/>
              </w:rPr>
              <w:t>Southern Nevada Regional HIV Community Planning Group</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The Gay &amp; Lesbian Center</w:t>
            </w:r>
          </w:p>
        </w:tc>
      </w:tr>
      <w:tr w:rsidR="00051A8F" w:rsidRPr="00DD1C76" w:rsidTr="008A385E">
        <w:tc>
          <w:tcPr>
            <w:tcW w:w="9350" w:type="dxa"/>
          </w:tcPr>
          <w:p w:rsidR="00051A8F" w:rsidRPr="00DD1C76" w:rsidRDefault="00051A8F" w:rsidP="008A385E">
            <w:pPr>
              <w:spacing w:before="0"/>
              <w:rPr>
                <w:rFonts w:asciiTheme="minorHAnsi" w:hAnsiTheme="minorHAnsi"/>
                <w:sz w:val="22"/>
                <w:szCs w:val="22"/>
              </w:rPr>
            </w:pPr>
            <w:r>
              <w:rPr>
                <w:rFonts w:asciiTheme="minorHAnsi" w:hAnsiTheme="minorHAnsi"/>
                <w:sz w:val="22"/>
                <w:szCs w:val="22"/>
              </w:rPr>
              <w:t>UMC Wellness Center</w:t>
            </w:r>
          </w:p>
        </w:tc>
      </w:tr>
    </w:tbl>
    <w:p w:rsidR="00DD1C76" w:rsidRDefault="00DD1C76">
      <w:pPr>
        <w:rPr>
          <w:rFonts w:cs="Calibri Light"/>
        </w:rPr>
      </w:pPr>
    </w:p>
    <w:p w:rsidR="008A385E" w:rsidRDefault="008A385E">
      <w:pPr>
        <w:rPr>
          <w:rFonts w:cs="Calibri Light"/>
        </w:rPr>
      </w:pPr>
      <w:r>
        <w:rPr>
          <w:rFonts w:cs="Calibri Light"/>
        </w:rPr>
        <w:br w:type="page"/>
      </w:r>
    </w:p>
    <w:p w:rsidR="008A385E" w:rsidRDefault="008A385E" w:rsidP="00342034">
      <w:pPr>
        <w:pStyle w:val="Heading2"/>
      </w:pPr>
      <w:bookmarkStart w:id="63" w:name="_Toc461188606"/>
      <w:r>
        <w:lastRenderedPageBreak/>
        <w:t>Appendix E: Las Vegas TGA Needs Assessment and Customer Satisfaction Reports</w:t>
      </w:r>
      <w:bookmarkEnd w:id="63"/>
    </w:p>
    <w:p w:rsidR="008A385E" w:rsidRDefault="008A385E" w:rsidP="008A385E"/>
    <w:p w:rsidR="008A385E" w:rsidRDefault="008A385E" w:rsidP="008A385E">
      <w:pPr>
        <w:spacing w:before="0" w:after="0"/>
        <w:jc w:val="both"/>
        <w:rPr>
          <w:sz w:val="22"/>
          <w:szCs w:val="22"/>
        </w:rPr>
      </w:pPr>
      <w:r>
        <w:rPr>
          <w:sz w:val="22"/>
          <w:szCs w:val="22"/>
        </w:rPr>
        <w:t>The reports for the Las Vegas TGA Ryan White Part A HIV/AIDS Program needs assessments and consumer satisfaction project that are referred to in this document can be accessed at the following links.</w:t>
      </w:r>
    </w:p>
    <w:p w:rsidR="008A385E" w:rsidRDefault="008A385E" w:rsidP="008A385E">
      <w:pPr>
        <w:spacing w:before="0" w:after="0"/>
        <w:rPr>
          <w:sz w:val="22"/>
          <w:szCs w:val="22"/>
        </w:rPr>
      </w:pPr>
    </w:p>
    <w:p w:rsidR="008A385E" w:rsidRPr="009E6CCC" w:rsidRDefault="008A385E" w:rsidP="008A385E">
      <w:pPr>
        <w:spacing w:before="0" w:after="0"/>
        <w:rPr>
          <w:sz w:val="22"/>
          <w:szCs w:val="22"/>
        </w:rPr>
      </w:pPr>
      <w:r w:rsidRPr="009E6CCC">
        <w:rPr>
          <w:sz w:val="22"/>
          <w:szCs w:val="22"/>
        </w:rPr>
        <w:t>Comprehensive HIV/AIDS Needs Assessment 2014, Las Vegas TGA Ryan White Part A HIV/AIDS Program</w:t>
      </w:r>
    </w:p>
    <w:p w:rsidR="008A385E" w:rsidRPr="009E6CCC" w:rsidRDefault="00C178CB" w:rsidP="008A385E">
      <w:pPr>
        <w:spacing w:before="0" w:after="0"/>
        <w:rPr>
          <w:sz w:val="22"/>
          <w:szCs w:val="22"/>
        </w:rPr>
      </w:pPr>
      <w:hyperlink r:id="rId62" w:history="1">
        <w:r w:rsidR="008A385E" w:rsidRPr="009E6CCC">
          <w:rPr>
            <w:rStyle w:val="Hyperlink"/>
            <w:sz w:val="22"/>
            <w:szCs w:val="22"/>
          </w:rPr>
          <w:t>http://www.lasvegasema.org/assets/lvtgarwpartacomprehensiveneedsassessment2014.pdf</w:t>
        </w:r>
      </w:hyperlink>
    </w:p>
    <w:p w:rsidR="008A385E" w:rsidRPr="009E6CCC" w:rsidRDefault="008A385E" w:rsidP="008A385E">
      <w:pPr>
        <w:shd w:val="clear" w:color="auto" w:fill="FFFFFF"/>
        <w:spacing w:before="0" w:after="0" w:line="255" w:lineRule="atLeast"/>
        <w:ind w:left="-360"/>
        <w:rPr>
          <w:rFonts w:cs="Arial"/>
          <w:bCs/>
          <w:color w:val="000000"/>
          <w:sz w:val="22"/>
          <w:szCs w:val="22"/>
        </w:rPr>
      </w:pPr>
    </w:p>
    <w:p w:rsidR="008A385E" w:rsidRPr="009E6CCC" w:rsidRDefault="008A385E" w:rsidP="008A385E">
      <w:pPr>
        <w:spacing w:before="0" w:after="0"/>
        <w:rPr>
          <w:sz w:val="22"/>
          <w:szCs w:val="22"/>
        </w:rPr>
      </w:pPr>
      <w:r w:rsidRPr="009E6CCC">
        <w:rPr>
          <w:sz w:val="22"/>
          <w:szCs w:val="22"/>
        </w:rPr>
        <w:t>Ryan White Consumer Satisfaction Project Grant Year 2014-2015, Las Vegas TGA Ryan White Part A HIV/AIDS Program</w:t>
      </w:r>
    </w:p>
    <w:p w:rsidR="008A385E" w:rsidRPr="009E6CCC" w:rsidRDefault="00C178CB" w:rsidP="008A385E">
      <w:pPr>
        <w:spacing w:before="0" w:after="0"/>
        <w:rPr>
          <w:sz w:val="22"/>
          <w:szCs w:val="22"/>
        </w:rPr>
      </w:pPr>
      <w:hyperlink r:id="rId63" w:history="1">
        <w:r w:rsidR="008A385E" w:rsidRPr="009E6CCC">
          <w:rPr>
            <w:rStyle w:val="Hyperlink"/>
            <w:sz w:val="22"/>
            <w:szCs w:val="22"/>
          </w:rPr>
          <w:t>http://lasvegasema.org/assets/consumer-satisfaction-survey-report-2014-2015.pdf</w:t>
        </w:r>
      </w:hyperlink>
    </w:p>
    <w:p w:rsidR="008A385E" w:rsidRPr="000457CA" w:rsidRDefault="008A385E" w:rsidP="008A385E">
      <w:pPr>
        <w:autoSpaceDE w:val="0"/>
        <w:autoSpaceDN w:val="0"/>
        <w:adjustRightInd w:val="0"/>
        <w:spacing w:before="0" w:after="0" w:line="240" w:lineRule="auto"/>
        <w:rPr>
          <w:rFonts w:cs="Georgia"/>
          <w:color w:val="000000"/>
          <w:sz w:val="22"/>
          <w:szCs w:val="22"/>
        </w:rPr>
      </w:pPr>
    </w:p>
    <w:p w:rsidR="008A385E" w:rsidRPr="009E6CCC" w:rsidRDefault="008A385E" w:rsidP="008A385E">
      <w:pPr>
        <w:autoSpaceDE w:val="0"/>
        <w:autoSpaceDN w:val="0"/>
        <w:adjustRightInd w:val="0"/>
        <w:spacing w:before="0" w:after="0" w:line="240" w:lineRule="auto"/>
        <w:rPr>
          <w:sz w:val="22"/>
          <w:szCs w:val="22"/>
        </w:rPr>
      </w:pPr>
      <w:r w:rsidRPr="009E6CCC">
        <w:rPr>
          <w:sz w:val="22"/>
          <w:szCs w:val="22"/>
        </w:rPr>
        <w:t>Targeted Needs Assessment Pathways to Care, Ryan White Part A HIV/AIDS Program of the Las Vegas TGA Grant Year 2014-2015</w:t>
      </w:r>
    </w:p>
    <w:p w:rsidR="008A385E" w:rsidRPr="009E6CCC" w:rsidRDefault="00C178CB" w:rsidP="008A385E">
      <w:pPr>
        <w:spacing w:before="0" w:after="0"/>
        <w:rPr>
          <w:sz w:val="22"/>
          <w:szCs w:val="22"/>
        </w:rPr>
      </w:pPr>
      <w:hyperlink r:id="rId64" w:history="1">
        <w:r w:rsidR="008A385E" w:rsidRPr="009E6CCC">
          <w:rPr>
            <w:rStyle w:val="Hyperlink"/>
            <w:sz w:val="22"/>
            <w:szCs w:val="22"/>
          </w:rPr>
          <w:t>http://lasvegasema.org/assets/targeted-needs-assessment-report-2015.pdf</w:t>
        </w:r>
      </w:hyperlink>
    </w:p>
    <w:p w:rsidR="008A385E" w:rsidRDefault="008A385E">
      <w:pPr>
        <w:rPr>
          <w:rFonts w:cs="Calibri Light"/>
        </w:rPr>
      </w:pPr>
      <w:r>
        <w:rPr>
          <w:rFonts w:cs="Calibri Light"/>
        </w:rPr>
        <w:br w:type="page"/>
      </w:r>
    </w:p>
    <w:p w:rsidR="008A385E" w:rsidRDefault="008A385E" w:rsidP="00342034">
      <w:pPr>
        <w:pStyle w:val="Heading2"/>
      </w:pPr>
      <w:bookmarkStart w:id="64" w:name="_Toc461188607"/>
      <w:r>
        <w:lastRenderedPageBreak/>
        <w:t>Appendix F: Client Survey</w:t>
      </w:r>
      <w:bookmarkEnd w:id="64"/>
    </w:p>
    <w:p w:rsidR="008A385E" w:rsidRDefault="008A385E" w:rsidP="008A385E">
      <w:r>
        <w:rPr>
          <w:noProof/>
        </w:rPr>
        <w:drawing>
          <wp:anchor distT="0" distB="0" distL="114300" distR="114300" simplePos="0" relativeHeight="251790336" behindDoc="0" locked="0" layoutInCell="1" allowOverlap="1" wp14:anchorId="53779AD0" wp14:editId="2E7AF501">
            <wp:simplePos x="0" y="0"/>
            <wp:positionH relativeFrom="column">
              <wp:posOffset>0</wp:posOffset>
            </wp:positionH>
            <wp:positionV relativeFrom="paragraph">
              <wp:posOffset>76835</wp:posOffset>
            </wp:positionV>
            <wp:extent cx="5565775" cy="7200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N HIV Client Survey-2015_REV1-13-16_Page_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65775" cy="7200900"/>
                    </a:xfrm>
                    <a:prstGeom prst="rect">
                      <a:avLst/>
                    </a:prstGeom>
                  </pic:spPr>
                </pic:pic>
              </a:graphicData>
            </a:graphic>
            <wp14:sizeRelH relativeFrom="page">
              <wp14:pctWidth>0</wp14:pctWidth>
            </wp14:sizeRelH>
            <wp14:sizeRelV relativeFrom="page">
              <wp14:pctHeight>0</wp14:pctHeight>
            </wp14:sizeRelV>
          </wp:anchor>
        </w:drawing>
      </w:r>
    </w:p>
    <w:p w:rsidR="008A385E" w:rsidRDefault="008A385E" w:rsidP="008A385E"/>
    <w:p w:rsidR="008A385E" w:rsidRDefault="008A385E" w:rsidP="008A385E">
      <w:r>
        <w:br w:type="page"/>
      </w:r>
    </w:p>
    <w:p w:rsidR="008A385E" w:rsidRDefault="008A385E" w:rsidP="008A385E">
      <w:r>
        <w:rPr>
          <w:noProof/>
        </w:rPr>
        <w:lastRenderedPageBreak/>
        <w:drawing>
          <wp:inline distT="0" distB="0" distL="0" distR="0" wp14:anchorId="3E16003B" wp14:editId="6D139B3E">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N HIV Client Survey-2015_REV1-13-16_Page_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385E" w:rsidRDefault="008A385E" w:rsidP="00342034">
      <w:pPr>
        <w:pStyle w:val="Heading2"/>
      </w:pPr>
      <w:bookmarkStart w:id="65" w:name="_Toc461188608"/>
      <w:r>
        <w:lastRenderedPageBreak/>
        <w:t>Appendix G: Summary of Client Survey Results</w:t>
      </w:r>
      <w:bookmarkEnd w:id="65"/>
    </w:p>
    <w:p w:rsidR="008A385E" w:rsidRPr="00BA7EF8" w:rsidRDefault="008A385E" w:rsidP="008A385E">
      <w:pPr>
        <w:jc w:val="center"/>
        <w:rPr>
          <w:b/>
          <w:sz w:val="22"/>
          <w:szCs w:val="22"/>
        </w:rPr>
      </w:pPr>
      <w:r w:rsidRPr="00BA7EF8">
        <w:rPr>
          <w:b/>
          <w:sz w:val="22"/>
          <w:szCs w:val="22"/>
        </w:rPr>
        <w:t>Summary of SCSN Client Survey Results (2015-2016)</w:t>
      </w:r>
    </w:p>
    <w:p w:rsidR="008A385E" w:rsidRPr="00BA7EF8" w:rsidRDefault="008A385E" w:rsidP="008A385E">
      <w:pPr>
        <w:jc w:val="both"/>
        <w:rPr>
          <w:sz w:val="22"/>
          <w:szCs w:val="22"/>
        </w:rPr>
      </w:pPr>
      <w:r w:rsidRPr="00BA7EF8">
        <w:rPr>
          <w:sz w:val="22"/>
          <w:szCs w:val="22"/>
        </w:rPr>
        <w:t xml:space="preserve">The SCSN Client Survey was completed by 177 PLWH between January and March 2016. While the survey was available online, most respondents completed the survey on paper at a service provider site. The survey was available in both English and Spanish. </w:t>
      </w:r>
    </w:p>
    <w:p w:rsidR="008A385E" w:rsidRPr="00BA7EF8" w:rsidRDefault="008A385E" w:rsidP="008A385E">
      <w:pPr>
        <w:jc w:val="both"/>
        <w:rPr>
          <w:sz w:val="22"/>
          <w:szCs w:val="22"/>
        </w:rPr>
      </w:pPr>
      <w:r w:rsidRPr="00BA7EF8">
        <w:rPr>
          <w:sz w:val="22"/>
          <w:szCs w:val="22"/>
        </w:rPr>
        <w:t xml:space="preserve">Demographic characteristics of the SCSN Client Survey are compared to the 2014 Nevada HIV/AIDS Surveillance data for PLWH. The majority of client survey respondents were male, as is the case in Nevada PLWH. However, the survey had slightly higher representation of females than found in Nevada. </w:t>
      </w:r>
    </w:p>
    <w:p w:rsidR="008A385E" w:rsidRPr="00BA7EF8" w:rsidRDefault="008A385E" w:rsidP="008A385E">
      <w:pPr>
        <w:rPr>
          <w:sz w:val="22"/>
          <w:szCs w:val="22"/>
        </w:rPr>
      </w:pPr>
      <w:r w:rsidRPr="00BA7EF8">
        <w:rPr>
          <w:noProof/>
          <w:sz w:val="22"/>
          <w:szCs w:val="22"/>
        </w:rPr>
        <w:drawing>
          <wp:inline distT="0" distB="0" distL="0" distR="0" wp14:anchorId="24378220" wp14:editId="0087CEFC">
            <wp:extent cx="5935980" cy="2286000"/>
            <wp:effectExtent l="0" t="0" r="762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A385E" w:rsidRPr="00BA7EF8" w:rsidRDefault="008A385E" w:rsidP="008A385E">
      <w:pPr>
        <w:jc w:val="both"/>
        <w:rPr>
          <w:sz w:val="22"/>
          <w:szCs w:val="22"/>
        </w:rPr>
      </w:pPr>
      <w:r w:rsidRPr="00BA7EF8">
        <w:rPr>
          <w:sz w:val="22"/>
          <w:szCs w:val="22"/>
        </w:rPr>
        <w:t xml:space="preserve">The mean age of survey respondents was 45 years. The survey sample was somewhat older than PLWH in Nevada. Higher percentages of survey respondents were 45 years and older and fewer were under 35 years, compared to Nevada statistics. </w:t>
      </w:r>
    </w:p>
    <w:p w:rsidR="008A385E" w:rsidRPr="00BA7EF8" w:rsidRDefault="008A385E" w:rsidP="008A385E">
      <w:pPr>
        <w:rPr>
          <w:sz w:val="22"/>
          <w:szCs w:val="22"/>
        </w:rPr>
      </w:pPr>
      <w:r w:rsidRPr="00BA7EF8">
        <w:rPr>
          <w:noProof/>
          <w:sz w:val="22"/>
          <w:szCs w:val="22"/>
        </w:rPr>
        <w:drawing>
          <wp:inline distT="0" distB="0" distL="0" distR="0" wp14:anchorId="751C465A" wp14:editId="58C3DC5D">
            <wp:extent cx="5939624" cy="2584174"/>
            <wp:effectExtent l="0" t="0" r="4445" b="698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A385E" w:rsidRPr="00BA7EF8" w:rsidRDefault="008A385E" w:rsidP="008A385E">
      <w:pPr>
        <w:jc w:val="both"/>
        <w:rPr>
          <w:sz w:val="22"/>
          <w:szCs w:val="22"/>
        </w:rPr>
      </w:pPr>
      <w:r w:rsidRPr="00BA7EF8">
        <w:rPr>
          <w:sz w:val="22"/>
          <w:szCs w:val="22"/>
        </w:rPr>
        <w:lastRenderedPageBreak/>
        <w:t xml:space="preserve">Client survey respondents were generally representative of PLWH in Nevada; however, Hispanics were underrepresented in the sample (sample = 22%; Nevada = 30%), while multi-race and blacks were slightly overrepresented. </w:t>
      </w:r>
    </w:p>
    <w:p w:rsidR="008A385E" w:rsidRPr="00BA7EF8" w:rsidRDefault="008A385E" w:rsidP="008A385E">
      <w:pPr>
        <w:rPr>
          <w:sz w:val="22"/>
          <w:szCs w:val="22"/>
        </w:rPr>
      </w:pPr>
      <w:r w:rsidRPr="00BA7EF8">
        <w:rPr>
          <w:noProof/>
          <w:sz w:val="22"/>
          <w:szCs w:val="22"/>
        </w:rPr>
        <w:drawing>
          <wp:inline distT="0" distB="0" distL="0" distR="0" wp14:anchorId="6CE9AFED" wp14:editId="5C0F16A0">
            <wp:extent cx="5935980" cy="3419475"/>
            <wp:effectExtent l="0" t="0" r="762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A385E" w:rsidRPr="00BA7EF8" w:rsidRDefault="008A385E" w:rsidP="008A385E">
      <w:pPr>
        <w:rPr>
          <w:b/>
          <w:sz w:val="22"/>
          <w:szCs w:val="22"/>
        </w:rPr>
      </w:pPr>
      <w:r w:rsidRPr="00BA7EF8">
        <w:rPr>
          <w:b/>
          <w:sz w:val="22"/>
          <w:szCs w:val="22"/>
        </w:rPr>
        <w:t>Residence</w:t>
      </w:r>
    </w:p>
    <w:p w:rsidR="008A385E" w:rsidRPr="00BA7EF8" w:rsidRDefault="008A385E" w:rsidP="008A385E">
      <w:pPr>
        <w:jc w:val="both"/>
        <w:rPr>
          <w:sz w:val="22"/>
          <w:szCs w:val="22"/>
        </w:rPr>
      </w:pPr>
      <w:r w:rsidRPr="00BA7EF8">
        <w:rPr>
          <w:sz w:val="22"/>
          <w:szCs w:val="22"/>
        </w:rPr>
        <w:t xml:space="preserve">Respondents were asked to provide their zip code of residence which was then coded into Clark County, Washoe County and all other Nevada counties. The distribution of the survey respondents closely matches the Nevada statistics for PLWH, with most respondents residing in Clark County (86%). The number of respondents from all other counties was very low. </w:t>
      </w:r>
    </w:p>
    <w:p w:rsidR="008A385E" w:rsidRPr="00BA7EF8" w:rsidRDefault="008A385E" w:rsidP="008A385E">
      <w:pPr>
        <w:rPr>
          <w:sz w:val="22"/>
          <w:szCs w:val="22"/>
        </w:rPr>
      </w:pPr>
      <w:r w:rsidRPr="00BA7EF8">
        <w:rPr>
          <w:noProof/>
          <w:sz w:val="22"/>
          <w:szCs w:val="22"/>
        </w:rPr>
        <w:drawing>
          <wp:inline distT="0" distB="0" distL="0" distR="0" wp14:anchorId="49E3D7F5" wp14:editId="44E0B80E">
            <wp:extent cx="5935980" cy="2316480"/>
            <wp:effectExtent l="0" t="0" r="7620" b="762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A385E" w:rsidRPr="00BA7EF8" w:rsidRDefault="008A385E" w:rsidP="008A385E">
      <w:pPr>
        <w:rPr>
          <w:b/>
          <w:sz w:val="22"/>
          <w:szCs w:val="22"/>
        </w:rPr>
      </w:pPr>
      <w:r w:rsidRPr="00BA7EF8">
        <w:rPr>
          <w:b/>
          <w:sz w:val="22"/>
          <w:szCs w:val="22"/>
        </w:rPr>
        <w:lastRenderedPageBreak/>
        <w:t>Sexual Orientation</w:t>
      </w:r>
    </w:p>
    <w:p w:rsidR="008A385E" w:rsidRPr="00BA7EF8" w:rsidRDefault="008A385E" w:rsidP="008A385E">
      <w:pPr>
        <w:jc w:val="both"/>
        <w:rPr>
          <w:sz w:val="22"/>
          <w:szCs w:val="22"/>
        </w:rPr>
      </w:pPr>
      <w:r w:rsidRPr="00BA7EF8">
        <w:rPr>
          <w:sz w:val="22"/>
          <w:szCs w:val="22"/>
        </w:rPr>
        <w:t>Half the sample identified as gay/homosexual; 30% heterosexual; 7% bisexual and the remaining 13% as other or they did not indicate sexual orientation.</w:t>
      </w:r>
    </w:p>
    <w:p w:rsidR="008A385E" w:rsidRPr="00BA7EF8" w:rsidRDefault="008A385E" w:rsidP="008A385E">
      <w:pPr>
        <w:rPr>
          <w:sz w:val="22"/>
          <w:szCs w:val="22"/>
        </w:rPr>
      </w:pPr>
      <w:r w:rsidRPr="00BA7EF8">
        <w:rPr>
          <w:noProof/>
          <w:sz w:val="22"/>
          <w:szCs w:val="22"/>
        </w:rPr>
        <w:drawing>
          <wp:inline distT="0" distB="0" distL="0" distR="0" wp14:anchorId="7C01DA0F" wp14:editId="6E175DA5">
            <wp:extent cx="5939624" cy="2321781"/>
            <wp:effectExtent l="0" t="0" r="4445" b="254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A385E" w:rsidRPr="00BA7EF8" w:rsidRDefault="008A385E" w:rsidP="008A385E">
      <w:pPr>
        <w:rPr>
          <w:b/>
          <w:sz w:val="22"/>
          <w:szCs w:val="22"/>
        </w:rPr>
      </w:pPr>
      <w:r w:rsidRPr="00BA7EF8">
        <w:rPr>
          <w:b/>
          <w:sz w:val="22"/>
          <w:szCs w:val="22"/>
        </w:rPr>
        <w:t>Years since diagnosis</w:t>
      </w:r>
    </w:p>
    <w:p w:rsidR="008A385E" w:rsidRPr="00BA7EF8" w:rsidRDefault="008A385E" w:rsidP="008A385E">
      <w:pPr>
        <w:jc w:val="both"/>
        <w:rPr>
          <w:sz w:val="22"/>
          <w:szCs w:val="22"/>
        </w:rPr>
      </w:pPr>
      <w:r w:rsidRPr="00BA7EF8">
        <w:rPr>
          <w:sz w:val="22"/>
          <w:szCs w:val="22"/>
        </w:rPr>
        <w:t>The mean age survey respondents were diagnosed with HIV was 31 years. The majority of respondents had received their diagnosis more than six years ago (67%); 16% received their diagnosis from 3-5 years ago; while 17% had received it within the past two years.</w:t>
      </w:r>
    </w:p>
    <w:p w:rsidR="008A385E" w:rsidRPr="00BA7EF8" w:rsidRDefault="008A385E" w:rsidP="008A385E">
      <w:pPr>
        <w:rPr>
          <w:sz w:val="22"/>
          <w:szCs w:val="22"/>
        </w:rPr>
      </w:pPr>
      <w:r w:rsidRPr="00BA7EF8">
        <w:rPr>
          <w:noProof/>
          <w:sz w:val="22"/>
          <w:szCs w:val="22"/>
        </w:rPr>
        <w:drawing>
          <wp:inline distT="0" distB="0" distL="0" distR="0" wp14:anchorId="117067DF" wp14:editId="204DA344">
            <wp:extent cx="5935980" cy="2628900"/>
            <wp:effectExtent l="0" t="0" r="762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A385E" w:rsidRPr="00BA7EF8" w:rsidRDefault="008A385E" w:rsidP="008A385E">
      <w:pPr>
        <w:rPr>
          <w:sz w:val="22"/>
          <w:szCs w:val="22"/>
        </w:rPr>
      </w:pPr>
    </w:p>
    <w:p w:rsidR="008A385E" w:rsidRPr="00BA7EF8" w:rsidRDefault="008A385E" w:rsidP="008A385E">
      <w:pPr>
        <w:rPr>
          <w:sz w:val="22"/>
          <w:szCs w:val="22"/>
        </w:rPr>
      </w:pPr>
    </w:p>
    <w:p w:rsidR="008A385E" w:rsidRPr="00BA7EF8" w:rsidRDefault="008A385E" w:rsidP="008A385E">
      <w:pPr>
        <w:rPr>
          <w:b/>
          <w:sz w:val="22"/>
          <w:szCs w:val="22"/>
        </w:rPr>
      </w:pPr>
      <w:r w:rsidRPr="00BA7EF8">
        <w:rPr>
          <w:b/>
          <w:sz w:val="22"/>
          <w:szCs w:val="22"/>
        </w:rPr>
        <w:lastRenderedPageBreak/>
        <w:t>Length of time from diagnosis to first doctor visit</w:t>
      </w:r>
    </w:p>
    <w:p w:rsidR="008A385E" w:rsidRPr="00BA7EF8" w:rsidRDefault="008A385E" w:rsidP="008A385E">
      <w:pPr>
        <w:jc w:val="both"/>
        <w:rPr>
          <w:sz w:val="22"/>
          <w:szCs w:val="22"/>
        </w:rPr>
      </w:pPr>
      <w:r w:rsidRPr="00BA7EF8">
        <w:rPr>
          <w:sz w:val="22"/>
          <w:szCs w:val="22"/>
        </w:rPr>
        <w:t>The majority of clients indicated that they had gotten into care immediately following their diagnosis with HIV (57%); and another 14% indicated that they had seen a doctor less than a month after diagnosis. Five percent of respondents indicated it took more than six months until their first doctor visit. There were no differences in the amount of time by ethnicity or county.</w:t>
      </w:r>
    </w:p>
    <w:p w:rsidR="008A385E" w:rsidRPr="00BA7EF8" w:rsidRDefault="008A385E" w:rsidP="008A385E">
      <w:pPr>
        <w:rPr>
          <w:sz w:val="22"/>
          <w:szCs w:val="22"/>
        </w:rPr>
      </w:pPr>
      <w:r w:rsidRPr="00BA7EF8">
        <w:rPr>
          <w:noProof/>
          <w:sz w:val="22"/>
          <w:szCs w:val="22"/>
        </w:rPr>
        <w:drawing>
          <wp:inline distT="0" distB="0" distL="0" distR="0" wp14:anchorId="5D7D2598" wp14:editId="25181369">
            <wp:extent cx="5935980" cy="2628900"/>
            <wp:effectExtent l="0" t="0" r="762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A385E" w:rsidRPr="00BA7EF8" w:rsidRDefault="008A385E" w:rsidP="008A385E">
      <w:pPr>
        <w:rPr>
          <w:b/>
          <w:sz w:val="22"/>
          <w:szCs w:val="22"/>
        </w:rPr>
      </w:pPr>
      <w:r w:rsidRPr="00BA7EF8">
        <w:rPr>
          <w:b/>
          <w:sz w:val="22"/>
          <w:szCs w:val="22"/>
        </w:rPr>
        <w:t>Barriers to Getting Into Care after Diagnosis</w:t>
      </w:r>
    </w:p>
    <w:p w:rsidR="008A385E" w:rsidRPr="00BA7EF8" w:rsidRDefault="008A385E" w:rsidP="008A385E">
      <w:pPr>
        <w:jc w:val="both"/>
        <w:rPr>
          <w:sz w:val="22"/>
          <w:szCs w:val="22"/>
        </w:rPr>
      </w:pPr>
      <w:r w:rsidRPr="00BA7EF8">
        <w:rPr>
          <w:sz w:val="22"/>
          <w:szCs w:val="22"/>
        </w:rPr>
        <w:t>The majority of client respondents indicated they didn’t have any problems getting into a doctor’s office after diagnosis. The top problems reported by respondents included not wanting to think about having HIV, not knowing where to go, and not wanting anyone to know they had HIV.</w:t>
      </w:r>
    </w:p>
    <w:p w:rsidR="008A385E" w:rsidRPr="00BA7EF8" w:rsidRDefault="008A385E" w:rsidP="008A385E">
      <w:pPr>
        <w:rPr>
          <w:sz w:val="22"/>
          <w:szCs w:val="22"/>
        </w:rPr>
      </w:pPr>
      <w:r w:rsidRPr="00BA7EF8">
        <w:rPr>
          <w:noProof/>
          <w:sz w:val="22"/>
          <w:szCs w:val="22"/>
        </w:rPr>
        <w:drawing>
          <wp:inline distT="0" distB="0" distL="0" distR="0" wp14:anchorId="27AD58CC" wp14:editId="40343FAF">
            <wp:extent cx="5935980" cy="2628900"/>
            <wp:effectExtent l="0" t="0" r="762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A385E" w:rsidRPr="00BA7EF8" w:rsidRDefault="008A385E" w:rsidP="008A385E">
      <w:pPr>
        <w:rPr>
          <w:rFonts w:cs="Arial"/>
          <w:b/>
          <w:bCs/>
          <w:color w:val="000000"/>
          <w:sz w:val="22"/>
          <w:szCs w:val="22"/>
        </w:rPr>
      </w:pPr>
      <w:r w:rsidRPr="00BA7EF8">
        <w:rPr>
          <w:rFonts w:cs="Arial"/>
          <w:b/>
          <w:bCs/>
          <w:color w:val="000000"/>
          <w:sz w:val="22"/>
          <w:szCs w:val="22"/>
        </w:rPr>
        <w:lastRenderedPageBreak/>
        <w:t>Differences in Barriers to getting care after diagnosis by Ethnicity</w:t>
      </w:r>
    </w:p>
    <w:p w:rsidR="008A385E" w:rsidRPr="00BA7EF8" w:rsidRDefault="008A385E" w:rsidP="00E73293">
      <w:pPr>
        <w:pStyle w:val="ListParagraph"/>
        <w:numPr>
          <w:ilvl w:val="0"/>
          <w:numId w:val="20"/>
        </w:numPr>
        <w:spacing w:before="0" w:after="0" w:line="259" w:lineRule="auto"/>
        <w:rPr>
          <w:rFonts w:cs="Arial"/>
          <w:bCs/>
          <w:color w:val="000000"/>
          <w:sz w:val="22"/>
          <w:szCs w:val="22"/>
        </w:rPr>
      </w:pPr>
      <w:r w:rsidRPr="00BA7EF8">
        <w:rPr>
          <w:rFonts w:cs="Arial"/>
          <w:bCs/>
          <w:color w:val="000000"/>
          <w:sz w:val="22"/>
          <w:szCs w:val="22"/>
        </w:rPr>
        <w:t>Hispanic clients were more likely than clients of other ethnicities to indicate that they didn’t feel sick</w:t>
      </w:r>
    </w:p>
    <w:p w:rsidR="008A385E" w:rsidRPr="00BA7EF8" w:rsidRDefault="008A385E" w:rsidP="00E73293">
      <w:pPr>
        <w:pStyle w:val="ListParagraph"/>
        <w:numPr>
          <w:ilvl w:val="0"/>
          <w:numId w:val="20"/>
        </w:numPr>
        <w:spacing w:before="0" w:after="0" w:line="259" w:lineRule="auto"/>
        <w:rPr>
          <w:rFonts w:cs="Arial"/>
          <w:bCs/>
          <w:color w:val="000000"/>
          <w:sz w:val="22"/>
          <w:szCs w:val="22"/>
        </w:rPr>
      </w:pPr>
      <w:r w:rsidRPr="00BA7EF8">
        <w:rPr>
          <w:rFonts w:cs="Arial"/>
          <w:bCs/>
          <w:color w:val="000000"/>
          <w:sz w:val="22"/>
          <w:szCs w:val="22"/>
        </w:rPr>
        <w:t>Hispanic clients were more likely than clients of other ethnicities to indicate that they were too nervous to see a doctor</w:t>
      </w:r>
    </w:p>
    <w:p w:rsidR="008A385E" w:rsidRPr="00BA7EF8" w:rsidRDefault="008A385E" w:rsidP="008A385E">
      <w:pPr>
        <w:rPr>
          <w:b/>
          <w:sz w:val="22"/>
          <w:szCs w:val="22"/>
        </w:rPr>
      </w:pPr>
      <w:r w:rsidRPr="00BA7EF8">
        <w:rPr>
          <w:b/>
          <w:sz w:val="22"/>
          <w:szCs w:val="22"/>
        </w:rPr>
        <w:t>Most Highly Used Services</w:t>
      </w:r>
    </w:p>
    <w:p w:rsidR="008A385E" w:rsidRPr="00BA7EF8" w:rsidRDefault="008A385E" w:rsidP="008A385E">
      <w:pPr>
        <w:jc w:val="both"/>
        <w:rPr>
          <w:sz w:val="22"/>
          <w:szCs w:val="22"/>
        </w:rPr>
      </w:pPr>
      <w:r w:rsidRPr="00BA7EF8">
        <w:rPr>
          <w:sz w:val="22"/>
          <w:szCs w:val="22"/>
        </w:rPr>
        <w:t xml:space="preserve">Respondents reported using from 0 to 18 services, with a mean of five services used. Medical care was the most frequently used service, followed by help paying for medicines, and dental care.  Other frequently used services included vision care, help getting food, transportation, mental health care, and referrals to get other health care services. Differences were not found between clients in Clark and Washoe counties with respect to types of services used. Some differences in types of services used were found among different ethnicities. </w:t>
      </w:r>
    </w:p>
    <w:p w:rsidR="008A385E" w:rsidRPr="00BA7EF8" w:rsidRDefault="008A385E" w:rsidP="008A385E">
      <w:pPr>
        <w:rPr>
          <w:sz w:val="22"/>
          <w:szCs w:val="22"/>
        </w:rPr>
      </w:pPr>
      <w:r w:rsidRPr="00BA7EF8">
        <w:rPr>
          <w:noProof/>
          <w:sz w:val="22"/>
          <w:szCs w:val="22"/>
        </w:rPr>
        <w:drawing>
          <wp:inline distT="0" distB="0" distL="0" distR="0" wp14:anchorId="2F7BF18B" wp14:editId="40EE3A96">
            <wp:extent cx="5935980" cy="3810000"/>
            <wp:effectExtent l="0" t="0" r="762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A385E" w:rsidRPr="00BA7EF8" w:rsidRDefault="008A385E" w:rsidP="008A385E">
      <w:pPr>
        <w:rPr>
          <w:b/>
          <w:sz w:val="22"/>
          <w:szCs w:val="22"/>
        </w:rPr>
      </w:pPr>
    </w:p>
    <w:p w:rsidR="008A385E" w:rsidRPr="00BA7EF8" w:rsidRDefault="008A385E" w:rsidP="008A385E">
      <w:pPr>
        <w:rPr>
          <w:b/>
          <w:sz w:val="22"/>
          <w:szCs w:val="22"/>
        </w:rPr>
      </w:pPr>
    </w:p>
    <w:p w:rsidR="008A385E" w:rsidRPr="00BA7EF8" w:rsidRDefault="008A385E" w:rsidP="008A385E">
      <w:pPr>
        <w:rPr>
          <w:b/>
          <w:sz w:val="22"/>
          <w:szCs w:val="22"/>
        </w:rPr>
      </w:pPr>
    </w:p>
    <w:p w:rsidR="008A385E" w:rsidRPr="00BA7EF8" w:rsidRDefault="008A385E" w:rsidP="008A385E">
      <w:pPr>
        <w:rPr>
          <w:b/>
          <w:sz w:val="22"/>
          <w:szCs w:val="22"/>
        </w:rPr>
      </w:pPr>
    </w:p>
    <w:p w:rsidR="008A385E" w:rsidRPr="00BA7EF8" w:rsidRDefault="008A385E" w:rsidP="008A385E">
      <w:pPr>
        <w:rPr>
          <w:b/>
          <w:sz w:val="22"/>
          <w:szCs w:val="22"/>
        </w:rPr>
      </w:pPr>
      <w:r w:rsidRPr="00BA7EF8">
        <w:rPr>
          <w:b/>
          <w:sz w:val="22"/>
          <w:szCs w:val="22"/>
        </w:rPr>
        <w:lastRenderedPageBreak/>
        <w:t>Differences in Types of Services Used by Ethnicity</w:t>
      </w:r>
    </w:p>
    <w:tbl>
      <w:tblPr>
        <w:tblStyle w:val="GridTable5Dark-Accent52"/>
        <w:tblW w:w="8021" w:type="dxa"/>
        <w:tblLook w:val="04A0" w:firstRow="1" w:lastRow="0" w:firstColumn="1" w:lastColumn="0" w:noHBand="0" w:noVBand="1"/>
      </w:tblPr>
      <w:tblGrid>
        <w:gridCol w:w="2920"/>
        <w:gridCol w:w="960"/>
        <w:gridCol w:w="960"/>
        <w:gridCol w:w="988"/>
        <w:gridCol w:w="960"/>
        <w:gridCol w:w="1233"/>
      </w:tblGrid>
      <w:tr w:rsidR="008A385E" w:rsidRPr="00BA7EF8" w:rsidTr="008A38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 </w:t>
            </w:r>
          </w:p>
        </w:tc>
        <w:tc>
          <w:tcPr>
            <w:tcW w:w="960" w:type="dxa"/>
            <w:tcBorders>
              <w:right w:val="single" w:sz="4" w:space="0" w:color="auto"/>
            </w:tcBorders>
            <w:noWrap/>
            <w:hideMark/>
          </w:tcPr>
          <w:p w:rsidR="008A385E" w:rsidRPr="00BA7EF8" w:rsidRDefault="008A385E" w:rsidP="008A38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sidRPr="00BA7EF8">
              <w:rPr>
                <w:rFonts w:ascii="Calibri" w:eastAsia="Times New Roman" w:hAnsi="Calibri" w:cs="Times New Roman"/>
                <w:sz w:val="22"/>
                <w:szCs w:val="22"/>
              </w:rPr>
              <w:t>Total Sample</w:t>
            </w:r>
          </w:p>
        </w:tc>
        <w:tc>
          <w:tcPr>
            <w:tcW w:w="960" w:type="dxa"/>
            <w:noWrap/>
            <w:hideMark/>
          </w:tcPr>
          <w:p w:rsidR="008A385E" w:rsidRPr="00BA7EF8" w:rsidRDefault="008A385E" w:rsidP="008A38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sidRPr="00BA7EF8">
              <w:rPr>
                <w:rFonts w:ascii="Calibri" w:eastAsia="Times New Roman" w:hAnsi="Calibri" w:cs="Times New Roman"/>
                <w:sz w:val="22"/>
                <w:szCs w:val="22"/>
              </w:rPr>
              <w:t>Black</w:t>
            </w:r>
          </w:p>
        </w:tc>
        <w:tc>
          <w:tcPr>
            <w:tcW w:w="988" w:type="dxa"/>
            <w:noWrap/>
            <w:hideMark/>
          </w:tcPr>
          <w:p w:rsidR="008A385E" w:rsidRPr="00BA7EF8" w:rsidRDefault="008A385E" w:rsidP="008A38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sidRPr="00BA7EF8">
              <w:rPr>
                <w:rFonts w:ascii="Calibri" w:eastAsia="Times New Roman" w:hAnsi="Calibri" w:cs="Times New Roman"/>
                <w:sz w:val="22"/>
                <w:szCs w:val="22"/>
              </w:rPr>
              <w:t>Hispanic</w:t>
            </w:r>
          </w:p>
        </w:tc>
        <w:tc>
          <w:tcPr>
            <w:tcW w:w="960" w:type="dxa"/>
            <w:noWrap/>
            <w:hideMark/>
          </w:tcPr>
          <w:p w:rsidR="008A385E" w:rsidRPr="00BA7EF8" w:rsidRDefault="008A385E" w:rsidP="008A38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sidRPr="00BA7EF8">
              <w:rPr>
                <w:rFonts w:ascii="Calibri" w:eastAsia="Times New Roman" w:hAnsi="Calibri" w:cs="Times New Roman"/>
                <w:sz w:val="22"/>
                <w:szCs w:val="22"/>
              </w:rPr>
              <w:t>White</w:t>
            </w:r>
          </w:p>
        </w:tc>
        <w:tc>
          <w:tcPr>
            <w:tcW w:w="1233" w:type="dxa"/>
            <w:noWrap/>
            <w:hideMark/>
          </w:tcPr>
          <w:p w:rsidR="008A385E" w:rsidRPr="00BA7EF8" w:rsidRDefault="008A385E" w:rsidP="008A38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sidRPr="00BA7EF8">
              <w:rPr>
                <w:rFonts w:ascii="Calibri" w:eastAsia="Times New Roman" w:hAnsi="Calibri" w:cs="Times New Roman"/>
                <w:sz w:val="22"/>
                <w:szCs w:val="22"/>
              </w:rPr>
              <w:t>Multi-race/Other</w:t>
            </w:r>
          </w:p>
        </w:tc>
      </w:tr>
      <w:tr w:rsidR="008A385E" w:rsidRPr="00BA7EF8" w:rsidTr="008A38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Medical care</w:t>
            </w:r>
          </w:p>
        </w:tc>
        <w:tc>
          <w:tcPr>
            <w:tcW w:w="960" w:type="dxa"/>
            <w:tcBorders>
              <w:right w:val="single" w:sz="4" w:space="0" w:color="auto"/>
            </w:tcBorders>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72%</w:t>
            </w:r>
          </w:p>
        </w:tc>
        <w:tc>
          <w:tcPr>
            <w:tcW w:w="960" w:type="dxa"/>
            <w:shd w:val="clear" w:color="auto" w:fill="F79646" w:themeFill="accent6"/>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60%</w:t>
            </w:r>
          </w:p>
        </w:tc>
        <w:tc>
          <w:tcPr>
            <w:tcW w:w="988"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69%</w:t>
            </w:r>
          </w:p>
        </w:tc>
        <w:tc>
          <w:tcPr>
            <w:tcW w:w="960" w:type="dxa"/>
            <w:shd w:val="clear" w:color="auto" w:fill="9BBB59" w:themeFill="accent3"/>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86%</w:t>
            </w:r>
          </w:p>
        </w:tc>
        <w:tc>
          <w:tcPr>
            <w:tcW w:w="1233"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76%</w:t>
            </w:r>
          </w:p>
        </w:tc>
      </w:tr>
      <w:tr w:rsidR="008A385E" w:rsidRPr="00BA7EF8" w:rsidTr="008A385E">
        <w:trPr>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Help paying for medicines</w:t>
            </w:r>
          </w:p>
        </w:tc>
        <w:tc>
          <w:tcPr>
            <w:tcW w:w="960" w:type="dxa"/>
            <w:tcBorders>
              <w:right w:val="single" w:sz="4" w:space="0" w:color="auto"/>
            </w:tcBorders>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59%</w:t>
            </w:r>
          </w:p>
        </w:tc>
        <w:tc>
          <w:tcPr>
            <w:tcW w:w="960" w:type="dxa"/>
            <w:shd w:val="clear" w:color="auto" w:fill="F79646" w:themeFill="accent6"/>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47%</w:t>
            </w:r>
          </w:p>
        </w:tc>
        <w:tc>
          <w:tcPr>
            <w:tcW w:w="988"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71%</w:t>
            </w:r>
          </w:p>
        </w:tc>
        <w:tc>
          <w:tcPr>
            <w:tcW w:w="960"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67%</w:t>
            </w:r>
          </w:p>
        </w:tc>
        <w:tc>
          <w:tcPr>
            <w:tcW w:w="1233"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72%</w:t>
            </w:r>
          </w:p>
        </w:tc>
      </w:tr>
      <w:tr w:rsidR="008A385E" w:rsidRPr="00BA7EF8" w:rsidTr="008A38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Help understanding medicines and how to take them</w:t>
            </w:r>
          </w:p>
        </w:tc>
        <w:tc>
          <w:tcPr>
            <w:tcW w:w="960" w:type="dxa"/>
            <w:tcBorders>
              <w:right w:val="single" w:sz="4" w:space="0" w:color="auto"/>
            </w:tcBorders>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21%</w:t>
            </w:r>
          </w:p>
        </w:tc>
        <w:tc>
          <w:tcPr>
            <w:tcW w:w="960"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26%</w:t>
            </w:r>
          </w:p>
        </w:tc>
        <w:tc>
          <w:tcPr>
            <w:tcW w:w="988"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20%</w:t>
            </w:r>
          </w:p>
        </w:tc>
        <w:tc>
          <w:tcPr>
            <w:tcW w:w="960"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13%</w:t>
            </w:r>
          </w:p>
        </w:tc>
        <w:tc>
          <w:tcPr>
            <w:tcW w:w="1233" w:type="dxa"/>
            <w:shd w:val="clear" w:color="auto" w:fill="9BBB59" w:themeFill="accent3"/>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43%</w:t>
            </w:r>
          </w:p>
        </w:tc>
      </w:tr>
      <w:tr w:rsidR="008A385E" w:rsidRPr="00BA7EF8" w:rsidTr="008A385E">
        <w:trPr>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Mental health care</w:t>
            </w:r>
          </w:p>
        </w:tc>
        <w:tc>
          <w:tcPr>
            <w:tcW w:w="960" w:type="dxa"/>
            <w:tcBorders>
              <w:right w:val="single" w:sz="4" w:space="0" w:color="auto"/>
            </w:tcBorders>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24%</w:t>
            </w:r>
          </w:p>
        </w:tc>
        <w:tc>
          <w:tcPr>
            <w:tcW w:w="960"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30%</w:t>
            </w:r>
          </w:p>
        </w:tc>
        <w:tc>
          <w:tcPr>
            <w:tcW w:w="988" w:type="dxa"/>
            <w:shd w:val="clear" w:color="auto" w:fill="F79646" w:themeFill="accent6"/>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6%</w:t>
            </w:r>
          </w:p>
        </w:tc>
        <w:tc>
          <w:tcPr>
            <w:tcW w:w="960"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33%</w:t>
            </w:r>
          </w:p>
        </w:tc>
        <w:tc>
          <w:tcPr>
            <w:tcW w:w="1233"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36%</w:t>
            </w:r>
          </w:p>
        </w:tc>
      </w:tr>
      <w:tr w:rsidR="008A385E" w:rsidRPr="00BA7EF8" w:rsidTr="008A38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Help filling out forms</w:t>
            </w:r>
          </w:p>
        </w:tc>
        <w:tc>
          <w:tcPr>
            <w:tcW w:w="960" w:type="dxa"/>
            <w:tcBorders>
              <w:right w:val="single" w:sz="4" w:space="0" w:color="auto"/>
            </w:tcBorders>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7%</w:t>
            </w:r>
          </w:p>
        </w:tc>
        <w:tc>
          <w:tcPr>
            <w:tcW w:w="960"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4%</w:t>
            </w:r>
          </w:p>
        </w:tc>
        <w:tc>
          <w:tcPr>
            <w:tcW w:w="988" w:type="dxa"/>
            <w:shd w:val="clear" w:color="auto" w:fill="9BBB59" w:themeFill="accent3"/>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17%</w:t>
            </w:r>
          </w:p>
        </w:tc>
        <w:tc>
          <w:tcPr>
            <w:tcW w:w="960"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4%</w:t>
            </w:r>
          </w:p>
        </w:tc>
        <w:tc>
          <w:tcPr>
            <w:tcW w:w="1233"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8%</w:t>
            </w:r>
          </w:p>
        </w:tc>
      </w:tr>
      <w:tr w:rsidR="008A385E" w:rsidRPr="00BA7EF8" w:rsidTr="008A385E">
        <w:trPr>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Specialty doctors</w:t>
            </w:r>
          </w:p>
        </w:tc>
        <w:tc>
          <w:tcPr>
            <w:tcW w:w="960" w:type="dxa"/>
            <w:tcBorders>
              <w:right w:val="single" w:sz="4" w:space="0" w:color="auto"/>
            </w:tcBorders>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21%</w:t>
            </w:r>
          </w:p>
        </w:tc>
        <w:tc>
          <w:tcPr>
            <w:tcW w:w="960"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26%</w:t>
            </w:r>
          </w:p>
        </w:tc>
        <w:tc>
          <w:tcPr>
            <w:tcW w:w="988"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11%</w:t>
            </w:r>
          </w:p>
        </w:tc>
        <w:tc>
          <w:tcPr>
            <w:tcW w:w="960"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23%</w:t>
            </w:r>
          </w:p>
        </w:tc>
        <w:tc>
          <w:tcPr>
            <w:tcW w:w="1233" w:type="dxa"/>
            <w:shd w:val="clear" w:color="auto" w:fill="9BBB59" w:themeFill="accent3"/>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44%</w:t>
            </w:r>
          </w:p>
        </w:tc>
      </w:tr>
      <w:tr w:rsidR="008A385E" w:rsidRPr="00BA7EF8" w:rsidTr="008A38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Referrals to get other health care or services</w:t>
            </w:r>
          </w:p>
        </w:tc>
        <w:tc>
          <w:tcPr>
            <w:tcW w:w="960" w:type="dxa"/>
            <w:tcBorders>
              <w:right w:val="single" w:sz="4" w:space="0" w:color="auto"/>
            </w:tcBorders>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24%</w:t>
            </w:r>
          </w:p>
        </w:tc>
        <w:tc>
          <w:tcPr>
            <w:tcW w:w="960"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26%</w:t>
            </w:r>
          </w:p>
        </w:tc>
        <w:tc>
          <w:tcPr>
            <w:tcW w:w="988"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23%</w:t>
            </w:r>
          </w:p>
        </w:tc>
        <w:tc>
          <w:tcPr>
            <w:tcW w:w="960" w:type="dxa"/>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17%</w:t>
            </w:r>
          </w:p>
        </w:tc>
        <w:tc>
          <w:tcPr>
            <w:tcW w:w="1233" w:type="dxa"/>
            <w:shd w:val="clear" w:color="auto" w:fill="9BBB59" w:themeFill="accent3"/>
            <w:noWrap/>
            <w:hideMark/>
          </w:tcPr>
          <w:p w:rsidR="008A385E" w:rsidRPr="00BA7EF8" w:rsidRDefault="008A385E" w:rsidP="008A385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52%</w:t>
            </w:r>
          </w:p>
        </w:tc>
      </w:tr>
      <w:tr w:rsidR="008A385E" w:rsidRPr="00BA7EF8" w:rsidTr="008A385E">
        <w:trPr>
          <w:trHeight w:val="315"/>
        </w:trPr>
        <w:tc>
          <w:tcPr>
            <w:cnfStyle w:val="001000000000" w:firstRow="0" w:lastRow="0" w:firstColumn="1" w:lastColumn="0" w:oddVBand="0" w:evenVBand="0" w:oddHBand="0" w:evenHBand="0" w:firstRowFirstColumn="0" w:firstRowLastColumn="0" w:lastRowFirstColumn="0" w:lastRowLastColumn="0"/>
            <w:tcW w:w="2920" w:type="dxa"/>
            <w:noWrap/>
            <w:hideMark/>
          </w:tcPr>
          <w:p w:rsidR="008A385E" w:rsidRPr="00BA7EF8" w:rsidRDefault="008A385E" w:rsidP="008A385E">
            <w:pPr>
              <w:rPr>
                <w:rFonts w:ascii="Calibri" w:eastAsia="Times New Roman" w:hAnsi="Calibri" w:cs="Times New Roman"/>
                <w:color w:val="FFFFFF"/>
                <w:sz w:val="22"/>
                <w:szCs w:val="22"/>
              </w:rPr>
            </w:pPr>
            <w:r w:rsidRPr="00BA7EF8">
              <w:rPr>
                <w:rFonts w:ascii="Calibri" w:eastAsia="Times New Roman" w:hAnsi="Calibri" w:cs="Times New Roman"/>
                <w:sz w:val="22"/>
                <w:szCs w:val="22"/>
              </w:rPr>
              <w:t>Case management</w:t>
            </w:r>
          </w:p>
        </w:tc>
        <w:tc>
          <w:tcPr>
            <w:tcW w:w="960" w:type="dxa"/>
            <w:tcBorders>
              <w:right w:val="single" w:sz="4" w:space="0" w:color="auto"/>
            </w:tcBorders>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22%</w:t>
            </w:r>
          </w:p>
        </w:tc>
        <w:tc>
          <w:tcPr>
            <w:tcW w:w="960"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26%</w:t>
            </w:r>
          </w:p>
        </w:tc>
        <w:tc>
          <w:tcPr>
            <w:tcW w:w="988" w:type="dxa"/>
            <w:shd w:val="clear" w:color="auto" w:fill="F79646" w:themeFill="accent6"/>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6%</w:t>
            </w:r>
          </w:p>
        </w:tc>
        <w:tc>
          <w:tcPr>
            <w:tcW w:w="960"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28%</w:t>
            </w:r>
          </w:p>
        </w:tc>
        <w:tc>
          <w:tcPr>
            <w:tcW w:w="1233" w:type="dxa"/>
            <w:noWrap/>
            <w:hideMark/>
          </w:tcPr>
          <w:p w:rsidR="008A385E" w:rsidRPr="00BA7EF8" w:rsidRDefault="008A385E" w:rsidP="008A385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rPr>
            </w:pPr>
            <w:r w:rsidRPr="00BA7EF8">
              <w:rPr>
                <w:rFonts w:ascii="Calibri" w:eastAsia="Times New Roman" w:hAnsi="Calibri" w:cs="Times New Roman"/>
                <w:color w:val="000000"/>
                <w:sz w:val="22"/>
                <w:szCs w:val="22"/>
              </w:rPr>
              <w:t>44%</w:t>
            </w:r>
          </w:p>
        </w:tc>
      </w:tr>
    </w:tbl>
    <w:p w:rsidR="008A385E" w:rsidRPr="00BA7EF8" w:rsidRDefault="008A385E" w:rsidP="008A385E">
      <w:pPr>
        <w:spacing w:after="0"/>
        <w:rPr>
          <w:sz w:val="22"/>
          <w:szCs w:val="22"/>
        </w:rPr>
      </w:pPr>
      <w:r w:rsidRPr="008A385E">
        <w:rPr>
          <w:sz w:val="22"/>
          <w:szCs w:val="22"/>
          <w:shd w:val="clear" w:color="auto" w:fill="F79646" w:themeFill="accent6"/>
        </w:rPr>
        <w:t>Orange</w:t>
      </w:r>
      <w:r w:rsidRPr="00BA7EF8">
        <w:rPr>
          <w:sz w:val="22"/>
          <w:szCs w:val="22"/>
        </w:rPr>
        <w:t xml:space="preserve"> highlighted cells indicates ethnicity had lower usage</w:t>
      </w:r>
    </w:p>
    <w:p w:rsidR="008A385E" w:rsidRPr="00BA7EF8" w:rsidRDefault="008A385E" w:rsidP="008A385E">
      <w:pPr>
        <w:spacing w:after="0"/>
        <w:rPr>
          <w:sz w:val="22"/>
          <w:szCs w:val="22"/>
        </w:rPr>
      </w:pPr>
      <w:r w:rsidRPr="008A385E">
        <w:rPr>
          <w:sz w:val="22"/>
          <w:szCs w:val="22"/>
          <w:shd w:val="clear" w:color="auto" w:fill="9BBB59" w:themeFill="accent3"/>
        </w:rPr>
        <w:t>Green</w:t>
      </w:r>
      <w:r w:rsidRPr="00BA7EF8">
        <w:rPr>
          <w:sz w:val="22"/>
          <w:szCs w:val="22"/>
        </w:rPr>
        <w:t xml:space="preserve"> highlighted cells indicate ethnicity had higher usage</w:t>
      </w:r>
    </w:p>
    <w:p w:rsidR="008A385E" w:rsidRPr="00BA7EF8" w:rsidRDefault="008A385E" w:rsidP="00E73293">
      <w:pPr>
        <w:pStyle w:val="ListParagraph"/>
        <w:numPr>
          <w:ilvl w:val="0"/>
          <w:numId w:val="17"/>
        </w:numPr>
        <w:spacing w:before="120" w:after="160" w:line="259" w:lineRule="auto"/>
        <w:rPr>
          <w:sz w:val="22"/>
          <w:szCs w:val="22"/>
        </w:rPr>
      </w:pPr>
      <w:r w:rsidRPr="00BA7EF8">
        <w:rPr>
          <w:sz w:val="22"/>
          <w:szCs w:val="22"/>
        </w:rPr>
        <w:t>Fewer black clients than white clients were using medical care</w:t>
      </w:r>
    </w:p>
    <w:p w:rsidR="008A385E" w:rsidRPr="00BA7EF8" w:rsidRDefault="008A385E" w:rsidP="00E73293">
      <w:pPr>
        <w:pStyle w:val="ListParagraph"/>
        <w:numPr>
          <w:ilvl w:val="0"/>
          <w:numId w:val="17"/>
        </w:numPr>
        <w:spacing w:before="0" w:after="160" w:line="259" w:lineRule="auto"/>
        <w:rPr>
          <w:sz w:val="22"/>
          <w:szCs w:val="22"/>
        </w:rPr>
      </w:pPr>
      <w:r w:rsidRPr="00BA7EF8">
        <w:rPr>
          <w:sz w:val="22"/>
          <w:szCs w:val="22"/>
        </w:rPr>
        <w:t>Fewer black clients than were using help paying for medicines</w:t>
      </w:r>
    </w:p>
    <w:p w:rsidR="008A385E" w:rsidRPr="00BA7EF8" w:rsidRDefault="008A385E" w:rsidP="00E73293">
      <w:pPr>
        <w:pStyle w:val="ListParagraph"/>
        <w:numPr>
          <w:ilvl w:val="0"/>
          <w:numId w:val="17"/>
        </w:numPr>
        <w:spacing w:before="0" w:after="160" w:line="259" w:lineRule="auto"/>
        <w:rPr>
          <w:sz w:val="22"/>
          <w:szCs w:val="22"/>
        </w:rPr>
      </w:pPr>
      <w:r w:rsidRPr="00BA7EF8">
        <w:rPr>
          <w:sz w:val="22"/>
          <w:szCs w:val="22"/>
        </w:rPr>
        <w:t>More multi-racial/other ethnicity clients were using help understanding medicines and how to take them.</w:t>
      </w:r>
    </w:p>
    <w:p w:rsidR="008A385E" w:rsidRPr="00BA7EF8" w:rsidRDefault="008A385E" w:rsidP="00E73293">
      <w:pPr>
        <w:pStyle w:val="ListParagraph"/>
        <w:numPr>
          <w:ilvl w:val="0"/>
          <w:numId w:val="17"/>
        </w:numPr>
        <w:spacing w:before="0" w:after="160" w:line="259" w:lineRule="auto"/>
        <w:rPr>
          <w:sz w:val="22"/>
          <w:szCs w:val="22"/>
        </w:rPr>
      </w:pPr>
      <w:r w:rsidRPr="00BA7EF8">
        <w:rPr>
          <w:sz w:val="22"/>
          <w:szCs w:val="22"/>
        </w:rPr>
        <w:t>Fewer Hispanic clients were using mental health care</w:t>
      </w:r>
    </w:p>
    <w:p w:rsidR="008A385E" w:rsidRPr="00BA7EF8" w:rsidRDefault="008A385E" w:rsidP="00E73293">
      <w:pPr>
        <w:pStyle w:val="ListParagraph"/>
        <w:numPr>
          <w:ilvl w:val="0"/>
          <w:numId w:val="17"/>
        </w:numPr>
        <w:spacing w:before="0" w:after="160" w:line="259" w:lineRule="auto"/>
        <w:rPr>
          <w:sz w:val="22"/>
          <w:szCs w:val="22"/>
        </w:rPr>
      </w:pPr>
      <w:r w:rsidRPr="00BA7EF8">
        <w:rPr>
          <w:sz w:val="22"/>
          <w:szCs w:val="22"/>
        </w:rPr>
        <w:t>More Hispanic clients were using help filling out forms</w:t>
      </w:r>
    </w:p>
    <w:p w:rsidR="008A385E" w:rsidRPr="00BA7EF8" w:rsidRDefault="008A385E" w:rsidP="00E73293">
      <w:pPr>
        <w:pStyle w:val="ListParagraph"/>
        <w:numPr>
          <w:ilvl w:val="0"/>
          <w:numId w:val="17"/>
        </w:numPr>
        <w:spacing w:before="0" w:after="160" w:line="259" w:lineRule="auto"/>
        <w:rPr>
          <w:sz w:val="22"/>
          <w:szCs w:val="22"/>
        </w:rPr>
      </w:pPr>
      <w:r w:rsidRPr="00BA7EF8">
        <w:rPr>
          <w:sz w:val="22"/>
          <w:szCs w:val="22"/>
        </w:rPr>
        <w:t>More multi-racial/other ethnicity clients were using specialty doctors</w:t>
      </w:r>
    </w:p>
    <w:p w:rsidR="008A385E" w:rsidRPr="00BA7EF8" w:rsidRDefault="008A385E" w:rsidP="00E73293">
      <w:pPr>
        <w:pStyle w:val="ListParagraph"/>
        <w:numPr>
          <w:ilvl w:val="0"/>
          <w:numId w:val="17"/>
        </w:numPr>
        <w:spacing w:before="0" w:after="160" w:line="259" w:lineRule="auto"/>
        <w:rPr>
          <w:sz w:val="22"/>
          <w:szCs w:val="22"/>
        </w:rPr>
      </w:pPr>
      <w:r w:rsidRPr="00BA7EF8">
        <w:rPr>
          <w:sz w:val="22"/>
          <w:szCs w:val="22"/>
        </w:rPr>
        <w:t>More multi-racial/other ethnicity clients were using referrals to get other health care or services</w:t>
      </w:r>
    </w:p>
    <w:p w:rsidR="008A385E" w:rsidRPr="00BA7EF8" w:rsidRDefault="008A385E" w:rsidP="00E73293">
      <w:pPr>
        <w:pStyle w:val="ListParagraph"/>
        <w:numPr>
          <w:ilvl w:val="0"/>
          <w:numId w:val="17"/>
        </w:numPr>
        <w:spacing w:before="0" w:after="160" w:line="259" w:lineRule="auto"/>
        <w:rPr>
          <w:sz w:val="22"/>
          <w:szCs w:val="22"/>
        </w:rPr>
      </w:pPr>
      <w:r w:rsidRPr="00BA7EF8">
        <w:rPr>
          <w:sz w:val="22"/>
          <w:szCs w:val="22"/>
        </w:rPr>
        <w:t>Fewer Hispanic clients were using case management services</w:t>
      </w:r>
    </w:p>
    <w:p w:rsidR="008A385E" w:rsidRPr="00BA7EF8" w:rsidRDefault="008A385E" w:rsidP="008A385E">
      <w:pPr>
        <w:rPr>
          <w:b/>
          <w:sz w:val="22"/>
          <w:szCs w:val="22"/>
        </w:rPr>
      </w:pPr>
      <w:r w:rsidRPr="00BA7EF8">
        <w:rPr>
          <w:b/>
          <w:sz w:val="22"/>
          <w:szCs w:val="22"/>
        </w:rPr>
        <w:t xml:space="preserve">Most Needed Services </w:t>
      </w:r>
    </w:p>
    <w:p w:rsidR="008A385E" w:rsidRPr="00BA7EF8" w:rsidRDefault="008A385E" w:rsidP="008A385E">
      <w:pPr>
        <w:jc w:val="both"/>
        <w:rPr>
          <w:sz w:val="22"/>
          <w:szCs w:val="22"/>
        </w:rPr>
      </w:pPr>
      <w:r w:rsidRPr="00BA7EF8">
        <w:rPr>
          <w:sz w:val="22"/>
          <w:szCs w:val="22"/>
        </w:rPr>
        <w:t>The most needed services that clients were not receiving included vision care, dental care, financial help and transportation. A higher percentage of clients in Washoe County reported needing medical care than those in Clark County. There were no differences in types of services clients indicated needing by ethnicity.</w:t>
      </w:r>
    </w:p>
    <w:p w:rsidR="008A385E" w:rsidRPr="00BA7EF8" w:rsidRDefault="008A385E" w:rsidP="008A385E">
      <w:pPr>
        <w:jc w:val="both"/>
        <w:rPr>
          <w:sz w:val="22"/>
          <w:szCs w:val="22"/>
        </w:rPr>
      </w:pPr>
      <w:r w:rsidRPr="00BA7EF8">
        <w:rPr>
          <w:sz w:val="22"/>
          <w:szCs w:val="22"/>
        </w:rPr>
        <w:t>The mean number of services clients reporting needing but not receiving was two with a range from 0 to 16 services needed. Male respondents reported needing more services (</w:t>
      </w:r>
      <w:r w:rsidRPr="00BA7EF8">
        <w:rPr>
          <w:i/>
          <w:sz w:val="22"/>
          <w:szCs w:val="22"/>
        </w:rPr>
        <w:t>M</w:t>
      </w:r>
      <w:r w:rsidRPr="00BA7EF8">
        <w:rPr>
          <w:sz w:val="22"/>
          <w:szCs w:val="22"/>
        </w:rPr>
        <w:t>=2.1) than female respondents (</w:t>
      </w:r>
      <w:r w:rsidRPr="00BA7EF8">
        <w:rPr>
          <w:i/>
          <w:sz w:val="22"/>
          <w:szCs w:val="22"/>
        </w:rPr>
        <w:t>M</w:t>
      </w:r>
      <w:r w:rsidRPr="00BA7EF8">
        <w:rPr>
          <w:sz w:val="22"/>
          <w:szCs w:val="22"/>
        </w:rPr>
        <w:t xml:space="preserve">=1.2). The mean number of services used rose among clients along with age; however, younger clients reported lacking slightly more services than older clients. Respondents in Clark County reported the highest usage of services, while Washoe County respondents reported slightly higher needs than Clark County. Clients who had been diagnosed in the past five years had the highest number of needed services, while clients who had been diagnosed between 6 and 20 years had the highest usage of services. Mean usage of services and number of needed services was similar across ethnicities. </w:t>
      </w:r>
    </w:p>
    <w:p w:rsidR="008A385E" w:rsidRPr="00BA7EF8" w:rsidRDefault="008A385E" w:rsidP="008A385E">
      <w:pPr>
        <w:rPr>
          <w:sz w:val="22"/>
          <w:szCs w:val="22"/>
        </w:rPr>
      </w:pPr>
      <w:r w:rsidRPr="00BA7EF8">
        <w:rPr>
          <w:noProof/>
          <w:sz w:val="22"/>
          <w:szCs w:val="22"/>
        </w:rPr>
        <w:lastRenderedPageBreak/>
        <w:drawing>
          <wp:inline distT="0" distB="0" distL="0" distR="0" wp14:anchorId="0E4A6536" wp14:editId="57197E7D">
            <wp:extent cx="5935980" cy="2486025"/>
            <wp:effectExtent l="0" t="0" r="762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A385E" w:rsidRPr="00BA7EF8" w:rsidRDefault="008A385E" w:rsidP="008A385E">
      <w:pPr>
        <w:rPr>
          <w:sz w:val="22"/>
          <w:szCs w:val="22"/>
        </w:rPr>
      </w:pPr>
    </w:p>
    <w:p w:rsidR="008A385E" w:rsidRPr="00BA7EF8" w:rsidRDefault="008A385E" w:rsidP="008A385E">
      <w:pPr>
        <w:rPr>
          <w:sz w:val="22"/>
          <w:szCs w:val="22"/>
        </w:rPr>
      </w:pPr>
      <w:r w:rsidRPr="00BA7EF8">
        <w:rPr>
          <w:noProof/>
          <w:sz w:val="22"/>
          <w:szCs w:val="22"/>
        </w:rPr>
        <w:drawing>
          <wp:inline distT="0" distB="0" distL="0" distR="0" wp14:anchorId="08167242" wp14:editId="6029F038">
            <wp:extent cx="5939624" cy="1812898"/>
            <wp:effectExtent l="0" t="0" r="444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A385E" w:rsidRPr="00BA7EF8" w:rsidRDefault="008A385E" w:rsidP="008A385E">
      <w:pPr>
        <w:rPr>
          <w:sz w:val="22"/>
          <w:szCs w:val="22"/>
        </w:rPr>
      </w:pPr>
      <w:r w:rsidRPr="00BA7EF8">
        <w:rPr>
          <w:noProof/>
          <w:sz w:val="22"/>
          <w:szCs w:val="22"/>
        </w:rPr>
        <w:drawing>
          <wp:inline distT="0" distB="0" distL="0" distR="0" wp14:anchorId="43F16E8F" wp14:editId="202B321A">
            <wp:extent cx="5939624" cy="2274073"/>
            <wp:effectExtent l="0" t="0" r="4445"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A385E" w:rsidRPr="00BA7EF8" w:rsidRDefault="008A385E" w:rsidP="008A385E">
      <w:pPr>
        <w:rPr>
          <w:sz w:val="22"/>
          <w:szCs w:val="22"/>
        </w:rPr>
      </w:pPr>
      <w:r w:rsidRPr="00BA7EF8">
        <w:rPr>
          <w:noProof/>
          <w:sz w:val="22"/>
          <w:szCs w:val="22"/>
        </w:rPr>
        <w:lastRenderedPageBreak/>
        <w:drawing>
          <wp:inline distT="0" distB="0" distL="0" distR="0" wp14:anchorId="342DD43B" wp14:editId="5D33AB88">
            <wp:extent cx="5939624" cy="1971923"/>
            <wp:effectExtent l="0" t="0" r="444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A385E" w:rsidRPr="00BA7EF8" w:rsidRDefault="008A385E" w:rsidP="008A385E">
      <w:pPr>
        <w:rPr>
          <w:sz w:val="22"/>
          <w:szCs w:val="22"/>
        </w:rPr>
      </w:pPr>
      <w:r w:rsidRPr="00BA7EF8">
        <w:rPr>
          <w:noProof/>
          <w:sz w:val="22"/>
          <w:szCs w:val="22"/>
        </w:rPr>
        <w:drawing>
          <wp:inline distT="0" distB="0" distL="0" distR="0" wp14:anchorId="224860EB" wp14:editId="4DBAC90C">
            <wp:extent cx="5939624" cy="1884459"/>
            <wp:effectExtent l="0" t="0" r="4445" b="190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A385E" w:rsidRPr="00BA7EF8" w:rsidRDefault="008A385E" w:rsidP="008A385E">
      <w:pPr>
        <w:jc w:val="both"/>
        <w:rPr>
          <w:sz w:val="22"/>
          <w:szCs w:val="22"/>
        </w:rPr>
      </w:pPr>
      <w:r w:rsidRPr="00BA7EF8">
        <w:rPr>
          <w:sz w:val="22"/>
          <w:szCs w:val="22"/>
        </w:rPr>
        <w:t>The most frequently mentioned reasons for clients not receiving services they need included not knowing where to go, services not covered by insurance, services cost too much, and not qualifying for services. There were no differences in reasons by county or ethnicity.</w:t>
      </w:r>
    </w:p>
    <w:p w:rsidR="008A385E" w:rsidRPr="00BA7EF8" w:rsidRDefault="008A385E" w:rsidP="008A385E">
      <w:pPr>
        <w:spacing w:after="0"/>
        <w:rPr>
          <w:b/>
          <w:color w:val="943634" w:themeColor="accent2" w:themeShade="BF"/>
          <w:sz w:val="22"/>
          <w:szCs w:val="22"/>
        </w:rPr>
      </w:pPr>
      <w:r w:rsidRPr="00BA7EF8">
        <w:rPr>
          <w:noProof/>
          <w:sz w:val="22"/>
          <w:szCs w:val="22"/>
        </w:rPr>
        <w:drawing>
          <wp:inline distT="0" distB="0" distL="0" distR="0" wp14:anchorId="11BFBB9C" wp14:editId="038D18E1">
            <wp:extent cx="5935980" cy="2971800"/>
            <wp:effectExtent l="0" t="0" r="762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A385E" w:rsidRPr="00BA7EF8" w:rsidRDefault="008A385E" w:rsidP="008A385E">
      <w:pPr>
        <w:spacing w:after="0"/>
        <w:jc w:val="both"/>
        <w:rPr>
          <w:sz w:val="22"/>
          <w:szCs w:val="22"/>
        </w:rPr>
      </w:pPr>
      <w:r w:rsidRPr="00BA7EF8">
        <w:rPr>
          <w:sz w:val="22"/>
          <w:szCs w:val="22"/>
        </w:rPr>
        <w:lastRenderedPageBreak/>
        <w:t>The majority of clients (67%) had not stopped taking their HIV medicines in the last two years for any reason. Of the 30% who had stopped their HIV medicines, the most frequently mentioned reasons for stopping included being on a break from taking HIV medicines (decided by themselves) (24%), insurance stopped covering it (20%), and lost insurance (18%). There were no differences in reasons by county or ethnicity.</w:t>
      </w:r>
    </w:p>
    <w:p w:rsidR="008A385E" w:rsidRPr="00BA7EF8" w:rsidRDefault="008A385E" w:rsidP="008A385E">
      <w:pPr>
        <w:spacing w:after="0"/>
        <w:rPr>
          <w:b/>
          <w:color w:val="943634" w:themeColor="accent2" w:themeShade="BF"/>
          <w:sz w:val="22"/>
          <w:szCs w:val="22"/>
        </w:rPr>
      </w:pPr>
      <w:r w:rsidRPr="00BA7EF8">
        <w:rPr>
          <w:noProof/>
          <w:sz w:val="22"/>
          <w:szCs w:val="22"/>
        </w:rPr>
        <w:drawing>
          <wp:inline distT="0" distB="0" distL="0" distR="0" wp14:anchorId="570034F9" wp14:editId="3DFD0801">
            <wp:extent cx="5939624" cy="1781092"/>
            <wp:effectExtent l="0" t="0" r="4445"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A385E" w:rsidRPr="00BA7EF8" w:rsidRDefault="008A385E" w:rsidP="008A385E">
      <w:pPr>
        <w:spacing w:after="0"/>
        <w:jc w:val="both"/>
        <w:rPr>
          <w:sz w:val="22"/>
          <w:szCs w:val="22"/>
        </w:rPr>
      </w:pPr>
      <w:r w:rsidRPr="00BA7EF8">
        <w:rPr>
          <w:sz w:val="22"/>
          <w:szCs w:val="22"/>
        </w:rPr>
        <w:t>Respondents were asked what they did to prevent their sexual partners from contracting HIV. The most frequently mentioned preventive measures were using condoms (60%0 and taking HIV medicines regularly (58%). More than one quarter of respondents (27%) reported not having any sexual partners. Compared to black, white, and Hispanic clients, a higher percentage of multi-racial/other ethnicities reported not having sexual partners.</w:t>
      </w:r>
    </w:p>
    <w:p w:rsidR="008A385E" w:rsidRPr="00BA7EF8" w:rsidRDefault="008A385E" w:rsidP="008A385E">
      <w:pPr>
        <w:spacing w:after="0"/>
        <w:rPr>
          <w:b/>
          <w:color w:val="943634" w:themeColor="accent2" w:themeShade="BF"/>
          <w:sz w:val="22"/>
          <w:szCs w:val="22"/>
        </w:rPr>
      </w:pPr>
      <w:r w:rsidRPr="00BA7EF8">
        <w:rPr>
          <w:noProof/>
          <w:sz w:val="22"/>
          <w:szCs w:val="22"/>
        </w:rPr>
        <w:drawing>
          <wp:inline distT="0" distB="0" distL="0" distR="0" wp14:anchorId="2F28D625" wp14:editId="4CAC23BB">
            <wp:extent cx="5935980" cy="2270760"/>
            <wp:effectExtent l="0" t="0" r="762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A385E" w:rsidRPr="00BA7EF8" w:rsidRDefault="008A385E" w:rsidP="008A385E">
      <w:pPr>
        <w:spacing w:after="0"/>
        <w:rPr>
          <w:b/>
          <w:sz w:val="22"/>
          <w:szCs w:val="22"/>
        </w:rPr>
      </w:pPr>
    </w:p>
    <w:p w:rsidR="008A385E" w:rsidRPr="00BA7EF8" w:rsidRDefault="008A385E" w:rsidP="008A385E">
      <w:pPr>
        <w:spacing w:after="0"/>
        <w:rPr>
          <w:b/>
          <w:sz w:val="22"/>
          <w:szCs w:val="22"/>
        </w:rPr>
      </w:pPr>
    </w:p>
    <w:p w:rsidR="008A385E" w:rsidRPr="00BA7EF8" w:rsidRDefault="008A385E" w:rsidP="008A385E">
      <w:pPr>
        <w:spacing w:after="0"/>
        <w:rPr>
          <w:b/>
          <w:sz w:val="22"/>
          <w:szCs w:val="22"/>
        </w:rPr>
      </w:pPr>
    </w:p>
    <w:p w:rsidR="008A385E" w:rsidRPr="00BA7EF8" w:rsidRDefault="008A385E" w:rsidP="008A385E">
      <w:pPr>
        <w:spacing w:after="0"/>
        <w:rPr>
          <w:b/>
          <w:sz w:val="22"/>
          <w:szCs w:val="22"/>
        </w:rPr>
      </w:pPr>
    </w:p>
    <w:p w:rsidR="008A385E" w:rsidRPr="00BA7EF8" w:rsidRDefault="008A385E" w:rsidP="008A385E">
      <w:pPr>
        <w:spacing w:after="0"/>
        <w:rPr>
          <w:b/>
          <w:sz w:val="22"/>
          <w:szCs w:val="22"/>
        </w:rPr>
      </w:pPr>
      <w:r w:rsidRPr="00BA7EF8">
        <w:rPr>
          <w:b/>
          <w:sz w:val="22"/>
          <w:szCs w:val="22"/>
        </w:rPr>
        <w:lastRenderedPageBreak/>
        <w:t>Knowing HIV+ People not in care and not accessing HIV services</w:t>
      </w:r>
    </w:p>
    <w:p w:rsidR="008A385E" w:rsidRPr="00BA7EF8" w:rsidRDefault="008A385E" w:rsidP="008A385E">
      <w:pPr>
        <w:spacing w:after="0"/>
        <w:rPr>
          <w:sz w:val="22"/>
          <w:szCs w:val="22"/>
        </w:rPr>
      </w:pPr>
      <w:r w:rsidRPr="00BA7EF8">
        <w:rPr>
          <w:noProof/>
          <w:sz w:val="22"/>
          <w:szCs w:val="22"/>
        </w:rPr>
        <w:drawing>
          <wp:inline distT="0" distB="0" distL="0" distR="0" wp14:anchorId="02E3920E" wp14:editId="6F66E3BF">
            <wp:extent cx="5939624" cy="1908314"/>
            <wp:effectExtent l="0" t="0" r="4445" b="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A385E" w:rsidRPr="00BA7EF8" w:rsidRDefault="008A385E" w:rsidP="008A385E">
      <w:pPr>
        <w:spacing w:after="0"/>
        <w:jc w:val="both"/>
        <w:rPr>
          <w:sz w:val="22"/>
          <w:szCs w:val="22"/>
        </w:rPr>
      </w:pPr>
      <w:r w:rsidRPr="00BA7EF8">
        <w:rPr>
          <w:sz w:val="22"/>
          <w:szCs w:val="22"/>
        </w:rPr>
        <w:t xml:space="preserve">Respondents were asked to estimate how many people they knew were HIV positive and not using any HIV services. While the most frequent response was “none” (70%), 15% reporting knowing from 1 to 10 people and 8% reported knowing more than 10 people. The most frequently mentioned reasons why some people were not in care included not knowing where to get resources or what resources were available to them; active substance abuse problems; fear/stigma associated with HIV; and difficulty accessing resources. </w:t>
      </w:r>
    </w:p>
    <w:p w:rsidR="008A385E" w:rsidRPr="00BA7EF8" w:rsidRDefault="008A385E" w:rsidP="008A385E">
      <w:pPr>
        <w:spacing w:after="0"/>
        <w:rPr>
          <w:rFonts w:cs="Arial"/>
          <w:b/>
          <w:bCs/>
          <w:color w:val="000000"/>
          <w:sz w:val="22"/>
          <w:szCs w:val="22"/>
        </w:rPr>
      </w:pPr>
      <w:r w:rsidRPr="00BA7EF8">
        <w:rPr>
          <w:rFonts w:cs="Arial"/>
          <w:b/>
          <w:bCs/>
          <w:color w:val="000000"/>
          <w:sz w:val="22"/>
          <w:szCs w:val="22"/>
        </w:rPr>
        <w:t>Summary of Reasons why PLWH may not use services N=45</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Too many places to get all the services and approvals</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Fear</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Lack of knowledge of how to get services</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Denial</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Substance abuse</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Lack of transportation</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Apathy</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Don’t want help</w:t>
      </w:r>
    </w:p>
    <w:p w:rsidR="008A385E" w:rsidRPr="00BA7EF8" w:rsidRDefault="008A385E" w:rsidP="00E73293">
      <w:pPr>
        <w:pStyle w:val="ListParagraph"/>
        <w:numPr>
          <w:ilvl w:val="0"/>
          <w:numId w:val="18"/>
        </w:numPr>
        <w:spacing w:before="0" w:after="0" w:line="259" w:lineRule="auto"/>
        <w:rPr>
          <w:rFonts w:cs="Arial"/>
          <w:bCs/>
          <w:color w:val="000000"/>
          <w:sz w:val="22"/>
          <w:szCs w:val="22"/>
        </w:rPr>
      </w:pPr>
      <w:r w:rsidRPr="00BA7EF8">
        <w:rPr>
          <w:rFonts w:cs="Arial"/>
          <w:bCs/>
          <w:color w:val="000000"/>
          <w:sz w:val="22"/>
          <w:szCs w:val="22"/>
        </w:rPr>
        <w:t>Overwhelmed</w:t>
      </w:r>
    </w:p>
    <w:p w:rsidR="008A385E" w:rsidRPr="00BA7EF8" w:rsidRDefault="008A385E" w:rsidP="008A385E">
      <w:pPr>
        <w:spacing w:after="0"/>
        <w:rPr>
          <w:b/>
          <w:sz w:val="22"/>
          <w:szCs w:val="22"/>
        </w:rPr>
      </w:pPr>
      <w:r w:rsidRPr="00BA7EF8">
        <w:rPr>
          <w:b/>
          <w:sz w:val="22"/>
          <w:szCs w:val="22"/>
        </w:rPr>
        <w:t>Ideas for Improving HIV/AIDS Services in Nevada</w:t>
      </w:r>
    </w:p>
    <w:p w:rsidR="008A385E" w:rsidRPr="00BA7EF8" w:rsidRDefault="008A385E" w:rsidP="008A385E">
      <w:pPr>
        <w:spacing w:after="0"/>
        <w:jc w:val="both"/>
        <w:rPr>
          <w:sz w:val="22"/>
          <w:szCs w:val="22"/>
        </w:rPr>
      </w:pPr>
      <w:r w:rsidRPr="00BA7EF8">
        <w:rPr>
          <w:sz w:val="22"/>
          <w:szCs w:val="22"/>
        </w:rPr>
        <w:t>Some of the frequently mentioned ideas for improving HIV/AIDS services in Nevada included having all services located in one place; increasing awareness of available services and assistance with navigating services; and increasing housing assistance.</w:t>
      </w:r>
    </w:p>
    <w:p w:rsidR="008A385E" w:rsidRPr="00BA7EF8" w:rsidRDefault="008A385E" w:rsidP="008A385E">
      <w:pPr>
        <w:autoSpaceDE w:val="0"/>
        <w:autoSpaceDN w:val="0"/>
        <w:adjustRightInd w:val="0"/>
        <w:spacing w:after="0" w:line="240" w:lineRule="auto"/>
        <w:rPr>
          <w:rFonts w:cs="Arial"/>
          <w:b/>
          <w:bCs/>
          <w:color w:val="000000"/>
          <w:sz w:val="22"/>
          <w:szCs w:val="22"/>
        </w:rPr>
      </w:pPr>
      <w:r w:rsidRPr="00BA7EF8">
        <w:rPr>
          <w:rFonts w:cs="Arial"/>
          <w:b/>
          <w:bCs/>
          <w:color w:val="000000"/>
          <w:sz w:val="22"/>
          <w:szCs w:val="22"/>
        </w:rPr>
        <w:t>How could HIV/AIDS care services be improved in Nevada? (N=91)</w:t>
      </w:r>
    </w:p>
    <w:p w:rsidR="008A385E" w:rsidRPr="00BA7EF8" w:rsidRDefault="008A385E" w:rsidP="008A385E">
      <w:pPr>
        <w:autoSpaceDE w:val="0"/>
        <w:autoSpaceDN w:val="0"/>
        <w:adjustRightInd w:val="0"/>
        <w:spacing w:after="0" w:line="240" w:lineRule="auto"/>
        <w:rPr>
          <w:rFonts w:cs="Arial"/>
          <w:bCs/>
          <w:color w:val="000000"/>
          <w:sz w:val="22"/>
          <w:szCs w:val="22"/>
        </w:rPr>
      </w:pPr>
      <w:r w:rsidRPr="00BA7EF8">
        <w:rPr>
          <w:rFonts w:cs="Arial"/>
          <w:bCs/>
          <w:color w:val="000000"/>
          <w:sz w:val="22"/>
          <w:szCs w:val="22"/>
        </w:rPr>
        <w:t>23 of 91 who commented had positive comments about the services in Nevada (25%)</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Have all the services in one place; one stop</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ADAP services could be made easier to get</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Increase awareness about available services and where to get services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lastRenderedPageBreak/>
        <w:t>Decrease red tape/eligibility requirements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Easier testing</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Allow everyone with HIV/AIDS to receive the same services;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Eye care</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Insurance</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Job referral services; workforce preparation classes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Provide food at classes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Have more people with HIV/AIDS working with people with HIV/AIDS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Increased housing; help people get off the streets; transitional housing</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Have health navigators at all agencies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Allow HIV MDs to be primary care MDs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Mental health care</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More doctors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More informational seminars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bCs/>
          <w:color w:val="000000"/>
          <w:sz w:val="22"/>
          <w:szCs w:val="22"/>
        </w:rPr>
        <w:t>More public service announcements on radio and TV</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Opening an office in Henderson and west Nevada</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Lower costs for medicines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Increased outreach to those who need care but are afraid</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Vision</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Bring back gift cards</w:t>
      </w:r>
    </w:p>
    <w:p w:rsidR="008A385E" w:rsidRPr="00BA7EF8" w:rsidRDefault="008A385E" w:rsidP="00E73293">
      <w:pPr>
        <w:pStyle w:val="ListParagraph"/>
        <w:numPr>
          <w:ilvl w:val="0"/>
          <w:numId w:val="19"/>
        </w:numPr>
        <w:autoSpaceDE w:val="0"/>
        <w:autoSpaceDN w:val="0"/>
        <w:adjustRightInd w:val="0"/>
        <w:spacing w:before="0" w:after="0" w:line="240" w:lineRule="auto"/>
        <w:rPr>
          <w:rFonts w:cs="Arial"/>
          <w:bCs/>
          <w:color w:val="000000"/>
          <w:sz w:val="22"/>
          <w:szCs w:val="22"/>
        </w:rPr>
      </w:pPr>
      <w:r w:rsidRPr="00BA7EF8">
        <w:rPr>
          <w:rFonts w:cs="Arial"/>
          <w:color w:val="000000"/>
          <w:sz w:val="22"/>
          <w:szCs w:val="22"/>
        </w:rPr>
        <w:t>Train case manager; improved empathy from case managers</w:t>
      </w:r>
    </w:p>
    <w:p w:rsidR="008A385E" w:rsidRPr="00E23FD2" w:rsidRDefault="008A385E" w:rsidP="008A385E">
      <w:pPr>
        <w:spacing w:after="0"/>
        <w:rPr>
          <w:b/>
          <w:color w:val="943634" w:themeColor="accent2" w:themeShade="BF"/>
          <w:sz w:val="24"/>
          <w:szCs w:val="24"/>
        </w:rPr>
      </w:pPr>
    </w:p>
    <w:p w:rsidR="008A385E" w:rsidRDefault="008A385E" w:rsidP="008A385E">
      <w:r>
        <w:br w:type="page"/>
      </w:r>
    </w:p>
    <w:p w:rsidR="008A385E" w:rsidRDefault="008A385E" w:rsidP="00342034">
      <w:pPr>
        <w:pStyle w:val="Heading2"/>
      </w:pPr>
      <w:bookmarkStart w:id="66" w:name="_Toc461188609"/>
      <w:r>
        <w:lastRenderedPageBreak/>
        <w:t>Appendix H: Community HIV Prevention Survey</w:t>
      </w:r>
      <w:bookmarkEnd w:id="66"/>
    </w:p>
    <w:p w:rsidR="008A385E" w:rsidRDefault="008A385E" w:rsidP="008A385E">
      <w:r>
        <w:rPr>
          <w:noProof/>
        </w:rPr>
        <w:drawing>
          <wp:inline distT="0" distB="0" distL="0" distR="0" wp14:anchorId="593C0D39" wp14:editId="6FD437C5">
            <wp:extent cx="5701085" cy="73779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 Community Survey English 2015_12-08-15_Page_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03194" cy="7380640"/>
                    </a:xfrm>
                    <a:prstGeom prst="rect">
                      <a:avLst/>
                    </a:prstGeom>
                  </pic:spPr>
                </pic:pic>
              </a:graphicData>
            </a:graphic>
          </wp:inline>
        </w:drawing>
      </w:r>
    </w:p>
    <w:p w:rsidR="008A385E" w:rsidRDefault="008A385E" w:rsidP="008A385E">
      <w:r>
        <w:rPr>
          <w:noProof/>
        </w:rPr>
        <w:lastRenderedPageBreak/>
        <w:drawing>
          <wp:inline distT="0" distB="0" distL="0" distR="0" wp14:anchorId="3B6C6845" wp14:editId="48E8E187">
            <wp:extent cx="5658771" cy="73231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 Community Survey English 2015_12-08-15_Page_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60864" cy="7325860"/>
                    </a:xfrm>
                    <a:prstGeom prst="rect">
                      <a:avLst/>
                    </a:prstGeom>
                  </pic:spPr>
                </pic:pic>
              </a:graphicData>
            </a:graphic>
          </wp:inline>
        </w:drawing>
      </w:r>
    </w:p>
    <w:p w:rsidR="008A385E" w:rsidRDefault="008A385E" w:rsidP="008A385E"/>
    <w:p w:rsidR="008A385E" w:rsidRDefault="008A385E" w:rsidP="008A385E"/>
    <w:p w:rsidR="008A385E" w:rsidRDefault="008A385E" w:rsidP="008A385E">
      <w:r>
        <w:rPr>
          <w:noProof/>
        </w:rPr>
        <w:lastRenderedPageBreak/>
        <w:drawing>
          <wp:inline distT="0" distB="0" distL="0" distR="0" wp14:anchorId="2920D64E" wp14:editId="6BCA3524">
            <wp:extent cx="5701780" cy="73788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 Community Survey English 2015_12-08-15_Page_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03889" cy="7381539"/>
                    </a:xfrm>
                    <a:prstGeom prst="rect">
                      <a:avLst/>
                    </a:prstGeom>
                  </pic:spPr>
                </pic:pic>
              </a:graphicData>
            </a:graphic>
          </wp:inline>
        </w:drawing>
      </w:r>
    </w:p>
    <w:p w:rsidR="008A385E" w:rsidRDefault="008A385E" w:rsidP="008A385E"/>
    <w:p w:rsidR="008A385E" w:rsidRDefault="008A385E" w:rsidP="00342034">
      <w:pPr>
        <w:pStyle w:val="Heading2"/>
      </w:pPr>
      <w:bookmarkStart w:id="67" w:name="_Toc461188610"/>
      <w:r>
        <w:lastRenderedPageBreak/>
        <w:t>Appendix I: Summary of HIV Prevention Community Survey Results</w:t>
      </w:r>
      <w:bookmarkEnd w:id="67"/>
    </w:p>
    <w:p w:rsidR="008A385E" w:rsidRDefault="008A385E" w:rsidP="008A385E">
      <w:pPr>
        <w:spacing w:before="0" w:after="0"/>
        <w:jc w:val="center"/>
        <w:rPr>
          <w:b/>
          <w:sz w:val="22"/>
          <w:szCs w:val="22"/>
        </w:rPr>
      </w:pPr>
    </w:p>
    <w:p w:rsidR="008A385E" w:rsidRPr="008D2A3E" w:rsidRDefault="008A385E" w:rsidP="008A385E">
      <w:pPr>
        <w:spacing w:before="0" w:after="0"/>
        <w:jc w:val="center"/>
        <w:rPr>
          <w:b/>
          <w:sz w:val="22"/>
          <w:szCs w:val="22"/>
        </w:rPr>
      </w:pPr>
      <w:r w:rsidRPr="008D2A3E">
        <w:rPr>
          <w:b/>
          <w:sz w:val="22"/>
          <w:szCs w:val="22"/>
        </w:rPr>
        <w:t>Results Highlights from HIV Community (Prevention) Survey (April 2016)</w:t>
      </w:r>
    </w:p>
    <w:p w:rsidR="008A385E" w:rsidRPr="008D2A3E" w:rsidRDefault="008A385E" w:rsidP="008A385E">
      <w:pPr>
        <w:spacing w:before="0" w:after="0"/>
        <w:jc w:val="center"/>
        <w:rPr>
          <w:b/>
          <w:sz w:val="22"/>
          <w:szCs w:val="22"/>
        </w:rPr>
      </w:pPr>
    </w:p>
    <w:p w:rsidR="008A385E" w:rsidRPr="008D2A3E" w:rsidRDefault="008A385E" w:rsidP="008A385E">
      <w:pPr>
        <w:spacing w:before="0" w:after="0"/>
        <w:jc w:val="both"/>
        <w:rPr>
          <w:sz w:val="22"/>
          <w:szCs w:val="22"/>
        </w:rPr>
      </w:pPr>
      <w:r w:rsidRPr="008D2A3E">
        <w:rPr>
          <w:sz w:val="22"/>
          <w:szCs w:val="22"/>
        </w:rPr>
        <w:t xml:space="preserve">The HIV Community Survey was collected from 1687 respondents around the state from April 2015 to March 2016. The survey collected information regarding HIV risks, barriers to prevention and community needs. </w:t>
      </w:r>
    </w:p>
    <w:p w:rsidR="008A385E" w:rsidRPr="008D2A3E" w:rsidRDefault="008A385E" w:rsidP="008A385E">
      <w:pPr>
        <w:spacing w:before="0" w:after="0"/>
        <w:rPr>
          <w:sz w:val="22"/>
          <w:szCs w:val="22"/>
        </w:rPr>
      </w:pPr>
    </w:p>
    <w:p w:rsidR="008A385E" w:rsidRPr="008D2A3E" w:rsidRDefault="008A385E" w:rsidP="008A385E">
      <w:pPr>
        <w:spacing w:before="0" w:after="0"/>
        <w:rPr>
          <w:sz w:val="22"/>
          <w:szCs w:val="22"/>
        </w:rPr>
      </w:pPr>
      <w:r w:rsidRPr="008D2A3E">
        <w:rPr>
          <w:noProof/>
          <w:sz w:val="22"/>
          <w:szCs w:val="22"/>
        </w:rPr>
        <w:drawing>
          <wp:inline distT="0" distB="0" distL="0" distR="0" wp14:anchorId="476598DE" wp14:editId="1FA660FB">
            <wp:extent cx="5939624" cy="1614115"/>
            <wp:effectExtent l="0" t="0" r="4445" b="57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A385E" w:rsidRPr="008D2A3E" w:rsidRDefault="008A385E" w:rsidP="008A385E">
      <w:pPr>
        <w:spacing w:before="0" w:after="0"/>
        <w:rPr>
          <w:sz w:val="22"/>
          <w:szCs w:val="22"/>
        </w:rPr>
      </w:pPr>
      <w:r w:rsidRPr="008D2A3E">
        <w:rPr>
          <w:noProof/>
          <w:sz w:val="22"/>
          <w:szCs w:val="22"/>
        </w:rPr>
        <w:drawing>
          <wp:inline distT="0" distB="0" distL="0" distR="0" wp14:anchorId="4CE338FA" wp14:editId="440DA6B6">
            <wp:extent cx="5939624" cy="1789043"/>
            <wp:effectExtent l="0" t="0" r="4445" b="190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A385E" w:rsidRPr="008D2A3E" w:rsidRDefault="008A385E" w:rsidP="008A385E">
      <w:pPr>
        <w:spacing w:before="0" w:after="0"/>
        <w:rPr>
          <w:sz w:val="22"/>
          <w:szCs w:val="22"/>
        </w:rPr>
      </w:pPr>
    </w:p>
    <w:p w:rsidR="008A385E" w:rsidRPr="008D2A3E" w:rsidRDefault="008A385E" w:rsidP="008A385E">
      <w:pPr>
        <w:spacing w:before="0" w:after="0"/>
        <w:rPr>
          <w:sz w:val="22"/>
          <w:szCs w:val="22"/>
        </w:rPr>
      </w:pPr>
      <w:r w:rsidRPr="008D2A3E">
        <w:rPr>
          <w:noProof/>
          <w:sz w:val="22"/>
          <w:szCs w:val="22"/>
        </w:rPr>
        <w:drawing>
          <wp:inline distT="0" distB="0" distL="0" distR="0" wp14:anchorId="5AC1706D" wp14:editId="4A02FD68">
            <wp:extent cx="5939624" cy="2321781"/>
            <wp:effectExtent l="0" t="0" r="4445" b="25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A385E" w:rsidRPr="008D2A3E" w:rsidRDefault="008A385E" w:rsidP="008A385E">
      <w:pPr>
        <w:autoSpaceDE w:val="0"/>
        <w:autoSpaceDN w:val="0"/>
        <w:adjustRightInd w:val="0"/>
        <w:spacing w:before="0" w:after="0" w:line="240" w:lineRule="auto"/>
        <w:rPr>
          <w:rFonts w:cs="Times New Roman"/>
          <w:sz w:val="22"/>
          <w:szCs w:val="22"/>
        </w:rPr>
      </w:pPr>
      <w:r w:rsidRPr="008D2A3E">
        <w:rPr>
          <w:noProof/>
          <w:sz w:val="22"/>
          <w:szCs w:val="22"/>
        </w:rPr>
        <w:lastRenderedPageBreak/>
        <w:drawing>
          <wp:inline distT="0" distB="0" distL="0" distR="0" wp14:anchorId="6FC069A0" wp14:editId="43A12014">
            <wp:extent cx="5939624" cy="2592125"/>
            <wp:effectExtent l="0" t="0" r="444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A385E" w:rsidRPr="008D2A3E" w:rsidRDefault="008A385E" w:rsidP="008A385E">
      <w:pPr>
        <w:autoSpaceDE w:val="0"/>
        <w:autoSpaceDN w:val="0"/>
        <w:adjustRightInd w:val="0"/>
        <w:spacing w:before="0" w:after="0" w:line="400" w:lineRule="atLeast"/>
        <w:rPr>
          <w:rFonts w:cs="Times New Roman"/>
          <w:sz w:val="22"/>
          <w:szCs w:val="22"/>
        </w:rPr>
      </w:pPr>
      <w:r w:rsidRPr="008D2A3E">
        <w:rPr>
          <w:noProof/>
          <w:sz w:val="22"/>
          <w:szCs w:val="22"/>
        </w:rPr>
        <w:drawing>
          <wp:inline distT="0" distB="0" distL="0" distR="0" wp14:anchorId="175869F9" wp14:editId="35E62C9B">
            <wp:extent cx="5939624" cy="2361538"/>
            <wp:effectExtent l="0" t="0" r="4445" b="12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A385E" w:rsidRPr="008D2A3E" w:rsidRDefault="008A385E" w:rsidP="008A385E">
      <w:pPr>
        <w:autoSpaceDE w:val="0"/>
        <w:autoSpaceDN w:val="0"/>
        <w:adjustRightInd w:val="0"/>
        <w:spacing w:before="0" w:after="0" w:line="240" w:lineRule="auto"/>
        <w:rPr>
          <w:rFonts w:cs="Times New Roman"/>
          <w:sz w:val="22"/>
          <w:szCs w:val="22"/>
        </w:rPr>
      </w:pPr>
    </w:p>
    <w:p w:rsidR="008A385E" w:rsidRPr="008D2A3E" w:rsidRDefault="008A385E" w:rsidP="008A385E">
      <w:pPr>
        <w:spacing w:before="0" w:after="0"/>
        <w:rPr>
          <w:sz w:val="22"/>
          <w:szCs w:val="22"/>
        </w:rPr>
      </w:pPr>
    </w:p>
    <w:p w:rsidR="008A385E" w:rsidRPr="008D2A3E" w:rsidRDefault="008A385E" w:rsidP="008A385E">
      <w:pPr>
        <w:spacing w:before="0" w:after="0"/>
        <w:rPr>
          <w:sz w:val="22"/>
          <w:szCs w:val="22"/>
        </w:rPr>
      </w:pPr>
      <w:r w:rsidRPr="008D2A3E">
        <w:rPr>
          <w:noProof/>
          <w:sz w:val="22"/>
          <w:szCs w:val="22"/>
        </w:rPr>
        <w:drawing>
          <wp:inline distT="0" distB="0" distL="0" distR="0" wp14:anchorId="5A4A0428" wp14:editId="648E682B">
            <wp:extent cx="5939624" cy="2560320"/>
            <wp:effectExtent l="0" t="0" r="4445"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A385E" w:rsidRPr="008D2A3E" w:rsidRDefault="008A385E" w:rsidP="008A385E">
      <w:pPr>
        <w:spacing w:before="0" w:after="0"/>
        <w:rPr>
          <w:sz w:val="22"/>
          <w:szCs w:val="22"/>
        </w:rPr>
      </w:pPr>
      <w:r w:rsidRPr="008D2A3E">
        <w:rPr>
          <w:noProof/>
          <w:sz w:val="22"/>
          <w:szCs w:val="22"/>
        </w:rPr>
        <w:lastRenderedPageBreak/>
        <w:drawing>
          <wp:inline distT="0" distB="0" distL="0" distR="0" wp14:anchorId="463F1A34" wp14:editId="7DDD1BE5">
            <wp:extent cx="5939624" cy="2274073"/>
            <wp:effectExtent l="0" t="0" r="444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A385E" w:rsidRPr="008D2A3E" w:rsidRDefault="008A385E" w:rsidP="008A385E">
      <w:pPr>
        <w:spacing w:before="0" w:after="0"/>
        <w:rPr>
          <w:sz w:val="22"/>
          <w:szCs w:val="22"/>
        </w:rPr>
      </w:pPr>
    </w:p>
    <w:p w:rsidR="008A385E" w:rsidRPr="008D2A3E" w:rsidRDefault="008A385E" w:rsidP="008A385E">
      <w:pPr>
        <w:spacing w:before="0" w:after="0"/>
        <w:rPr>
          <w:sz w:val="22"/>
          <w:szCs w:val="22"/>
        </w:rPr>
      </w:pPr>
    </w:p>
    <w:p w:rsidR="008A385E" w:rsidRPr="008D2A3E" w:rsidRDefault="008A385E" w:rsidP="008A385E">
      <w:pPr>
        <w:spacing w:before="0" w:after="0"/>
        <w:rPr>
          <w:sz w:val="22"/>
          <w:szCs w:val="22"/>
        </w:rPr>
      </w:pPr>
      <w:r w:rsidRPr="008D2A3E">
        <w:rPr>
          <w:noProof/>
          <w:sz w:val="22"/>
          <w:szCs w:val="22"/>
        </w:rPr>
        <w:drawing>
          <wp:inline distT="0" distB="0" distL="0" distR="0" wp14:anchorId="26842CAF" wp14:editId="37B2FF3B">
            <wp:extent cx="5939624" cy="2162755"/>
            <wp:effectExtent l="0" t="0" r="444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A385E" w:rsidRPr="008D2A3E" w:rsidRDefault="008A385E" w:rsidP="008A385E">
      <w:pPr>
        <w:spacing w:before="0" w:after="0"/>
        <w:rPr>
          <w:sz w:val="22"/>
          <w:szCs w:val="22"/>
        </w:rPr>
      </w:pPr>
    </w:p>
    <w:p w:rsidR="008A385E" w:rsidRPr="008D2A3E" w:rsidRDefault="008A385E" w:rsidP="008A385E">
      <w:pPr>
        <w:spacing w:before="0" w:after="0"/>
        <w:rPr>
          <w:sz w:val="22"/>
          <w:szCs w:val="22"/>
        </w:rPr>
      </w:pPr>
      <w:r w:rsidRPr="008D2A3E">
        <w:rPr>
          <w:sz w:val="22"/>
          <w:szCs w:val="22"/>
        </w:rPr>
        <w:t>Of those who had more than 1 sexual partner in past 12 months (N=751):</w:t>
      </w:r>
    </w:p>
    <w:p w:rsidR="008A385E" w:rsidRPr="008D2A3E" w:rsidRDefault="008A385E" w:rsidP="00E73293">
      <w:pPr>
        <w:pStyle w:val="ListParagraph"/>
        <w:numPr>
          <w:ilvl w:val="0"/>
          <w:numId w:val="31"/>
        </w:numPr>
        <w:spacing w:before="0" w:after="0"/>
        <w:rPr>
          <w:sz w:val="22"/>
          <w:szCs w:val="22"/>
        </w:rPr>
      </w:pPr>
      <w:r w:rsidRPr="008D2A3E">
        <w:rPr>
          <w:sz w:val="22"/>
          <w:szCs w:val="22"/>
        </w:rPr>
        <w:t>78% unprotected oral sex</w:t>
      </w:r>
    </w:p>
    <w:p w:rsidR="008A385E" w:rsidRPr="008D2A3E" w:rsidRDefault="008A385E" w:rsidP="00E73293">
      <w:pPr>
        <w:pStyle w:val="ListParagraph"/>
        <w:numPr>
          <w:ilvl w:val="0"/>
          <w:numId w:val="31"/>
        </w:numPr>
        <w:spacing w:before="0" w:after="0"/>
        <w:rPr>
          <w:sz w:val="22"/>
          <w:szCs w:val="22"/>
        </w:rPr>
      </w:pPr>
      <w:r w:rsidRPr="008D2A3E">
        <w:rPr>
          <w:sz w:val="22"/>
          <w:szCs w:val="22"/>
        </w:rPr>
        <w:t>66% unprotected vaginal sex</w:t>
      </w:r>
    </w:p>
    <w:p w:rsidR="008A385E" w:rsidRPr="008D2A3E" w:rsidRDefault="008A385E" w:rsidP="00E73293">
      <w:pPr>
        <w:pStyle w:val="ListParagraph"/>
        <w:numPr>
          <w:ilvl w:val="0"/>
          <w:numId w:val="31"/>
        </w:numPr>
        <w:spacing w:before="0" w:after="0"/>
        <w:rPr>
          <w:sz w:val="22"/>
          <w:szCs w:val="22"/>
        </w:rPr>
      </w:pPr>
      <w:r w:rsidRPr="008D2A3E">
        <w:rPr>
          <w:sz w:val="22"/>
          <w:szCs w:val="22"/>
        </w:rPr>
        <w:t>28% unprotected anal sex</w:t>
      </w:r>
    </w:p>
    <w:p w:rsidR="008A385E" w:rsidRPr="008D2A3E" w:rsidRDefault="008A385E" w:rsidP="00E73293">
      <w:pPr>
        <w:pStyle w:val="ListParagraph"/>
        <w:numPr>
          <w:ilvl w:val="0"/>
          <w:numId w:val="31"/>
        </w:numPr>
        <w:spacing w:before="0" w:after="0"/>
        <w:rPr>
          <w:sz w:val="22"/>
          <w:szCs w:val="22"/>
        </w:rPr>
      </w:pPr>
      <w:r w:rsidRPr="008D2A3E">
        <w:rPr>
          <w:sz w:val="22"/>
          <w:szCs w:val="22"/>
        </w:rPr>
        <w:t>12% none of the above</w:t>
      </w:r>
    </w:p>
    <w:p w:rsidR="008A385E" w:rsidRPr="008D2A3E" w:rsidRDefault="008A385E" w:rsidP="008A385E">
      <w:pPr>
        <w:autoSpaceDE w:val="0"/>
        <w:autoSpaceDN w:val="0"/>
        <w:adjustRightInd w:val="0"/>
        <w:spacing w:before="0" w:after="0" w:line="400" w:lineRule="atLeast"/>
        <w:rPr>
          <w:rFonts w:cs="Times New Roman"/>
          <w:sz w:val="22"/>
          <w:szCs w:val="22"/>
        </w:rPr>
      </w:pPr>
      <w:r w:rsidRPr="008D2A3E">
        <w:rPr>
          <w:noProof/>
          <w:sz w:val="22"/>
          <w:szCs w:val="22"/>
        </w:rPr>
        <w:drawing>
          <wp:inline distT="0" distB="0" distL="0" distR="0" wp14:anchorId="68F6431D" wp14:editId="4A7990B8">
            <wp:extent cx="5939624" cy="1773141"/>
            <wp:effectExtent l="0" t="0" r="444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B6D8C" w:rsidRDefault="003B6D8C" w:rsidP="008A385E">
      <w:pPr>
        <w:autoSpaceDE w:val="0"/>
        <w:autoSpaceDN w:val="0"/>
        <w:adjustRightInd w:val="0"/>
        <w:spacing w:before="0" w:after="0" w:line="240" w:lineRule="auto"/>
        <w:rPr>
          <w:rFonts w:cs="Times New Roman"/>
          <w:sz w:val="22"/>
          <w:szCs w:val="22"/>
        </w:rPr>
      </w:pPr>
      <w:r w:rsidRPr="003B6D8C">
        <w:rPr>
          <w:rFonts w:cs="Times New Roman"/>
          <w:noProof/>
          <w:sz w:val="22"/>
          <w:szCs w:val="22"/>
        </w:rPr>
        <w:lastRenderedPageBreak/>
        <w:drawing>
          <wp:inline distT="0" distB="0" distL="0" distR="0" wp14:anchorId="44420220" wp14:editId="4C406922">
            <wp:extent cx="5943600" cy="3209925"/>
            <wp:effectExtent l="0" t="0" r="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B6D8C" w:rsidRDefault="003B6D8C" w:rsidP="008A385E">
      <w:pPr>
        <w:autoSpaceDE w:val="0"/>
        <w:autoSpaceDN w:val="0"/>
        <w:adjustRightInd w:val="0"/>
        <w:spacing w:before="0" w:after="0" w:line="240" w:lineRule="auto"/>
        <w:rPr>
          <w:rFonts w:cs="Times New Roman"/>
          <w:sz w:val="22"/>
          <w:szCs w:val="22"/>
        </w:rPr>
      </w:pPr>
    </w:p>
    <w:p w:rsidR="008A385E" w:rsidRPr="008D2A3E" w:rsidRDefault="008A385E" w:rsidP="008A385E">
      <w:pPr>
        <w:autoSpaceDE w:val="0"/>
        <w:autoSpaceDN w:val="0"/>
        <w:adjustRightInd w:val="0"/>
        <w:spacing w:before="0" w:after="0" w:line="240" w:lineRule="auto"/>
        <w:rPr>
          <w:rFonts w:cs="Times New Roman"/>
          <w:sz w:val="22"/>
          <w:szCs w:val="22"/>
        </w:rPr>
      </w:pPr>
      <w:r w:rsidRPr="008D2A3E">
        <w:rPr>
          <w:rFonts w:cs="Times New Roman"/>
          <w:sz w:val="22"/>
          <w:szCs w:val="22"/>
        </w:rPr>
        <w:t xml:space="preserve">44% </w:t>
      </w:r>
      <w:r>
        <w:rPr>
          <w:rFonts w:cs="Times New Roman"/>
          <w:sz w:val="22"/>
          <w:szCs w:val="22"/>
        </w:rPr>
        <w:t xml:space="preserve">of respondent </w:t>
      </w:r>
      <w:r w:rsidRPr="008D2A3E">
        <w:rPr>
          <w:rFonts w:cs="Times New Roman"/>
          <w:sz w:val="22"/>
          <w:szCs w:val="22"/>
        </w:rPr>
        <w:t>seldom or never use condoms</w:t>
      </w:r>
      <w:r>
        <w:rPr>
          <w:rFonts w:cs="Times New Roman"/>
          <w:sz w:val="22"/>
          <w:szCs w:val="22"/>
        </w:rPr>
        <w:t>.</w:t>
      </w:r>
    </w:p>
    <w:p w:rsidR="008A385E" w:rsidRPr="008D2A3E" w:rsidRDefault="008A385E" w:rsidP="008A385E">
      <w:pPr>
        <w:autoSpaceDE w:val="0"/>
        <w:autoSpaceDN w:val="0"/>
        <w:adjustRightInd w:val="0"/>
        <w:spacing w:before="0" w:after="0" w:line="400" w:lineRule="atLeast"/>
        <w:rPr>
          <w:rFonts w:cs="Times New Roman"/>
          <w:sz w:val="22"/>
          <w:szCs w:val="22"/>
        </w:rPr>
      </w:pPr>
      <w:r w:rsidRPr="008D2A3E">
        <w:rPr>
          <w:rFonts w:cs="Times New Roman"/>
          <w:sz w:val="22"/>
          <w:szCs w:val="22"/>
        </w:rPr>
        <w:t>Transgender M to F</w:t>
      </w:r>
      <w:r>
        <w:rPr>
          <w:rFonts w:cs="Times New Roman"/>
          <w:sz w:val="22"/>
          <w:szCs w:val="22"/>
        </w:rPr>
        <w:t xml:space="preserve">: </w:t>
      </w:r>
      <w:r w:rsidRPr="008D2A3E">
        <w:rPr>
          <w:rFonts w:cs="Times New Roman"/>
          <w:sz w:val="22"/>
          <w:szCs w:val="22"/>
        </w:rPr>
        <w:t>78% seldom or never use condoms (small sample size, n=13)</w:t>
      </w:r>
      <w:r>
        <w:rPr>
          <w:rFonts w:cs="Times New Roman"/>
          <w:sz w:val="22"/>
          <w:szCs w:val="22"/>
        </w:rPr>
        <w:t>.</w:t>
      </w:r>
    </w:p>
    <w:p w:rsidR="008A385E" w:rsidRPr="008D2A3E" w:rsidRDefault="008A385E" w:rsidP="008A385E">
      <w:pPr>
        <w:autoSpaceDE w:val="0"/>
        <w:autoSpaceDN w:val="0"/>
        <w:adjustRightInd w:val="0"/>
        <w:spacing w:before="0" w:after="0" w:line="400" w:lineRule="atLeast"/>
        <w:rPr>
          <w:rFonts w:cs="Times New Roman"/>
          <w:sz w:val="22"/>
          <w:szCs w:val="22"/>
        </w:rPr>
      </w:pPr>
      <w:r w:rsidRPr="008D2A3E">
        <w:rPr>
          <w:rFonts w:cs="Times New Roman"/>
          <w:sz w:val="22"/>
          <w:szCs w:val="22"/>
        </w:rPr>
        <w:t>IDU</w:t>
      </w:r>
      <w:r>
        <w:rPr>
          <w:rFonts w:cs="Times New Roman"/>
          <w:sz w:val="22"/>
          <w:szCs w:val="22"/>
        </w:rPr>
        <w:t xml:space="preserve">: </w:t>
      </w:r>
      <w:r w:rsidRPr="008D2A3E">
        <w:rPr>
          <w:rFonts w:cs="Times New Roman"/>
          <w:sz w:val="22"/>
          <w:szCs w:val="22"/>
        </w:rPr>
        <w:t>58% seldom or never use condoms</w:t>
      </w:r>
      <w:r>
        <w:rPr>
          <w:rFonts w:cs="Times New Roman"/>
          <w:sz w:val="22"/>
          <w:szCs w:val="22"/>
        </w:rPr>
        <w:t>.</w:t>
      </w:r>
    </w:p>
    <w:p w:rsidR="008A385E" w:rsidRPr="008D2A3E" w:rsidRDefault="008A385E" w:rsidP="008A385E">
      <w:pPr>
        <w:autoSpaceDE w:val="0"/>
        <w:autoSpaceDN w:val="0"/>
        <w:adjustRightInd w:val="0"/>
        <w:spacing w:before="0" w:after="0" w:line="240" w:lineRule="auto"/>
        <w:rPr>
          <w:rFonts w:cs="Times New Roman"/>
          <w:sz w:val="22"/>
          <w:szCs w:val="22"/>
        </w:rPr>
      </w:pPr>
      <w:r w:rsidRPr="008D2A3E">
        <w:rPr>
          <w:rFonts w:cs="Times New Roman"/>
          <w:sz w:val="22"/>
          <w:szCs w:val="22"/>
        </w:rPr>
        <w:t>Of those who had more than 1 sexual partner in past 12 months</w:t>
      </w:r>
      <w:r>
        <w:rPr>
          <w:rFonts w:cs="Times New Roman"/>
          <w:sz w:val="22"/>
          <w:szCs w:val="22"/>
        </w:rPr>
        <w:t xml:space="preserve">, </w:t>
      </w:r>
      <w:r w:rsidRPr="008D2A3E">
        <w:rPr>
          <w:rFonts w:cs="Times New Roman"/>
          <w:sz w:val="22"/>
          <w:szCs w:val="22"/>
        </w:rPr>
        <w:t>27% seldom or never use condoms</w:t>
      </w:r>
      <w:r>
        <w:rPr>
          <w:rFonts w:cs="Times New Roman"/>
          <w:sz w:val="22"/>
          <w:szCs w:val="22"/>
        </w:rPr>
        <w:t>.</w:t>
      </w:r>
    </w:p>
    <w:p w:rsidR="008A385E" w:rsidRPr="008D2A3E" w:rsidRDefault="008A385E" w:rsidP="008A385E">
      <w:pPr>
        <w:autoSpaceDE w:val="0"/>
        <w:autoSpaceDN w:val="0"/>
        <w:adjustRightInd w:val="0"/>
        <w:spacing w:before="0" w:after="0" w:line="240" w:lineRule="auto"/>
        <w:ind w:firstLine="720"/>
        <w:rPr>
          <w:rFonts w:cs="Times New Roman"/>
          <w:sz w:val="22"/>
          <w:szCs w:val="22"/>
        </w:rPr>
      </w:pPr>
    </w:p>
    <w:p w:rsidR="008A385E" w:rsidRPr="008D2A3E" w:rsidRDefault="008A385E" w:rsidP="008A385E">
      <w:pPr>
        <w:spacing w:before="0" w:after="0"/>
        <w:rPr>
          <w:b/>
          <w:sz w:val="22"/>
          <w:szCs w:val="22"/>
        </w:rPr>
      </w:pPr>
      <w:r w:rsidRPr="008D2A3E">
        <w:rPr>
          <w:b/>
          <w:sz w:val="22"/>
          <w:szCs w:val="22"/>
        </w:rPr>
        <w:t>What prevents from using condoms</w:t>
      </w:r>
    </w:p>
    <w:tbl>
      <w:tblPr>
        <w:tblStyle w:val="MediumShading1-Accent4"/>
        <w:tblW w:w="0" w:type="auto"/>
        <w:tblLook w:val="04A0" w:firstRow="1" w:lastRow="0" w:firstColumn="1" w:lastColumn="0" w:noHBand="0" w:noVBand="1"/>
      </w:tblPr>
      <w:tblGrid>
        <w:gridCol w:w="4788"/>
        <w:gridCol w:w="1800"/>
        <w:gridCol w:w="1800"/>
      </w:tblGrid>
      <w:tr w:rsidR="008A385E" w:rsidRPr="008D2A3E" w:rsidTr="008A3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p>
        </w:tc>
        <w:tc>
          <w:tcPr>
            <w:tcW w:w="1800" w:type="dxa"/>
          </w:tcPr>
          <w:p w:rsidR="008A385E" w:rsidRPr="008D2A3E" w:rsidRDefault="008A385E" w:rsidP="008A385E">
            <w:pPr>
              <w:cnfStyle w:val="100000000000" w:firstRow="1" w:lastRow="0" w:firstColumn="0" w:lastColumn="0" w:oddVBand="0" w:evenVBand="0" w:oddHBand="0" w:evenHBand="0" w:firstRowFirstColumn="0" w:firstRowLastColumn="0" w:lastRowFirstColumn="0" w:lastRowLastColumn="0"/>
              <w:rPr>
                <w:sz w:val="22"/>
                <w:szCs w:val="22"/>
              </w:rPr>
            </w:pPr>
            <w:r w:rsidRPr="008D2A3E">
              <w:rPr>
                <w:sz w:val="22"/>
                <w:szCs w:val="22"/>
              </w:rPr>
              <w:t xml:space="preserve"> Total sample</w:t>
            </w:r>
          </w:p>
        </w:tc>
        <w:tc>
          <w:tcPr>
            <w:tcW w:w="1800" w:type="dxa"/>
          </w:tcPr>
          <w:p w:rsidR="008A385E" w:rsidRPr="008D2A3E" w:rsidRDefault="008A385E" w:rsidP="008A385E">
            <w:pPr>
              <w:cnfStyle w:val="100000000000" w:firstRow="1" w:lastRow="0" w:firstColumn="0" w:lastColumn="0" w:oddVBand="0" w:evenVBand="0" w:oddHBand="0" w:evenHBand="0" w:firstRowFirstColumn="0" w:firstRowLastColumn="0" w:lastRowFirstColumn="0" w:lastRowLastColumn="0"/>
              <w:rPr>
                <w:sz w:val="22"/>
                <w:szCs w:val="22"/>
              </w:rPr>
            </w:pPr>
            <w:r w:rsidRPr="008D2A3E">
              <w:rPr>
                <w:sz w:val="22"/>
                <w:szCs w:val="22"/>
              </w:rPr>
              <w:t>More than 1 sex partner</w:t>
            </w:r>
          </w:p>
        </w:tc>
      </w:tr>
      <w:tr w:rsidR="008A385E" w:rsidRPr="008D2A3E"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r w:rsidRPr="008D2A3E">
              <w:rPr>
                <w:sz w:val="22"/>
                <w:szCs w:val="22"/>
              </w:rPr>
              <w:t>Only sex with one person</w:t>
            </w:r>
            <w:r w:rsidRPr="008D2A3E">
              <w:rPr>
                <w:sz w:val="22"/>
                <w:szCs w:val="22"/>
              </w:rPr>
              <w:tab/>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47%</w:t>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27%</w:t>
            </w:r>
          </w:p>
        </w:tc>
      </w:tr>
      <w:tr w:rsidR="008A385E" w:rsidRPr="008D2A3E"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r w:rsidRPr="008D2A3E">
              <w:rPr>
                <w:sz w:val="22"/>
                <w:szCs w:val="22"/>
              </w:rPr>
              <w:t xml:space="preserve">Don’t like feeling </w:t>
            </w:r>
          </w:p>
        </w:tc>
        <w:tc>
          <w:tcPr>
            <w:tcW w:w="1800" w:type="dxa"/>
          </w:tcPr>
          <w:p w:rsidR="008A385E" w:rsidRPr="008D2A3E"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8D2A3E">
              <w:rPr>
                <w:sz w:val="22"/>
                <w:szCs w:val="22"/>
              </w:rPr>
              <w:t>26%</w:t>
            </w:r>
          </w:p>
        </w:tc>
        <w:tc>
          <w:tcPr>
            <w:tcW w:w="1800" w:type="dxa"/>
          </w:tcPr>
          <w:p w:rsidR="008A385E" w:rsidRPr="008D2A3E"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8D2A3E">
              <w:rPr>
                <w:sz w:val="22"/>
                <w:szCs w:val="22"/>
              </w:rPr>
              <w:t>39%</w:t>
            </w:r>
          </w:p>
        </w:tc>
      </w:tr>
      <w:tr w:rsidR="008A385E" w:rsidRPr="008D2A3E"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r w:rsidRPr="008D2A3E">
              <w:rPr>
                <w:sz w:val="22"/>
                <w:szCs w:val="22"/>
              </w:rPr>
              <w:t xml:space="preserve">Ruin moment/inconvenient </w:t>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24%</w:t>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38%</w:t>
            </w:r>
          </w:p>
        </w:tc>
      </w:tr>
      <w:tr w:rsidR="008A385E" w:rsidRPr="008D2A3E"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r w:rsidRPr="008D2A3E">
              <w:rPr>
                <w:sz w:val="22"/>
                <w:szCs w:val="22"/>
              </w:rPr>
              <w:t xml:space="preserve">Have not had sex within past 12 months </w:t>
            </w:r>
          </w:p>
        </w:tc>
        <w:tc>
          <w:tcPr>
            <w:tcW w:w="1800" w:type="dxa"/>
          </w:tcPr>
          <w:p w:rsidR="008A385E" w:rsidRPr="008D2A3E"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8D2A3E">
              <w:rPr>
                <w:sz w:val="22"/>
                <w:szCs w:val="22"/>
              </w:rPr>
              <w:t>10%</w:t>
            </w:r>
          </w:p>
        </w:tc>
        <w:tc>
          <w:tcPr>
            <w:tcW w:w="1800" w:type="dxa"/>
          </w:tcPr>
          <w:p w:rsidR="008A385E" w:rsidRPr="008D2A3E"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8D2A3E">
              <w:rPr>
                <w:sz w:val="22"/>
                <w:szCs w:val="22"/>
              </w:rPr>
              <w:t>2%</w:t>
            </w:r>
          </w:p>
        </w:tc>
      </w:tr>
      <w:tr w:rsidR="008A385E" w:rsidRPr="008D2A3E"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r w:rsidRPr="008D2A3E">
              <w:rPr>
                <w:sz w:val="22"/>
                <w:szCs w:val="22"/>
              </w:rPr>
              <w:t>Person refuses to use</w:t>
            </w:r>
            <w:r w:rsidRPr="008D2A3E">
              <w:rPr>
                <w:sz w:val="22"/>
                <w:szCs w:val="22"/>
              </w:rPr>
              <w:tab/>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8%</w:t>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13%</w:t>
            </w:r>
          </w:p>
        </w:tc>
      </w:tr>
      <w:tr w:rsidR="008A385E" w:rsidRPr="008D2A3E"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r w:rsidRPr="008D2A3E">
              <w:rPr>
                <w:sz w:val="22"/>
                <w:szCs w:val="22"/>
              </w:rPr>
              <w:t xml:space="preserve">Can’t afford </w:t>
            </w:r>
          </w:p>
        </w:tc>
        <w:tc>
          <w:tcPr>
            <w:tcW w:w="1800" w:type="dxa"/>
          </w:tcPr>
          <w:p w:rsidR="008A385E" w:rsidRPr="008D2A3E"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8D2A3E">
              <w:rPr>
                <w:sz w:val="22"/>
                <w:szCs w:val="22"/>
              </w:rPr>
              <w:t>5%</w:t>
            </w:r>
          </w:p>
        </w:tc>
        <w:tc>
          <w:tcPr>
            <w:tcW w:w="1800" w:type="dxa"/>
          </w:tcPr>
          <w:p w:rsidR="008A385E" w:rsidRPr="008D2A3E"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8D2A3E">
              <w:rPr>
                <w:sz w:val="22"/>
                <w:szCs w:val="22"/>
              </w:rPr>
              <w:t>8%</w:t>
            </w:r>
          </w:p>
        </w:tc>
      </w:tr>
      <w:tr w:rsidR="008A385E" w:rsidRPr="008D2A3E"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8A385E" w:rsidRPr="008D2A3E" w:rsidRDefault="008A385E" w:rsidP="008A385E">
            <w:pPr>
              <w:rPr>
                <w:sz w:val="22"/>
                <w:szCs w:val="22"/>
              </w:rPr>
            </w:pPr>
            <w:r w:rsidRPr="008D2A3E">
              <w:rPr>
                <w:sz w:val="22"/>
                <w:szCs w:val="22"/>
              </w:rPr>
              <w:t xml:space="preserve">Uncomfortable to talk about </w:t>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7%</w:t>
            </w:r>
          </w:p>
        </w:tc>
        <w:tc>
          <w:tcPr>
            <w:tcW w:w="1800" w:type="dxa"/>
          </w:tcPr>
          <w:p w:rsidR="008A385E" w:rsidRPr="008D2A3E"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8D2A3E">
              <w:rPr>
                <w:sz w:val="22"/>
                <w:szCs w:val="22"/>
              </w:rPr>
              <w:t>12%</w:t>
            </w:r>
          </w:p>
        </w:tc>
      </w:tr>
    </w:tbl>
    <w:p w:rsidR="008A385E" w:rsidRDefault="008A385E" w:rsidP="008A385E">
      <w:pPr>
        <w:spacing w:before="0" w:after="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8A385E" w:rsidTr="008A385E">
        <w:trPr>
          <w:trHeight w:val="2546"/>
        </w:trPr>
        <w:tc>
          <w:tcPr>
            <w:tcW w:w="4788" w:type="dxa"/>
          </w:tcPr>
          <w:p w:rsidR="008A385E" w:rsidRPr="008D2A3E" w:rsidRDefault="008A385E" w:rsidP="008A385E">
            <w:pPr>
              <w:spacing w:before="0"/>
              <w:rPr>
                <w:rFonts w:asciiTheme="minorHAnsi" w:hAnsiTheme="minorHAnsi"/>
                <w:i/>
                <w:sz w:val="22"/>
                <w:szCs w:val="22"/>
              </w:rPr>
            </w:pPr>
            <w:r w:rsidRPr="008D2A3E">
              <w:rPr>
                <w:rFonts w:asciiTheme="minorHAnsi" w:hAnsiTheme="minorHAnsi"/>
                <w:i/>
                <w:sz w:val="22"/>
                <w:szCs w:val="22"/>
              </w:rPr>
              <w:lastRenderedPageBreak/>
              <w:t>Can’t afford</w:t>
            </w:r>
            <w:r w:rsidRPr="008D2A3E">
              <w:rPr>
                <w:rFonts w:asciiTheme="minorHAnsi" w:hAnsiTheme="minorHAnsi"/>
                <w:i/>
                <w:sz w:val="22"/>
                <w:szCs w:val="22"/>
              </w:rPr>
              <w:tab/>
            </w:r>
          </w:p>
          <w:p w:rsidR="008A385E" w:rsidRPr="008D2A3E" w:rsidRDefault="008A385E" w:rsidP="00E73293">
            <w:pPr>
              <w:pStyle w:val="ListParagraph"/>
              <w:numPr>
                <w:ilvl w:val="0"/>
                <w:numId w:val="22"/>
              </w:numPr>
              <w:spacing w:before="0" w:line="259" w:lineRule="auto"/>
              <w:rPr>
                <w:rFonts w:asciiTheme="minorHAnsi" w:hAnsiTheme="minorHAnsi"/>
                <w:sz w:val="22"/>
                <w:szCs w:val="22"/>
              </w:rPr>
            </w:pPr>
            <w:r w:rsidRPr="008D2A3E">
              <w:rPr>
                <w:rFonts w:asciiTheme="minorHAnsi" w:hAnsiTheme="minorHAnsi"/>
                <w:sz w:val="22"/>
                <w:szCs w:val="22"/>
              </w:rPr>
              <w:t xml:space="preserve">25% IDU </w:t>
            </w:r>
          </w:p>
          <w:p w:rsidR="008A385E" w:rsidRPr="008D2A3E" w:rsidRDefault="008A385E" w:rsidP="00E73293">
            <w:pPr>
              <w:pStyle w:val="ListParagraph"/>
              <w:numPr>
                <w:ilvl w:val="0"/>
                <w:numId w:val="22"/>
              </w:numPr>
              <w:spacing w:before="0" w:line="259" w:lineRule="auto"/>
              <w:rPr>
                <w:rFonts w:asciiTheme="minorHAnsi" w:hAnsiTheme="minorHAnsi"/>
                <w:sz w:val="22"/>
                <w:szCs w:val="22"/>
              </w:rPr>
            </w:pPr>
            <w:r w:rsidRPr="008D2A3E">
              <w:rPr>
                <w:rFonts w:asciiTheme="minorHAnsi" w:hAnsiTheme="minorHAnsi"/>
                <w:sz w:val="22"/>
                <w:szCs w:val="22"/>
              </w:rPr>
              <w:t>12% African American</w:t>
            </w:r>
            <w:r w:rsidRPr="008D2A3E">
              <w:rPr>
                <w:rFonts w:asciiTheme="minorHAnsi" w:hAnsiTheme="minorHAnsi"/>
                <w:sz w:val="22"/>
                <w:szCs w:val="22"/>
              </w:rPr>
              <w:tab/>
            </w:r>
          </w:p>
          <w:p w:rsidR="008A385E" w:rsidRPr="008D2A3E" w:rsidRDefault="008A385E" w:rsidP="00E73293">
            <w:pPr>
              <w:pStyle w:val="ListParagraph"/>
              <w:numPr>
                <w:ilvl w:val="0"/>
                <w:numId w:val="22"/>
              </w:numPr>
              <w:spacing w:before="0" w:line="259" w:lineRule="auto"/>
              <w:rPr>
                <w:rFonts w:asciiTheme="minorHAnsi" w:hAnsiTheme="minorHAnsi"/>
                <w:sz w:val="22"/>
                <w:szCs w:val="22"/>
              </w:rPr>
            </w:pPr>
            <w:r w:rsidRPr="008D2A3E">
              <w:rPr>
                <w:rFonts w:asciiTheme="minorHAnsi" w:hAnsiTheme="minorHAnsi"/>
                <w:sz w:val="22"/>
                <w:szCs w:val="22"/>
              </w:rPr>
              <w:t>10%Native American</w:t>
            </w:r>
            <w:r w:rsidRPr="008D2A3E">
              <w:rPr>
                <w:rFonts w:asciiTheme="minorHAnsi" w:hAnsiTheme="minorHAnsi"/>
                <w:sz w:val="22"/>
                <w:szCs w:val="22"/>
              </w:rPr>
              <w:tab/>
            </w:r>
          </w:p>
          <w:p w:rsidR="008A385E" w:rsidRDefault="008A385E" w:rsidP="00E73293">
            <w:pPr>
              <w:pStyle w:val="ListParagraph"/>
              <w:numPr>
                <w:ilvl w:val="0"/>
                <w:numId w:val="22"/>
              </w:numPr>
              <w:spacing w:before="0" w:line="259" w:lineRule="auto"/>
              <w:rPr>
                <w:rFonts w:asciiTheme="minorHAnsi" w:hAnsiTheme="minorHAnsi"/>
                <w:sz w:val="22"/>
                <w:szCs w:val="22"/>
              </w:rPr>
            </w:pPr>
            <w:r w:rsidRPr="008D2A3E">
              <w:rPr>
                <w:rFonts w:asciiTheme="minorHAnsi" w:hAnsiTheme="minorHAnsi"/>
                <w:sz w:val="22"/>
                <w:szCs w:val="22"/>
              </w:rPr>
              <w:t>10% MSM</w:t>
            </w:r>
          </w:p>
          <w:p w:rsidR="008A385E" w:rsidRPr="008D2A3E" w:rsidRDefault="008A385E" w:rsidP="00E73293">
            <w:pPr>
              <w:pStyle w:val="ListParagraph"/>
              <w:numPr>
                <w:ilvl w:val="0"/>
                <w:numId w:val="22"/>
              </w:numPr>
              <w:spacing w:before="0" w:line="259" w:lineRule="auto"/>
              <w:rPr>
                <w:rFonts w:asciiTheme="minorHAnsi" w:hAnsiTheme="minorHAnsi"/>
                <w:sz w:val="22"/>
                <w:szCs w:val="22"/>
              </w:rPr>
            </w:pPr>
          </w:p>
          <w:p w:rsidR="008A385E" w:rsidRPr="008D2A3E" w:rsidRDefault="008A385E" w:rsidP="008A385E">
            <w:pPr>
              <w:spacing w:before="0"/>
              <w:rPr>
                <w:rFonts w:asciiTheme="minorHAnsi" w:hAnsiTheme="minorHAnsi"/>
                <w:sz w:val="22"/>
                <w:szCs w:val="22"/>
              </w:rPr>
            </w:pPr>
            <w:r w:rsidRPr="008D2A3E">
              <w:rPr>
                <w:rFonts w:asciiTheme="minorHAnsi" w:hAnsiTheme="minorHAnsi"/>
                <w:sz w:val="22"/>
                <w:szCs w:val="22"/>
              </w:rPr>
              <w:t>Frequently mentioned write in reasons:</w:t>
            </w:r>
          </w:p>
          <w:p w:rsidR="008A385E" w:rsidRPr="008D2A3E" w:rsidRDefault="008A385E" w:rsidP="00E73293">
            <w:pPr>
              <w:pStyle w:val="ListParagraph"/>
              <w:numPr>
                <w:ilvl w:val="1"/>
                <w:numId w:val="25"/>
              </w:numPr>
              <w:spacing w:before="0" w:line="259" w:lineRule="auto"/>
              <w:ind w:left="720"/>
              <w:rPr>
                <w:rFonts w:asciiTheme="minorHAnsi" w:hAnsiTheme="minorHAnsi"/>
                <w:sz w:val="22"/>
                <w:szCs w:val="22"/>
              </w:rPr>
            </w:pPr>
            <w:r w:rsidRPr="008D2A3E">
              <w:rPr>
                <w:rFonts w:asciiTheme="minorHAnsi" w:hAnsiTheme="minorHAnsi"/>
                <w:sz w:val="22"/>
                <w:szCs w:val="22"/>
              </w:rPr>
              <w:t>Always use condoms</w:t>
            </w:r>
          </w:p>
          <w:p w:rsidR="008A385E" w:rsidRPr="008D2A3E" w:rsidRDefault="008A385E" w:rsidP="00E73293">
            <w:pPr>
              <w:pStyle w:val="ListParagraph"/>
              <w:numPr>
                <w:ilvl w:val="1"/>
                <w:numId w:val="25"/>
              </w:numPr>
              <w:spacing w:before="0" w:line="259" w:lineRule="auto"/>
              <w:ind w:left="720"/>
              <w:rPr>
                <w:rFonts w:asciiTheme="minorHAnsi" w:hAnsiTheme="minorHAnsi"/>
                <w:sz w:val="22"/>
                <w:szCs w:val="22"/>
              </w:rPr>
            </w:pPr>
            <w:r w:rsidRPr="008D2A3E">
              <w:rPr>
                <w:rFonts w:asciiTheme="minorHAnsi" w:hAnsiTheme="minorHAnsi"/>
                <w:sz w:val="22"/>
                <w:szCs w:val="22"/>
              </w:rPr>
              <w:t>Birth control pill</w:t>
            </w:r>
          </w:p>
          <w:p w:rsidR="008A385E" w:rsidRPr="008D2A3E" w:rsidRDefault="008A385E" w:rsidP="00E73293">
            <w:pPr>
              <w:pStyle w:val="ListParagraph"/>
              <w:numPr>
                <w:ilvl w:val="1"/>
                <w:numId w:val="25"/>
              </w:numPr>
              <w:spacing w:before="0" w:line="259" w:lineRule="auto"/>
              <w:ind w:left="720"/>
              <w:rPr>
                <w:rFonts w:asciiTheme="minorHAnsi" w:hAnsiTheme="minorHAnsi"/>
                <w:sz w:val="22"/>
                <w:szCs w:val="22"/>
              </w:rPr>
            </w:pPr>
            <w:r w:rsidRPr="008D2A3E">
              <w:rPr>
                <w:rFonts w:asciiTheme="minorHAnsi" w:hAnsiTheme="minorHAnsi"/>
                <w:sz w:val="22"/>
                <w:szCs w:val="22"/>
              </w:rPr>
              <w:t>Didn’t have one available</w:t>
            </w:r>
          </w:p>
          <w:p w:rsidR="008A385E" w:rsidRPr="008D2A3E" w:rsidRDefault="008A385E" w:rsidP="00E73293">
            <w:pPr>
              <w:pStyle w:val="ListParagraph"/>
              <w:numPr>
                <w:ilvl w:val="1"/>
                <w:numId w:val="25"/>
              </w:numPr>
              <w:spacing w:before="0" w:line="259" w:lineRule="auto"/>
              <w:ind w:left="720"/>
              <w:rPr>
                <w:rFonts w:asciiTheme="minorHAnsi" w:hAnsiTheme="minorHAnsi"/>
                <w:sz w:val="22"/>
                <w:szCs w:val="22"/>
              </w:rPr>
            </w:pPr>
            <w:r w:rsidRPr="008D2A3E">
              <w:rPr>
                <w:rFonts w:asciiTheme="minorHAnsi" w:hAnsiTheme="minorHAnsi"/>
                <w:sz w:val="22"/>
                <w:szCs w:val="22"/>
              </w:rPr>
              <w:t>Latex allergy</w:t>
            </w:r>
          </w:p>
          <w:p w:rsidR="008A385E" w:rsidRDefault="008A385E" w:rsidP="008A385E">
            <w:pPr>
              <w:spacing w:before="0"/>
              <w:rPr>
                <w:sz w:val="22"/>
                <w:szCs w:val="22"/>
              </w:rPr>
            </w:pPr>
          </w:p>
        </w:tc>
        <w:tc>
          <w:tcPr>
            <w:tcW w:w="4788" w:type="dxa"/>
          </w:tcPr>
          <w:p w:rsidR="008A385E" w:rsidRPr="008D2A3E" w:rsidRDefault="008A385E" w:rsidP="008A385E">
            <w:pPr>
              <w:spacing w:before="0"/>
              <w:rPr>
                <w:rFonts w:asciiTheme="minorHAnsi" w:hAnsiTheme="minorHAnsi"/>
                <w:i/>
                <w:sz w:val="22"/>
                <w:szCs w:val="22"/>
              </w:rPr>
            </w:pPr>
            <w:r w:rsidRPr="008D2A3E">
              <w:rPr>
                <w:rFonts w:asciiTheme="minorHAnsi" w:hAnsiTheme="minorHAnsi"/>
                <w:i/>
                <w:sz w:val="22"/>
                <w:szCs w:val="22"/>
              </w:rPr>
              <w:t xml:space="preserve">Uncomfortable to talk about  </w:t>
            </w:r>
            <w:r w:rsidRPr="008D2A3E">
              <w:rPr>
                <w:rFonts w:asciiTheme="minorHAnsi" w:hAnsiTheme="minorHAnsi"/>
                <w:i/>
                <w:sz w:val="22"/>
                <w:szCs w:val="22"/>
              </w:rPr>
              <w:tab/>
            </w:r>
          </w:p>
          <w:p w:rsidR="008A385E" w:rsidRPr="008D2A3E" w:rsidRDefault="008A385E" w:rsidP="00E73293">
            <w:pPr>
              <w:pStyle w:val="ListParagraph"/>
              <w:numPr>
                <w:ilvl w:val="0"/>
                <w:numId w:val="23"/>
              </w:numPr>
              <w:spacing w:before="0" w:line="259" w:lineRule="auto"/>
              <w:rPr>
                <w:rFonts w:asciiTheme="minorHAnsi" w:hAnsiTheme="minorHAnsi"/>
                <w:sz w:val="22"/>
                <w:szCs w:val="22"/>
              </w:rPr>
            </w:pPr>
            <w:r w:rsidRPr="008D2A3E">
              <w:rPr>
                <w:rFonts w:asciiTheme="minorHAnsi" w:hAnsiTheme="minorHAnsi"/>
                <w:sz w:val="22"/>
                <w:szCs w:val="22"/>
              </w:rPr>
              <w:t>23%</w:t>
            </w:r>
            <w:r>
              <w:rPr>
                <w:rFonts w:asciiTheme="minorHAnsi" w:hAnsiTheme="minorHAnsi"/>
                <w:sz w:val="22"/>
                <w:szCs w:val="22"/>
              </w:rPr>
              <w:t xml:space="preserve"> </w:t>
            </w:r>
            <w:r w:rsidRPr="008D2A3E">
              <w:rPr>
                <w:rFonts w:asciiTheme="minorHAnsi" w:hAnsiTheme="minorHAnsi"/>
                <w:sz w:val="22"/>
                <w:szCs w:val="22"/>
              </w:rPr>
              <w:t>IDU</w:t>
            </w:r>
            <w:r w:rsidRPr="008D2A3E">
              <w:rPr>
                <w:rFonts w:asciiTheme="minorHAnsi" w:hAnsiTheme="minorHAnsi"/>
                <w:sz w:val="22"/>
                <w:szCs w:val="22"/>
              </w:rPr>
              <w:tab/>
            </w:r>
          </w:p>
          <w:p w:rsidR="008A385E" w:rsidRPr="008D2A3E" w:rsidRDefault="008A385E" w:rsidP="00E73293">
            <w:pPr>
              <w:pStyle w:val="ListParagraph"/>
              <w:numPr>
                <w:ilvl w:val="0"/>
                <w:numId w:val="23"/>
              </w:numPr>
              <w:spacing w:before="0" w:line="259" w:lineRule="auto"/>
              <w:rPr>
                <w:rFonts w:asciiTheme="minorHAnsi" w:hAnsiTheme="minorHAnsi"/>
                <w:sz w:val="22"/>
                <w:szCs w:val="22"/>
              </w:rPr>
            </w:pPr>
            <w:r w:rsidRPr="008D2A3E">
              <w:rPr>
                <w:rFonts w:asciiTheme="minorHAnsi" w:hAnsiTheme="minorHAnsi"/>
                <w:sz w:val="22"/>
                <w:szCs w:val="22"/>
              </w:rPr>
              <w:t>23%</w:t>
            </w:r>
            <w:r>
              <w:rPr>
                <w:rFonts w:asciiTheme="minorHAnsi" w:hAnsiTheme="minorHAnsi"/>
                <w:sz w:val="22"/>
                <w:szCs w:val="22"/>
              </w:rPr>
              <w:t xml:space="preserve"> </w:t>
            </w:r>
            <w:r w:rsidRPr="008D2A3E">
              <w:rPr>
                <w:rFonts w:asciiTheme="minorHAnsi" w:hAnsiTheme="minorHAnsi"/>
                <w:sz w:val="22"/>
                <w:szCs w:val="22"/>
              </w:rPr>
              <w:t>Trans M</w:t>
            </w:r>
            <w:r>
              <w:rPr>
                <w:rFonts w:asciiTheme="minorHAnsi" w:hAnsiTheme="minorHAnsi"/>
                <w:sz w:val="22"/>
                <w:szCs w:val="22"/>
              </w:rPr>
              <w:t xml:space="preserve"> </w:t>
            </w:r>
            <w:r w:rsidRPr="008D2A3E">
              <w:rPr>
                <w:rFonts w:asciiTheme="minorHAnsi" w:hAnsiTheme="minorHAnsi"/>
                <w:sz w:val="22"/>
                <w:szCs w:val="22"/>
              </w:rPr>
              <w:t>to</w:t>
            </w:r>
            <w:r>
              <w:rPr>
                <w:rFonts w:asciiTheme="minorHAnsi" w:hAnsiTheme="minorHAnsi"/>
                <w:sz w:val="22"/>
                <w:szCs w:val="22"/>
              </w:rPr>
              <w:t xml:space="preserve"> </w:t>
            </w:r>
            <w:r w:rsidRPr="008D2A3E">
              <w:rPr>
                <w:rFonts w:asciiTheme="minorHAnsi" w:hAnsiTheme="minorHAnsi"/>
                <w:sz w:val="22"/>
                <w:szCs w:val="22"/>
              </w:rPr>
              <w:t xml:space="preserve">F </w:t>
            </w:r>
          </w:p>
          <w:p w:rsidR="008A385E" w:rsidRPr="008D2A3E" w:rsidRDefault="008A385E" w:rsidP="008A385E">
            <w:pPr>
              <w:spacing w:before="0"/>
              <w:rPr>
                <w:rFonts w:asciiTheme="minorHAnsi" w:hAnsiTheme="minorHAnsi"/>
                <w:sz w:val="22"/>
                <w:szCs w:val="22"/>
              </w:rPr>
            </w:pPr>
            <w:r w:rsidRPr="008D2A3E">
              <w:rPr>
                <w:rFonts w:asciiTheme="minorHAnsi" w:hAnsiTheme="minorHAnsi"/>
                <w:i/>
                <w:sz w:val="22"/>
                <w:szCs w:val="22"/>
              </w:rPr>
              <w:t>Don’t like feeling</w:t>
            </w:r>
            <w:r w:rsidRPr="008D2A3E">
              <w:rPr>
                <w:rFonts w:asciiTheme="minorHAnsi" w:hAnsiTheme="minorHAnsi"/>
                <w:sz w:val="22"/>
                <w:szCs w:val="22"/>
              </w:rPr>
              <w:tab/>
            </w:r>
          </w:p>
          <w:p w:rsidR="008A385E" w:rsidRDefault="008A385E" w:rsidP="00E73293">
            <w:pPr>
              <w:pStyle w:val="ListParagraph"/>
              <w:numPr>
                <w:ilvl w:val="0"/>
                <w:numId w:val="24"/>
              </w:numPr>
              <w:spacing w:before="0" w:line="259" w:lineRule="auto"/>
              <w:rPr>
                <w:rFonts w:asciiTheme="minorHAnsi" w:hAnsiTheme="minorHAnsi"/>
                <w:sz w:val="22"/>
                <w:szCs w:val="22"/>
              </w:rPr>
            </w:pPr>
            <w:r w:rsidRPr="008D2A3E">
              <w:rPr>
                <w:rFonts w:asciiTheme="minorHAnsi" w:hAnsiTheme="minorHAnsi"/>
                <w:sz w:val="22"/>
                <w:szCs w:val="22"/>
              </w:rPr>
              <w:t>45%</w:t>
            </w:r>
            <w:r>
              <w:rPr>
                <w:rFonts w:asciiTheme="minorHAnsi" w:hAnsiTheme="minorHAnsi"/>
                <w:sz w:val="22"/>
                <w:szCs w:val="22"/>
              </w:rPr>
              <w:t xml:space="preserve"> </w:t>
            </w:r>
            <w:r w:rsidRPr="008D2A3E">
              <w:rPr>
                <w:rFonts w:asciiTheme="minorHAnsi" w:hAnsiTheme="minorHAnsi"/>
                <w:sz w:val="22"/>
                <w:szCs w:val="22"/>
              </w:rPr>
              <w:t>IDU</w:t>
            </w:r>
            <w:r w:rsidRPr="008D2A3E">
              <w:rPr>
                <w:rFonts w:asciiTheme="minorHAnsi" w:hAnsiTheme="minorHAnsi"/>
                <w:sz w:val="22"/>
                <w:szCs w:val="22"/>
              </w:rPr>
              <w:tab/>
            </w:r>
          </w:p>
          <w:p w:rsidR="008A385E" w:rsidRPr="008D2A3E" w:rsidRDefault="008A385E" w:rsidP="00E73293">
            <w:pPr>
              <w:pStyle w:val="ListParagraph"/>
              <w:numPr>
                <w:ilvl w:val="0"/>
                <w:numId w:val="24"/>
              </w:numPr>
              <w:spacing w:before="0" w:line="259" w:lineRule="auto"/>
              <w:rPr>
                <w:rFonts w:asciiTheme="minorHAnsi" w:hAnsiTheme="minorHAnsi"/>
                <w:sz w:val="22"/>
                <w:szCs w:val="22"/>
              </w:rPr>
            </w:pPr>
            <w:r w:rsidRPr="008D2A3E">
              <w:rPr>
                <w:sz w:val="22"/>
                <w:szCs w:val="22"/>
              </w:rPr>
              <w:t>41% Hetero</w:t>
            </w:r>
            <w:r>
              <w:rPr>
                <w:sz w:val="22"/>
                <w:szCs w:val="22"/>
              </w:rPr>
              <w:t>sexual</w:t>
            </w:r>
            <w:r w:rsidRPr="008D2A3E">
              <w:rPr>
                <w:sz w:val="22"/>
                <w:szCs w:val="22"/>
              </w:rPr>
              <w:t xml:space="preserve"> male</w:t>
            </w:r>
          </w:p>
        </w:tc>
      </w:tr>
    </w:tbl>
    <w:p w:rsidR="008A385E" w:rsidRPr="008D2A3E" w:rsidRDefault="008A385E" w:rsidP="008A385E">
      <w:pPr>
        <w:spacing w:before="0" w:after="0"/>
        <w:rPr>
          <w:rFonts w:cs="Arial"/>
          <w:b/>
          <w:bCs/>
          <w:color w:val="000000"/>
          <w:sz w:val="22"/>
          <w:szCs w:val="22"/>
        </w:rPr>
      </w:pPr>
      <w:r w:rsidRPr="008D2A3E">
        <w:rPr>
          <w:rFonts w:cs="Arial"/>
          <w:b/>
          <w:bCs/>
          <w:color w:val="000000"/>
          <w:sz w:val="22"/>
          <w:szCs w:val="22"/>
        </w:rPr>
        <w:t>Have you injected drugs in the past 12 months?</w:t>
      </w:r>
    </w:p>
    <w:p w:rsidR="008A385E" w:rsidRPr="008D2A3E" w:rsidRDefault="008A385E" w:rsidP="008A385E">
      <w:pPr>
        <w:spacing w:before="0" w:after="0"/>
        <w:rPr>
          <w:rFonts w:cs="Arial"/>
          <w:bCs/>
          <w:color w:val="000000"/>
          <w:sz w:val="22"/>
          <w:szCs w:val="22"/>
        </w:rPr>
      </w:pPr>
      <w:r w:rsidRPr="008D2A3E">
        <w:rPr>
          <w:rFonts w:cs="Arial"/>
          <w:bCs/>
          <w:color w:val="000000"/>
          <w:sz w:val="22"/>
          <w:szCs w:val="22"/>
        </w:rPr>
        <w:t>6%</w:t>
      </w:r>
      <w:r>
        <w:rPr>
          <w:rFonts w:cs="Arial"/>
          <w:bCs/>
          <w:color w:val="000000"/>
          <w:sz w:val="22"/>
          <w:szCs w:val="22"/>
        </w:rPr>
        <w:t xml:space="preserve"> of the sample was</w:t>
      </w:r>
      <w:r w:rsidRPr="008D2A3E">
        <w:rPr>
          <w:rFonts w:cs="Arial"/>
          <w:bCs/>
          <w:color w:val="000000"/>
          <w:sz w:val="22"/>
          <w:szCs w:val="22"/>
        </w:rPr>
        <w:t xml:space="preserve"> IDU (N=90)</w:t>
      </w:r>
    </w:p>
    <w:p w:rsidR="008A385E" w:rsidRPr="008D2A3E" w:rsidRDefault="008A385E" w:rsidP="008A385E">
      <w:pPr>
        <w:spacing w:before="0" w:after="0"/>
        <w:rPr>
          <w:rFonts w:cs="Arial"/>
          <w:bCs/>
          <w:color w:val="000000"/>
          <w:sz w:val="22"/>
          <w:szCs w:val="22"/>
        </w:rPr>
      </w:pPr>
      <w:r w:rsidRPr="008D2A3E">
        <w:rPr>
          <w:rFonts w:cs="Arial"/>
          <w:bCs/>
          <w:color w:val="000000"/>
          <w:sz w:val="22"/>
          <w:szCs w:val="22"/>
        </w:rPr>
        <w:t>Of IDU</w:t>
      </w:r>
      <w:r>
        <w:rPr>
          <w:rFonts w:cs="Arial"/>
          <w:bCs/>
          <w:color w:val="000000"/>
          <w:sz w:val="22"/>
          <w:szCs w:val="22"/>
        </w:rPr>
        <w:t>:</w:t>
      </w:r>
    </w:p>
    <w:p w:rsidR="008A385E" w:rsidRPr="008D2A3E" w:rsidRDefault="008A385E" w:rsidP="00E73293">
      <w:pPr>
        <w:pStyle w:val="ListParagraph"/>
        <w:numPr>
          <w:ilvl w:val="0"/>
          <w:numId w:val="26"/>
        </w:numPr>
        <w:spacing w:before="0" w:after="0" w:line="259" w:lineRule="auto"/>
        <w:rPr>
          <w:sz w:val="22"/>
          <w:szCs w:val="22"/>
        </w:rPr>
      </w:pPr>
      <w:r w:rsidRPr="008D2A3E">
        <w:rPr>
          <w:sz w:val="22"/>
          <w:szCs w:val="22"/>
        </w:rPr>
        <w:t>51% had shared needles/works without bleaching</w:t>
      </w:r>
    </w:p>
    <w:p w:rsidR="008A385E" w:rsidRPr="008D2A3E" w:rsidRDefault="008A385E" w:rsidP="00E73293">
      <w:pPr>
        <w:pStyle w:val="ListParagraph"/>
        <w:numPr>
          <w:ilvl w:val="0"/>
          <w:numId w:val="26"/>
        </w:numPr>
        <w:spacing w:before="0" w:after="0" w:line="259" w:lineRule="auto"/>
        <w:rPr>
          <w:sz w:val="22"/>
          <w:szCs w:val="22"/>
        </w:rPr>
      </w:pPr>
      <w:r w:rsidRPr="008D2A3E">
        <w:rPr>
          <w:sz w:val="22"/>
          <w:szCs w:val="22"/>
        </w:rPr>
        <w:t>40% had shared needles for tattoos/piercing with someone who I believe uses drugs</w:t>
      </w:r>
    </w:p>
    <w:p w:rsidR="008A385E" w:rsidRPr="008D2A3E" w:rsidRDefault="008A385E" w:rsidP="00E73293">
      <w:pPr>
        <w:pStyle w:val="ListParagraph"/>
        <w:numPr>
          <w:ilvl w:val="0"/>
          <w:numId w:val="26"/>
        </w:numPr>
        <w:spacing w:before="0" w:after="0" w:line="259" w:lineRule="auto"/>
        <w:rPr>
          <w:sz w:val="22"/>
          <w:szCs w:val="22"/>
        </w:rPr>
      </w:pPr>
      <w:r w:rsidRPr="008D2A3E">
        <w:rPr>
          <w:sz w:val="22"/>
          <w:szCs w:val="22"/>
        </w:rPr>
        <w:t>27% had shared a cooker, cotton or rinse water</w:t>
      </w:r>
    </w:p>
    <w:p w:rsidR="008A385E" w:rsidRPr="008D2A3E" w:rsidRDefault="008A385E" w:rsidP="008A385E">
      <w:pPr>
        <w:spacing w:before="0" w:after="0"/>
        <w:rPr>
          <w:sz w:val="22"/>
          <w:szCs w:val="22"/>
        </w:rPr>
      </w:pPr>
    </w:p>
    <w:p w:rsidR="008A385E" w:rsidRPr="008D2A3E" w:rsidRDefault="008A385E" w:rsidP="008A385E">
      <w:pPr>
        <w:spacing w:before="0" w:after="0"/>
        <w:rPr>
          <w:b/>
          <w:sz w:val="22"/>
          <w:szCs w:val="22"/>
        </w:rPr>
      </w:pPr>
      <w:r w:rsidRPr="008D2A3E">
        <w:rPr>
          <w:b/>
          <w:sz w:val="22"/>
          <w:szCs w:val="22"/>
        </w:rPr>
        <w:t>HIV Testing</w:t>
      </w:r>
    </w:p>
    <w:p w:rsidR="008A385E" w:rsidRPr="008D2A3E" w:rsidRDefault="008A385E" w:rsidP="008A385E">
      <w:pPr>
        <w:spacing w:before="0" w:after="0"/>
        <w:rPr>
          <w:sz w:val="22"/>
          <w:szCs w:val="22"/>
        </w:rPr>
      </w:pPr>
    </w:p>
    <w:p w:rsidR="008A385E" w:rsidRDefault="008A385E" w:rsidP="008A385E">
      <w:pPr>
        <w:spacing w:before="0" w:after="0"/>
        <w:rPr>
          <w:sz w:val="22"/>
          <w:szCs w:val="22"/>
        </w:rPr>
      </w:pPr>
      <w:r w:rsidRPr="008D2A3E">
        <w:rPr>
          <w:sz w:val="22"/>
          <w:szCs w:val="22"/>
        </w:rPr>
        <w:t>47% had ever been tested for HIV</w:t>
      </w:r>
      <w:r>
        <w:rPr>
          <w:sz w:val="22"/>
          <w:szCs w:val="22"/>
        </w:rPr>
        <w:t>.</w:t>
      </w:r>
      <w:r w:rsidRPr="008D2A3E">
        <w:rPr>
          <w:sz w:val="22"/>
          <w:szCs w:val="22"/>
        </w:rPr>
        <w:tab/>
      </w:r>
      <w:r w:rsidRPr="008D2A3E">
        <w:rPr>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83"/>
      </w:tblGrid>
      <w:tr w:rsidR="008A385E" w:rsidTr="008A385E">
        <w:tc>
          <w:tcPr>
            <w:tcW w:w="4788" w:type="dxa"/>
          </w:tcPr>
          <w:p w:rsidR="008A385E" w:rsidRPr="008D2A3E" w:rsidRDefault="008A385E" w:rsidP="00E73293">
            <w:pPr>
              <w:pStyle w:val="ListParagraph"/>
              <w:numPr>
                <w:ilvl w:val="0"/>
                <w:numId w:val="27"/>
              </w:numPr>
              <w:spacing w:before="0" w:line="259" w:lineRule="auto"/>
              <w:rPr>
                <w:rFonts w:asciiTheme="minorHAnsi" w:hAnsiTheme="minorHAnsi"/>
                <w:sz w:val="22"/>
                <w:szCs w:val="22"/>
              </w:rPr>
            </w:pPr>
            <w:r w:rsidRPr="008D2A3E">
              <w:rPr>
                <w:rFonts w:asciiTheme="minorHAnsi" w:hAnsiTheme="minorHAnsi"/>
                <w:sz w:val="22"/>
                <w:szCs w:val="22"/>
              </w:rPr>
              <w:t>38% 24 years and under</w:t>
            </w:r>
            <w:r w:rsidRPr="008D2A3E">
              <w:rPr>
                <w:rFonts w:asciiTheme="minorHAnsi" w:hAnsiTheme="minorHAnsi"/>
                <w:sz w:val="22"/>
                <w:szCs w:val="22"/>
              </w:rPr>
              <w:tab/>
            </w:r>
          </w:p>
          <w:p w:rsidR="008A385E" w:rsidRPr="008D2A3E" w:rsidRDefault="008A385E" w:rsidP="00E73293">
            <w:pPr>
              <w:pStyle w:val="ListParagraph"/>
              <w:numPr>
                <w:ilvl w:val="0"/>
                <w:numId w:val="27"/>
              </w:numPr>
              <w:spacing w:before="0" w:line="259" w:lineRule="auto"/>
              <w:rPr>
                <w:rFonts w:asciiTheme="minorHAnsi" w:hAnsiTheme="minorHAnsi"/>
                <w:sz w:val="22"/>
                <w:szCs w:val="22"/>
              </w:rPr>
            </w:pPr>
            <w:r w:rsidRPr="008D2A3E">
              <w:rPr>
                <w:rFonts w:asciiTheme="minorHAnsi" w:hAnsiTheme="minorHAnsi"/>
                <w:sz w:val="22"/>
                <w:szCs w:val="22"/>
              </w:rPr>
              <w:t>37% IDU</w:t>
            </w:r>
            <w:r w:rsidRPr="008D2A3E">
              <w:rPr>
                <w:rFonts w:asciiTheme="minorHAnsi" w:hAnsiTheme="minorHAnsi"/>
                <w:sz w:val="22"/>
                <w:szCs w:val="22"/>
              </w:rPr>
              <w:tab/>
            </w:r>
          </w:p>
          <w:p w:rsidR="008A385E" w:rsidRPr="008D2A3E" w:rsidRDefault="008A385E" w:rsidP="00E73293">
            <w:pPr>
              <w:pStyle w:val="ListParagraph"/>
              <w:numPr>
                <w:ilvl w:val="0"/>
                <w:numId w:val="27"/>
              </w:numPr>
              <w:spacing w:before="0" w:line="259" w:lineRule="auto"/>
              <w:rPr>
                <w:rFonts w:asciiTheme="minorHAnsi" w:hAnsiTheme="minorHAnsi"/>
                <w:sz w:val="22"/>
                <w:szCs w:val="22"/>
              </w:rPr>
            </w:pPr>
            <w:r w:rsidRPr="008D2A3E">
              <w:rPr>
                <w:rFonts w:asciiTheme="minorHAnsi" w:hAnsiTheme="minorHAnsi"/>
                <w:sz w:val="22"/>
                <w:szCs w:val="22"/>
              </w:rPr>
              <w:t xml:space="preserve">66% MSM </w:t>
            </w:r>
          </w:p>
          <w:p w:rsidR="008A385E" w:rsidRDefault="008A385E" w:rsidP="008A385E">
            <w:pPr>
              <w:spacing w:before="0"/>
              <w:rPr>
                <w:sz w:val="22"/>
                <w:szCs w:val="22"/>
              </w:rPr>
            </w:pPr>
          </w:p>
        </w:tc>
        <w:tc>
          <w:tcPr>
            <w:tcW w:w="4788" w:type="dxa"/>
          </w:tcPr>
          <w:p w:rsidR="008A385E" w:rsidRPr="008D2A3E" w:rsidRDefault="008A385E" w:rsidP="00E73293">
            <w:pPr>
              <w:pStyle w:val="ListParagraph"/>
              <w:numPr>
                <w:ilvl w:val="0"/>
                <w:numId w:val="27"/>
              </w:numPr>
              <w:spacing w:before="0" w:line="259" w:lineRule="auto"/>
              <w:rPr>
                <w:rFonts w:asciiTheme="minorHAnsi" w:hAnsiTheme="minorHAnsi"/>
                <w:sz w:val="22"/>
                <w:szCs w:val="22"/>
              </w:rPr>
            </w:pPr>
            <w:r w:rsidRPr="008D2A3E">
              <w:rPr>
                <w:rFonts w:asciiTheme="minorHAnsi" w:hAnsiTheme="minorHAnsi"/>
                <w:sz w:val="22"/>
                <w:szCs w:val="22"/>
              </w:rPr>
              <w:t>39% API</w:t>
            </w:r>
            <w:r w:rsidRPr="008D2A3E">
              <w:rPr>
                <w:rFonts w:asciiTheme="minorHAnsi" w:hAnsiTheme="minorHAnsi"/>
                <w:sz w:val="22"/>
                <w:szCs w:val="22"/>
              </w:rPr>
              <w:tab/>
            </w:r>
          </w:p>
          <w:p w:rsidR="008A385E" w:rsidRPr="008D2A3E" w:rsidRDefault="008A385E" w:rsidP="00E73293">
            <w:pPr>
              <w:pStyle w:val="ListParagraph"/>
              <w:numPr>
                <w:ilvl w:val="0"/>
                <w:numId w:val="27"/>
              </w:numPr>
              <w:spacing w:before="0" w:line="259" w:lineRule="auto"/>
              <w:rPr>
                <w:rFonts w:asciiTheme="minorHAnsi" w:hAnsiTheme="minorHAnsi"/>
                <w:sz w:val="22"/>
                <w:szCs w:val="22"/>
              </w:rPr>
            </w:pPr>
            <w:r w:rsidRPr="008D2A3E">
              <w:rPr>
                <w:rFonts w:asciiTheme="minorHAnsi" w:hAnsiTheme="minorHAnsi"/>
                <w:sz w:val="22"/>
                <w:szCs w:val="22"/>
              </w:rPr>
              <w:t>37% Native American</w:t>
            </w:r>
          </w:p>
        </w:tc>
      </w:tr>
    </w:tbl>
    <w:p w:rsidR="008A385E" w:rsidRPr="008D2A3E" w:rsidRDefault="008A385E" w:rsidP="008A385E">
      <w:pPr>
        <w:spacing w:before="0" w:after="0"/>
        <w:rPr>
          <w:b/>
          <w:sz w:val="22"/>
          <w:szCs w:val="22"/>
        </w:rPr>
      </w:pPr>
      <w:r w:rsidRPr="008D2A3E">
        <w:rPr>
          <w:b/>
          <w:sz w:val="22"/>
          <w:szCs w:val="22"/>
        </w:rPr>
        <w:t>Top reasons for not being tested</w:t>
      </w:r>
    </w:p>
    <w:p w:rsidR="008A385E" w:rsidRPr="008D2A3E" w:rsidRDefault="008A385E" w:rsidP="008A385E">
      <w:pPr>
        <w:spacing w:before="0" w:after="0"/>
        <w:rPr>
          <w:sz w:val="22"/>
          <w:szCs w:val="22"/>
        </w:rPr>
      </w:pPr>
      <w:r w:rsidRPr="008D2A3E">
        <w:rPr>
          <w:i/>
          <w:sz w:val="22"/>
          <w:szCs w:val="22"/>
        </w:rPr>
        <w:t>“I have not been exposed to HIV”</w:t>
      </w:r>
      <w:r w:rsidRPr="008D2A3E">
        <w:rPr>
          <w:sz w:val="22"/>
          <w:szCs w:val="22"/>
        </w:rPr>
        <w:t xml:space="preserve"> 50%</w:t>
      </w:r>
    </w:p>
    <w:p w:rsidR="008A385E" w:rsidRPr="008D2A3E" w:rsidRDefault="008A385E" w:rsidP="008A385E">
      <w:pPr>
        <w:spacing w:before="0" w:after="0"/>
        <w:rPr>
          <w:sz w:val="22"/>
          <w:szCs w:val="22"/>
        </w:rPr>
      </w:pPr>
      <w:r w:rsidRPr="008D2A3E">
        <w:rPr>
          <w:i/>
          <w:sz w:val="22"/>
          <w:szCs w:val="22"/>
        </w:rPr>
        <w:t>“I never really thought about getting tested”</w:t>
      </w:r>
      <w:r w:rsidRPr="008D2A3E">
        <w:rPr>
          <w:sz w:val="22"/>
          <w:szCs w:val="22"/>
        </w:rPr>
        <w:t xml:space="preserve"> 41%</w:t>
      </w:r>
    </w:p>
    <w:p w:rsidR="008A385E" w:rsidRPr="008D2A3E" w:rsidRDefault="008A385E" w:rsidP="008A385E">
      <w:pPr>
        <w:spacing w:before="0" w:after="0"/>
        <w:rPr>
          <w:sz w:val="22"/>
          <w:szCs w:val="22"/>
        </w:rPr>
      </w:pPr>
      <w:r>
        <w:rPr>
          <w:i/>
          <w:sz w:val="22"/>
          <w:szCs w:val="22"/>
        </w:rPr>
        <w:t>“</w:t>
      </w:r>
      <w:r w:rsidRPr="008D2A3E">
        <w:rPr>
          <w:i/>
          <w:sz w:val="22"/>
          <w:szCs w:val="22"/>
        </w:rPr>
        <w:t>I was afraid of finding out I am HIV positive</w:t>
      </w:r>
      <w:r>
        <w:rPr>
          <w:i/>
          <w:sz w:val="22"/>
          <w:szCs w:val="22"/>
        </w:rPr>
        <w:t>”</w:t>
      </w:r>
      <w:r w:rsidRPr="008D2A3E">
        <w:rPr>
          <w:sz w:val="22"/>
          <w:szCs w:val="22"/>
        </w:rPr>
        <w:tab/>
      </w:r>
      <w:r w:rsidRPr="008D2A3E">
        <w:rPr>
          <w:sz w:val="22"/>
          <w:szCs w:val="22"/>
        </w:rPr>
        <w:tab/>
      </w:r>
      <w:r w:rsidRPr="008D2A3E">
        <w:rPr>
          <w:sz w:val="22"/>
          <w:szCs w:val="22"/>
        </w:rPr>
        <w:tab/>
      </w:r>
    </w:p>
    <w:p w:rsidR="008A385E" w:rsidRPr="008D2A3E" w:rsidRDefault="008A385E" w:rsidP="00E73293">
      <w:pPr>
        <w:pStyle w:val="ListParagraph"/>
        <w:numPr>
          <w:ilvl w:val="0"/>
          <w:numId w:val="29"/>
        </w:numPr>
        <w:spacing w:before="0" w:after="0" w:line="259" w:lineRule="auto"/>
        <w:rPr>
          <w:sz w:val="22"/>
          <w:szCs w:val="22"/>
        </w:rPr>
      </w:pPr>
      <w:r w:rsidRPr="008D2A3E">
        <w:rPr>
          <w:sz w:val="22"/>
          <w:szCs w:val="22"/>
        </w:rPr>
        <w:t>MSM 32%</w:t>
      </w:r>
      <w:r w:rsidRPr="008D2A3E">
        <w:rPr>
          <w:sz w:val="22"/>
          <w:szCs w:val="22"/>
        </w:rPr>
        <w:tab/>
      </w:r>
    </w:p>
    <w:p w:rsidR="008A385E" w:rsidRPr="008D2A3E" w:rsidRDefault="008A385E" w:rsidP="00E73293">
      <w:pPr>
        <w:pStyle w:val="ListParagraph"/>
        <w:numPr>
          <w:ilvl w:val="0"/>
          <w:numId w:val="29"/>
        </w:numPr>
        <w:spacing w:before="0" w:after="0" w:line="259" w:lineRule="auto"/>
        <w:rPr>
          <w:sz w:val="22"/>
          <w:szCs w:val="22"/>
        </w:rPr>
      </w:pPr>
      <w:r w:rsidRPr="008D2A3E">
        <w:rPr>
          <w:sz w:val="22"/>
          <w:szCs w:val="22"/>
        </w:rPr>
        <w:t>Trans</w:t>
      </w:r>
      <w:r>
        <w:rPr>
          <w:sz w:val="22"/>
          <w:szCs w:val="22"/>
        </w:rPr>
        <w:t xml:space="preserve">gender </w:t>
      </w:r>
      <w:r w:rsidRPr="008D2A3E">
        <w:rPr>
          <w:sz w:val="22"/>
          <w:szCs w:val="22"/>
        </w:rPr>
        <w:t>M</w:t>
      </w:r>
      <w:r>
        <w:rPr>
          <w:sz w:val="22"/>
          <w:szCs w:val="22"/>
        </w:rPr>
        <w:t xml:space="preserve"> </w:t>
      </w:r>
      <w:r w:rsidRPr="008D2A3E">
        <w:rPr>
          <w:sz w:val="22"/>
          <w:szCs w:val="22"/>
        </w:rPr>
        <w:t>to</w:t>
      </w:r>
      <w:r>
        <w:rPr>
          <w:sz w:val="22"/>
          <w:szCs w:val="22"/>
        </w:rPr>
        <w:t xml:space="preserve"> </w:t>
      </w:r>
      <w:r w:rsidRPr="008D2A3E">
        <w:rPr>
          <w:sz w:val="22"/>
          <w:szCs w:val="22"/>
        </w:rPr>
        <w:t>F 43%</w:t>
      </w:r>
    </w:p>
    <w:p w:rsidR="008A385E" w:rsidRPr="008D2A3E" w:rsidRDefault="008A385E" w:rsidP="008A385E">
      <w:pPr>
        <w:spacing w:before="0" w:after="0"/>
        <w:rPr>
          <w:sz w:val="22"/>
          <w:szCs w:val="22"/>
        </w:rPr>
      </w:pPr>
      <w:r w:rsidRPr="008D2A3E">
        <w:rPr>
          <w:i/>
          <w:sz w:val="22"/>
          <w:szCs w:val="22"/>
        </w:rPr>
        <w:t>“I thought I was HIV Negative”</w:t>
      </w:r>
      <w:r w:rsidRPr="008D2A3E">
        <w:rPr>
          <w:sz w:val="22"/>
          <w:szCs w:val="22"/>
        </w:rPr>
        <w:t xml:space="preserve"> 14%</w:t>
      </w:r>
    </w:p>
    <w:p w:rsidR="008A385E" w:rsidRPr="008D2A3E" w:rsidRDefault="008A385E" w:rsidP="008A385E">
      <w:pPr>
        <w:spacing w:before="0" w:after="0"/>
        <w:rPr>
          <w:sz w:val="22"/>
          <w:szCs w:val="22"/>
        </w:rPr>
      </w:pPr>
      <w:r w:rsidRPr="008D2A3E">
        <w:rPr>
          <w:i/>
          <w:sz w:val="22"/>
          <w:szCs w:val="22"/>
        </w:rPr>
        <w:t xml:space="preserve">Cost </w:t>
      </w:r>
      <w:r w:rsidRPr="008D2A3E">
        <w:rPr>
          <w:sz w:val="22"/>
          <w:szCs w:val="22"/>
        </w:rPr>
        <w:t>13%</w:t>
      </w:r>
      <w:r w:rsidRPr="008D2A3E">
        <w:rPr>
          <w:sz w:val="22"/>
          <w:szCs w:val="22"/>
        </w:rPr>
        <w:tab/>
      </w:r>
      <w:r w:rsidRPr="008D2A3E">
        <w:rPr>
          <w:sz w:val="22"/>
          <w:szCs w:val="22"/>
        </w:rPr>
        <w:tab/>
      </w:r>
    </w:p>
    <w:p w:rsidR="008A385E" w:rsidRPr="008D2A3E" w:rsidRDefault="008A385E" w:rsidP="00E73293">
      <w:pPr>
        <w:pStyle w:val="ListParagraph"/>
        <w:numPr>
          <w:ilvl w:val="0"/>
          <w:numId w:val="28"/>
        </w:numPr>
        <w:spacing w:before="0" w:after="0" w:line="259" w:lineRule="auto"/>
        <w:rPr>
          <w:sz w:val="22"/>
          <w:szCs w:val="22"/>
        </w:rPr>
      </w:pPr>
      <w:r w:rsidRPr="008D2A3E">
        <w:rPr>
          <w:sz w:val="22"/>
          <w:szCs w:val="22"/>
        </w:rPr>
        <w:t>IDU 45%</w:t>
      </w:r>
      <w:r w:rsidRPr="008D2A3E">
        <w:rPr>
          <w:sz w:val="22"/>
          <w:szCs w:val="22"/>
        </w:rPr>
        <w:tab/>
      </w:r>
    </w:p>
    <w:p w:rsidR="008A385E" w:rsidRPr="008D2A3E" w:rsidRDefault="008A385E" w:rsidP="00E73293">
      <w:pPr>
        <w:pStyle w:val="ListParagraph"/>
        <w:numPr>
          <w:ilvl w:val="0"/>
          <w:numId w:val="28"/>
        </w:numPr>
        <w:spacing w:before="0" w:after="0" w:line="259" w:lineRule="auto"/>
        <w:rPr>
          <w:sz w:val="22"/>
          <w:szCs w:val="22"/>
        </w:rPr>
      </w:pPr>
      <w:r w:rsidRPr="008D2A3E">
        <w:rPr>
          <w:sz w:val="22"/>
          <w:szCs w:val="22"/>
        </w:rPr>
        <w:t>MSM 27%</w:t>
      </w:r>
      <w:r w:rsidRPr="008D2A3E">
        <w:rPr>
          <w:sz w:val="22"/>
          <w:szCs w:val="22"/>
        </w:rPr>
        <w:tab/>
      </w:r>
    </w:p>
    <w:p w:rsidR="008A385E" w:rsidRPr="008D2A3E" w:rsidRDefault="008A385E" w:rsidP="00E73293">
      <w:pPr>
        <w:pStyle w:val="ListParagraph"/>
        <w:numPr>
          <w:ilvl w:val="0"/>
          <w:numId w:val="28"/>
        </w:numPr>
        <w:spacing w:before="0" w:after="0" w:line="259" w:lineRule="auto"/>
        <w:rPr>
          <w:sz w:val="22"/>
          <w:szCs w:val="22"/>
        </w:rPr>
      </w:pPr>
      <w:r w:rsidRPr="008D2A3E">
        <w:rPr>
          <w:sz w:val="22"/>
          <w:szCs w:val="22"/>
        </w:rPr>
        <w:t>AA19%</w:t>
      </w:r>
      <w:r w:rsidRPr="008D2A3E">
        <w:rPr>
          <w:sz w:val="22"/>
          <w:szCs w:val="22"/>
        </w:rPr>
        <w:tab/>
      </w:r>
      <w:r w:rsidRPr="008D2A3E">
        <w:rPr>
          <w:sz w:val="22"/>
          <w:szCs w:val="22"/>
        </w:rPr>
        <w:tab/>
      </w:r>
    </w:p>
    <w:p w:rsidR="008A385E" w:rsidRPr="008D2A3E" w:rsidRDefault="008A385E" w:rsidP="00E73293">
      <w:pPr>
        <w:pStyle w:val="ListParagraph"/>
        <w:numPr>
          <w:ilvl w:val="0"/>
          <w:numId w:val="28"/>
        </w:numPr>
        <w:spacing w:before="0" w:after="0" w:line="259" w:lineRule="auto"/>
        <w:rPr>
          <w:sz w:val="22"/>
          <w:szCs w:val="22"/>
        </w:rPr>
      </w:pPr>
      <w:r w:rsidRPr="008D2A3E">
        <w:rPr>
          <w:sz w:val="22"/>
          <w:szCs w:val="22"/>
        </w:rPr>
        <w:t>API 20%</w:t>
      </w:r>
    </w:p>
    <w:p w:rsidR="008A385E" w:rsidRPr="008D2A3E" w:rsidRDefault="008A385E" w:rsidP="00E73293">
      <w:pPr>
        <w:pStyle w:val="ListParagraph"/>
        <w:numPr>
          <w:ilvl w:val="0"/>
          <w:numId w:val="28"/>
        </w:numPr>
        <w:spacing w:before="0" w:after="0" w:line="259" w:lineRule="auto"/>
        <w:rPr>
          <w:sz w:val="22"/>
          <w:szCs w:val="22"/>
        </w:rPr>
      </w:pPr>
      <w:r w:rsidRPr="008D2A3E">
        <w:rPr>
          <w:sz w:val="22"/>
          <w:szCs w:val="22"/>
        </w:rPr>
        <w:t>Native American 27%</w:t>
      </w:r>
    </w:p>
    <w:p w:rsidR="008A385E" w:rsidRPr="008D2A3E" w:rsidRDefault="008A385E" w:rsidP="008A385E">
      <w:pPr>
        <w:spacing w:before="0" w:after="0"/>
        <w:rPr>
          <w:sz w:val="22"/>
          <w:szCs w:val="22"/>
        </w:rPr>
      </w:pPr>
      <w:r w:rsidRPr="008D2A3E">
        <w:rPr>
          <w:i/>
          <w:sz w:val="22"/>
          <w:szCs w:val="22"/>
        </w:rPr>
        <w:t>Takes too much time</w:t>
      </w:r>
      <w:r w:rsidRPr="008D2A3E">
        <w:rPr>
          <w:sz w:val="22"/>
          <w:szCs w:val="22"/>
        </w:rPr>
        <w:t xml:space="preserve"> </w:t>
      </w:r>
      <w:r w:rsidRPr="008D2A3E">
        <w:rPr>
          <w:sz w:val="22"/>
          <w:szCs w:val="22"/>
        </w:rPr>
        <w:tab/>
        <w:t>10%</w:t>
      </w:r>
      <w:r w:rsidRPr="008D2A3E">
        <w:rPr>
          <w:sz w:val="22"/>
          <w:szCs w:val="22"/>
        </w:rPr>
        <w:tab/>
      </w:r>
      <w:r w:rsidRPr="008D2A3E">
        <w:rPr>
          <w:sz w:val="22"/>
          <w:szCs w:val="22"/>
        </w:rPr>
        <w:tab/>
      </w:r>
      <w:r w:rsidRPr="008D2A3E">
        <w:rPr>
          <w:sz w:val="22"/>
          <w:szCs w:val="22"/>
        </w:rPr>
        <w:tab/>
      </w:r>
    </w:p>
    <w:p w:rsidR="008A385E" w:rsidRPr="008D2A3E" w:rsidRDefault="008A385E" w:rsidP="00E73293">
      <w:pPr>
        <w:pStyle w:val="ListParagraph"/>
        <w:numPr>
          <w:ilvl w:val="0"/>
          <w:numId w:val="30"/>
        </w:numPr>
        <w:spacing w:before="0" w:after="0" w:line="259" w:lineRule="auto"/>
        <w:rPr>
          <w:sz w:val="22"/>
          <w:szCs w:val="22"/>
        </w:rPr>
      </w:pPr>
      <w:r w:rsidRPr="008D2A3E">
        <w:rPr>
          <w:sz w:val="22"/>
          <w:szCs w:val="22"/>
        </w:rPr>
        <w:t>IDU 34%</w:t>
      </w:r>
      <w:r w:rsidRPr="008D2A3E">
        <w:rPr>
          <w:sz w:val="22"/>
          <w:szCs w:val="22"/>
        </w:rPr>
        <w:tab/>
      </w:r>
    </w:p>
    <w:p w:rsidR="008A385E" w:rsidRPr="008D2A3E" w:rsidRDefault="008A385E" w:rsidP="00E73293">
      <w:pPr>
        <w:pStyle w:val="ListParagraph"/>
        <w:numPr>
          <w:ilvl w:val="0"/>
          <w:numId w:val="30"/>
        </w:numPr>
        <w:spacing w:before="0" w:after="0" w:line="259" w:lineRule="auto"/>
        <w:rPr>
          <w:sz w:val="22"/>
          <w:szCs w:val="22"/>
        </w:rPr>
      </w:pPr>
      <w:r w:rsidRPr="008D2A3E">
        <w:rPr>
          <w:sz w:val="22"/>
          <w:szCs w:val="22"/>
        </w:rPr>
        <w:lastRenderedPageBreak/>
        <w:t>MSM 24%</w:t>
      </w:r>
      <w:r w:rsidRPr="008D2A3E">
        <w:rPr>
          <w:sz w:val="22"/>
          <w:szCs w:val="22"/>
        </w:rPr>
        <w:tab/>
      </w:r>
    </w:p>
    <w:p w:rsidR="008A385E" w:rsidRPr="008D2A3E" w:rsidRDefault="008A385E" w:rsidP="00E73293">
      <w:pPr>
        <w:pStyle w:val="ListParagraph"/>
        <w:numPr>
          <w:ilvl w:val="0"/>
          <w:numId w:val="30"/>
        </w:numPr>
        <w:spacing w:before="0" w:after="0" w:line="259" w:lineRule="auto"/>
        <w:rPr>
          <w:sz w:val="22"/>
          <w:szCs w:val="22"/>
        </w:rPr>
      </w:pPr>
      <w:r w:rsidRPr="008D2A3E">
        <w:rPr>
          <w:sz w:val="22"/>
          <w:szCs w:val="22"/>
        </w:rPr>
        <w:t>Native American 23%</w:t>
      </w:r>
    </w:p>
    <w:p w:rsidR="008A385E" w:rsidRPr="008D2A3E" w:rsidRDefault="008A385E" w:rsidP="008A385E">
      <w:pPr>
        <w:spacing w:before="0" w:after="0"/>
        <w:rPr>
          <w:sz w:val="22"/>
          <w:szCs w:val="22"/>
        </w:rPr>
      </w:pPr>
    </w:p>
    <w:p w:rsidR="008A385E" w:rsidRPr="008D2A3E" w:rsidRDefault="008A385E" w:rsidP="008A385E">
      <w:pPr>
        <w:spacing w:before="0" w:after="0"/>
        <w:rPr>
          <w:b/>
          <w:i/>
          <w:sz w:val="22"/>
          <w:szCs w:val="22"/>
        </w:rPr>
      </w:pPr>
      <w:r w:rsidRPr="008D2A3E">
        <w:rPr>
          <w:b/>
          <w:i/>
          <w:sz w:val="22"/>
          <w:szCs w:val="22"/>
        </w:rPr>
        <w:t>If had a question about HIV/AIDS, where would they go to seek HIV/AIDS information:</w:t>
      </w:r>
    </w:p>
    <w:p w:rsidR="008A385E" w:rsidRPr="008D2A3E" w:rsidRDefault="008A385E" w:rsidP="008A385E">
      <w:pPr>
        <w:spacing w:before="0" w:after="0"/>
        <w:rPr>
          <w:i/>
          <w:sz w:val="22"/>
          <w:szCs w:val="22"/>
        </w:rPr>
      </w:pPr>
      <w:r w:rsidRPr="008D2A3E">
        <w:rPr>
          <w:noProof/>
          <w:sz w:val="22"/>
          <w:szCs w:val="22"/>
        </w:rPr>
        <w:drawing>
          <wp:inline distT="0" distB="0" distL="0" distR="0" wp14:anchorId="34B1ACE0" wp14:editId="1F41D289">
            <wp:extent cx="5939624" cy="2456953"/>
            <wp:effectExtent l="0" t="0" r="4445" b="63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A385E" w:rsidTr="008A385E">
        <w:tc>
          <w:tcPr>
            <w:tcW w:w="4788" w:type="dxa"/>
          </w:tcPr>
          <w:p w:rsidR="008A385E" w:rsidRPr="008D2A3E" w:rsidRDefault="008A385E" w:rsidP="008A385E">
            <w:pPr>
              <w:spacing w:before="0"/>
              <w:rPr>
                <w:rFonts w:asciiTheme="minorHAnsi" w:hAnsiTheme="minorHAnsi"/>
                <w:sz w:val="22"/>
                <w:szCs w:val="22"/>
              </w:rPr>
            </w:pPr>
            <w:r w:rsidRPr="008D2A3E">
              <w:rPr>
                <w:rFonts w:asciiTheme="minorHAnsi" w:hAnsiTheme="minorHAnsi"/>
                <w:sz w:val="22"/>
                <w:szCs w:val="22"/>
              </w:rPr>
              <w:t xml:space="preserve">Internet (69%)      </w:t>
            </w:r>
          </w:p>
          <w:p w:rsidR="008A385E" w:rsidRPr="00195F1A" w:rsidRDefault="008A385E" w:rsidP="008A385E">
            <w:pPr>
              <w:spacing w:before="0" w:line="259" w:lineRule="auto"/>
              <w:ind w:left="360"/>
              <w:rPr>
                <w:sz w:val="22"/>
                <w:szCs w:val="22"/>
              </w:rPr>
            </w:pPr>
            <w:r w:rsidRPr="00195F1A">
              <w:rPr>
                <w:sz w:val="22"/>
                <w:szCs w:val="22"/>
              </w:rPr>
              <w:t xml:space="preserve">24 and younger 75%  </w:t>
            </w:r>
            <w:r w:rsidRPr="00195F1A">
              <w:rPr>
                <w:sz w:val="22"/>
                <w:szCs w:val="22"/>
              </w:rPr>
              <w:tab/>
            </w:r>
          </w:p>
          <w:p w:rsidR="008A385E" w:rsidRPr="00195F1A" w:rsidRDefault="008A385E" w:rsidP="008A385E">
            <w:pPr>
              <w:spacing w:before="0" w:line="259" w:lineRule="auto"/>
              <w:ind w:left="360"/>
              <w:rPr>
                <w:sz w:val="22"/>
                <w:szCs w:val="22"/>
              </w:rPr>
            </w:pPr>
            <w:r w:rsidRPr="00195F1A">
              <w:rPr>
                <w:sz w:val="22"/>
                <w:szCs w:val="22"/>
              </w:rPr>
              <w:t>IDU 48%</w:t>
            </w:r>
          </w:p>
          <w:p w:rsidR="008A385E" w:rsidRPr="008D2A3E" w:rsidRDefault="008A385E" w:rsidP="008A385E">
            <w:pPr>
              <w:spacing w:before="0"/>
              <w:rPr>
                <w:rFonts w:asciiTheme="minorHAnsi" w:hAnsiTheme="minorHAnsi"/>
                <w:sz w:val="22"/>
                <w:szCs w:val="22"/>
              </w:rPr>
            </w:pPr>
            <w:r w:rsidRPr="008D2A3E">
              <w:rPr>
                <w:rFonts w:asciiTheme="minorHAnsi" w:hAnsiTheme="minorHAnsi"/>
                <w:sz w:val="22"/>
                <w:szCs w:val="22"/>
              </w:rPr>
              <w:t>Health care provider (52%)</w:t>
            </w:r>
            <w:r w:rsidRPr="008D2A3E">
              <w:rPr>
                <w:rFonts w:asciiTheme="minorHAnsi" w:hAnsiTheme="minorHAnsi"/>
                <w:sz w:val="22"/>
                <w:szCs w:val="22"/>
              </w:rPr>
              <w:tab/>
              <w:t>API 58%</w:t>
            </w:r>
          </w:p>
          <w:p w:rsidR="008A385E" w:rsidRPr="008D2A3E" w:rsidRDefault="008A385E" w:rsidP="008A385E">
            <w:pPr>
              <w:spacing w:before="0"/>
              <w:rPr>
                <w:rFonts w:asciiTheme="minorHAnsi" w:hAnsiTheme="minorHAnsi"/>
                <w:sz w:val="22"/>
                <w:szCs w:val="22"/>
              </w:rPr>
            </w:pPr>
            <w:r w:rsidRPr="008D2A3E">
              <w:rPr>
                <w:rFonts w:asciiTheme="minorHAnsi" w:hAnsiTheme="minorHAnsi"/>
                <w:sz w:val="22"/>
                <w:szCs w:val="22"/>
              </w:rPr>
              <w:t>Health department (37%)</w:t>
            </w:r>
            <w:r>
              <w:rPr>
                <w:sz w:val="22"/>
                <w:szCs w:val="22"/>
              </w:rPr>
              <w:tab/>
            </w:r>
            <w:r w:rsidRPr="008D2A3E">
              <w:rPr>
                <w:rFonts w:asciiTheme="minorHAnsi" w:hAnsiTheme="minorHAnsi"/>
                <w:sz w:val="22"/>
                <w:szCs w:val="22"/>
              </w:rPr>
              <w:t>IDU</w:t>
            </w:r>
            <w:r>
              <w:rPr>
                <w:sz w:val="22"/>
                <w:szCs w:val="22"/>
              </w:rPr>
              <w:t xml:space="preserve"> </w:t>
            </w:r>
            <w:r w:rsidRPr="008D2A3E">
              <w:rPr>
                <w:rFonts w:asciiTheme="minorHAnsi" w:hAnsiTheme="minorHAnsi"/>
                <w:sz w:val="22"/>
                <w:szCs w:val="22"/>
              </w:rPr>
              <w:t>28%</w:t>
            </w:r>
          </w:p>
          <w:p w:rsidR="008A385E" w:rsidRPr="00195F1A" w:rsidRDefault="008A385E" w:rsidP="008A385E">
            <w:pPr>
              <w:spacing w:before="0"/>
              <w:rPr>
                <w:sz w:val="22"/>
                <w:szCs w:val="22"/>
              </w:rPr>
            </w:pPr>
            <w:r w:rsidRPr="00195F1A">
              <w:rPr>
                <w:sz w:val="22"/>
                <w:szCs w:val="22"/>
              </w:rPr>
              <w:t>Sexual partner</w:t>
            </w:r>
            <w:r w:rsidRPr="00195F1A">
              <w:rPr>
                <w:sz w:val="22"/>
                <w:szCs w:val="22"/>
              </w:rPr>
              <w:tab/>
              <w:t>(20%)</w:t>
            </w:r>
            <w:r w:rsidRPr="00195F1A">
              <w:rPr>
                <w:sz w:val="22"/>
                <w:szCs w:val="22"/>
              </w:rPr>
              <w:tab/>
            </w:r>
            <w:r w:rsidRPr="00195F1A">
              <w:rPr>
                <w:sz w:val="22"/>
                <w:szCs w:val="22"/>
              </w:rPr>
              <w:tab/>
            </w:r>
          </w:p>
          <w:p w:rsidR="008A385E" w:rsidRPr="00195F1A" w:rsidRDefault="008A385E" w:rsidP="008A385E">
            <w:pPr>
              <w:spacing w:before="0"/>
              <w:ind w:left="360"/>
              <w:rPr>
                <w:sz w:val="22"/>
                <w:szCs w:val="22"/>
              </w:rPr>
            </w:pPr>
            <w:r w:rsidRPr="00195F1A">
              <w:rPr>
                <w:sz w:val="22"/>
                <w:szCs w:val="22"/>
              </w:rPr>
              <w:t>MSM 32%</w:t>
            </w:r>
            <w:r w:rsidRPr="00195F1A">
              <w:rPr>
                <w:sz w:val="22"/>
                <w:szCs w:val="22"/>
              </w:rPr>
              <w:tab/>
            </w:r>
          </w:p>
          <w:p w:rsidR="008A385E" w:rsidRPr="00195F1A" w:rsidRDefault="008A385E" w:rsidP="008A385E">
            <w:pPr>
              <w:spacing w:before="0" w:line="259" w:lineRule="auto"/>
              <w:ind w:left="360"/>
              <w:rPr>
                <w:sz w:val="22"/>
                <w:szCs w:val="22"/>
              </w:rPr>
            </w:pPr>
            <w:r w:rsidRPr="00195F1A">
              <w:rPr>
                <w:sz w:val="22"/>
                <w:szCs w:val="22"/>
              </w:rPr>
              <w:t>Native American 33%</w:t>
            </w:r>
          </w:p>
        </w:tc>
        <w:tc>
          <w:tcPr>
            <w:tcW w:w="4788" w:type="dxa"/>
          </w:tcPr>
          <w:p w:rsidR="008A385E" w:rsidRPr="008D2A3E" w:rsidRDefault="008A385E" w:rsidP="008A385E">
            <w:pPr>
              <w:spacing w:before="0"/>
              <w:rPr>
                <w:rFonts w:asciiTheme="minorHAnsi" w:hAnsiTheme="minorHAnsi"/>
                <w:sz w:val="22"/>
                <w:szCs w:val="22"/>
              </w:rPr>
            </w:pPr>
            <w:r w:rsidRPr="008D2A3E">
              <w:rPr>
                <w:rFonts w:asciiTheme="minorHAnsi" w:hAnsiTheme="minorHAnsi"/>
                <w:sz w:val="22"/>
                <w:szCs w:val="22"/>
              </w:rPr>
              <w:t xml:space="preserve">Friends (25%)  </w:t>
            </w:r>
          </w:p>
          <w:p w:rsidR="008A385E" w:rsidRPr="00195F1A" w:rsidRDefault="008A385E" w:rsidP="008A385E">
            <w:pPr>
              <w:spacing w:before="0" w:line="259" w:lineRule="auto"/>
              <w:ind w:left="360"/>
              <w:rPr>
                <w:sz w:val="22"/>
                <w:szCs w:val="22"/>
              </w:rPr>
            </w:pPr>
            <w:r w:rsidRPr="00195F1A">
              <w:rPr>
                <w:sz w:val="22"/>
                <w:szCs w:val="22"/>
              </w:rPr>
              <w:t>24 and younger</w:t>
            </w:r>
            <w:r w:rsidRPr="00195F1A">
              <w:rPr>
                <w:sz w:val="22"/>
                <w:szCs w:val="22"/>
              </w:rPr>
              <w:tab/>
              <w:t>31%</w:t>
            </w:r>
          </w:p>
          <w:p w:rsidR="008A385E" w:rsidRPr="00195F1A" w:rsidRDefault="008A385E" w:rsidP="008A385E">
            <w:pPr>
              <w:spacing w:before="0" w:line="259" w:lineRule="auto"/>
              <w:ind w:left="360"/>
              <w:rPr>
                <w:sz w:val="22"/>
                <w:szCs w:val="22"/>
              </w:rPr>
            </w:pPr>
            <w:r w:rsidRPr="00195F1A">
              <w:rPr>
                <w:sz w:val="22"/>
                <w:szCs w:val="22"/>
              </w:rPr>
              <w:t>IDU 30%</w:t>
            </w:r>
            <w:r w:rsidRPr="00195F1A">
              <w:rPr>
                <w:sz w:val="22"/>
                <w:szCs w:val="22"/>
              </w:rPr>
              <w:tab/>
            </w:r>
          </w:p>
          <w:p w:rsidR="008A385E" w:rsidRPr="00195F1A" w:rsidRDefault="008A385E" w:rsidP="008A385E">
            <w:pPr>
              <w:spacing w:before="0" w:line="259" w:lineRule="auto"/>
              <w:ind w:left="360"/>
              <w:rPr>
                <w:sz w:val="22"/>
                <w:szCs w:val="22"/>
              </w:rPr>
            </w:pPr>
            <w:r w:rsidRPr="00195F1A">
              <w:rPr>
                <w:sz w:val="22"/>
                <w:szCs w:val="22"/>
              </w:rPr>
              <w:t>MSM 30%</w:t>
            </w:r>
            <w:r w:rsidRPr="00195F1A">
              <w:rPr>
                <w:sz w:val="22"/>
                <w:szCs w:val="22"/>
              </w:rPr>
              <w:tab/>
            </w:r>
          </w:p>
          <w:p w:rsidR="008A385E" w:rsidRPr="00195F1A" w:rsidRDefault="008A385E" w:rsidP="008A385E">
            <w:pPr>
              <w:spacing w:before="0" w:line="259" w:lineRule="auto"/>
              <w:ind w:left="360"/>
              <w:rPr>
                <w:sz w:val="22"/>
                <w:szCs w:val="22"/>
              </w:rPr>
            </w:pPr>
            <w:r w:rsidRPr="00195F1A">
              <w:rPr>
                <w:sz w:val="22"/>
                <w:szCs w:val="22"/>
              </w:rPr>
              <w:t>Native American 40%</w:t>
            </w:r>
          </w:p>
          <w:p w:rsidR="008A385E" w:rsidRDefault="008A385E" w:rsidP="008A385E">
            <w:pPr>
              <w:spacing w:before="0"/>
              <w:rPr>
                <w:sz w:val="22"/>
                <w:szCs w:val="22"/>
              </w:rPr>
            </w:pPr>
          </w:p>
        </w:tc>
      </w:tr>
    </w:tbl>
    <w:p w:rsidR="008A385E" w:rsidRPr="008D2A3E" w:rsidRDefault="008A385E" w:rsidP="008A385E">
      <w:pPr>
        <w:spacing w:before="0" w:after="0"/>
        <w:rPr>
          <w:b/>
          <w:sz w:val="22"/>
          <w:szCs w:val="22"/>
        </w:rPr>
      </w:pPr>
      <w:r w:rsidRPr="008D2A3E">
        <w:rPr>
          <w:noProof/>
          <w:sz w:val="22"/>
          <w:szCs w:val="22"/>
        </w:rPr>
        <w:drawing>
          <wp:inline distT="0" distB="0" distL="0" distR="0" wp14:anchorId="3B369E59" wp14:editId="3965883C">
            <wp:extent cx="5935980" cy="2796540"/>
            <wp:effectExtent l="0" t="0" r="7620" b="381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A385E" w:rsidRPr="008D2A3E" w:rsidRDefault="008A385E" w:rsidP="008A385E">
      <w:pPr>
        <w:spacing w:before="0" w:after="0"/>
        <w:rPr>
          <w:b/>
          <w:sz w:val="22"/>
          <w:szCs w:val="22"/>
        </w:rPr>
      </w:pPr>
    </w:p>
    <w:p w:rsidR="003B6D8C" w:rsidRDefault="003B6D8C" w:rsidP="008A385E">
      <w:pPr>
        <w:spacing w:before="0" w:after="0"/>
        <w:rPr>
          <w:sz w:val="22"/>
          <w:szCs w:val="22"/>
        </w:rPr>
      </w:pPr>
    </w:p>
    <w:p w:rsidR="008A385E" w:rsidRPr="008D2A3E" w:rsidRDefault="008A385E" w:rsidP="008A385E">
      <w:pPr>
        <w:spacing w:before="0" w:after="0"/>
        <w:rPr>
          <w:sz w:val="22"/>
          <w:szCs w:val="22"/>
        </w:rPr>
      </w:pPr>
      <w:r w:rsidRPr="008D2A3E">
        <w:rPr>
          <w:sz w:val="22"/>
          <w:szCs w:val="22"/>
        </w:rPr>
        <w:lastRenderedPageBreak/>
        <w:t>Internet (68%)</w:t>
      </w:r>
      <w:r w:rsidRPr="008D2A3E">
        <w:rPr>
          <w:sz w:val="22"/>
          <w:szCs w:val="22"/>
        </w:rPr>
        <w:tab/>
      </w:r>
      <w:r w:rsidRPr="008D2A3E">
        <w:rPr>
          <w:sz w:val="22"/>
          <w:szCs w:val="22"/>
        </w:rPr>
        <w:tab/>
      </w:r>
      <w:r w:rsidRPr="008D2A3E">
        <w:rPr>
          <w:sz w:val="22"/>
          <w:szCs w:val="22"/>
        </w:rPr>
        <w:tab/>
        <w:t>IDU</w:t>
      </w:r>
      <w:r>
        <w:rPr>
          <w:sz w:val="22"/>
          <w:szCs w:val="22"/>
        </w:rPr>
        <w:t xml:space="preserve"> </w:t>
      </w:r>
      <w:r w:rsidRPr="008D2A3E">
        <w:rPr>
          <w:sz w:val="22"/>
          <w:szCs w:val="22"/>
        </w:rPr>
        <w:t>47%</w:t>
      </w:r>
      <w:r w:rsidRPr="008D2A3E">
        <w:rPr>
          <w:sz w:val="22"/>
          <w:szCs w:val="22"/>
        </w:rPr>
        <w:tab/>
        <w:t>MSM 72%</w:t>
      </w:r>
    </w:p>
    <w:p w:rsidR="008A385E" w:rsidRPr="008D2A3E" w:rsidRDefault="008A385E" w:rsidP="008A385E">
      <w:pPr>
        <w:spacing w:before="0" w:after="0"/>
        <w:rPr>
          <w:sz w:val="22"/>
          <w:szCs w:val="22"/>
        </w:rPr>
      </w:pPr>
      <w:r w:rsidRPr="008D2A3E">
        <w:rPr>
          <w:sz w:val="22"/>
          <w:szCs w:val="22"/>
        </w:rPr>
        <w:t>Health care provider (60%)</w:t>
      </w:r>
      <w:r w:rsidRPr="008D2A3E">
        <w:rPr>
          <w:sz w:val="22"/>
          <w:szCs w:val="22"/>
        </w:rPr>
        <w:tab/>
        <w:t>IDU</w:t>
      </w:r>
      <w:r>
        <w:rPr>
          <w:sz w:val="22"/>
          <w:szCs w:val="22"/>
        </w:rPr>
        <w:t xml:space="preserve"> </w:t>
      </w:r>
      <w:r w:rsidRPr="008D2A3E">
        <w:rPr>
          <w:sz w:val="22"/>
          <w:szCs w:val="22"/>
        </w:rPr>
        <w:t>37%</w:t>
      </w:r>
      <w:r w:rsidRPr="008D2A3E">
        <w:rPr>
          <w:sz w:val="22"/>
          <w:szCs w:val="22"/>
        </w:rPr>
        <w:tab/>
        <w:t>MSM 51%</w:t>
      </w:r>
    </w:p>
    <w:p w:rsidR="008A385E" w:rsidRPr="008D2A3E" w:rsidRDefault="008A385E" w:rsidP="008A385E">
      <w:pPr>
        <w:spacing w:before="0" w:after="0"/>
        <w:rPr>
          <w:sz w:val="22"/>
          <w:szCs w:val="22"/>
        </w:rPr>
      </w:pPr>
      <w:r w:rsidRPr="008D2A3E">
        <w:rPr>
          <w:sz w:val="22"/>
          <w:szCs w:val="22"/>
        </w:rPr>
        <w:t>Brochures (29%)</w:t>
      </w:r>
    </w:p>
    <w:p w:rsidR="008A385E" w:rsidRPr="008D2A3E" w:rsidRDefault="008A385E" w:rsidP="008A385E">
      <w:pPr>
        <w:spacing w:before="0" w:after="0"/>
        <w:rPr>
          <w:sz w:val="22"/>
          <w:szCs w:val="22"/>
        </w:rPr>
      </w:pPr>
      <w:r w:rsidRPr="008D2A3E">
        <w:rPr>
          <w:sz w:val="22"/>
          <w:szCs w:val="22"/>
        </w:rPr>
        <w:t>Family (24%)</w:t>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t>Native American 32%</w:t>
      </w:r>
    </w:p>
    <w:p w:rsidR="008A385E" w:rsidRPr="008D2A3E" w:rsidRDefault="008A385E" w:rsidP="008A385E">
      <w:pPr>
        <w:spacing w:before="0" w:after="0"/>
        <w:rPr>
          <w:sz w:val="22"/>
          <w:szCs w:val="22"/>
        </w:rPr>
      </w:pPr>
      <w:r w:rsidRPr="008D2A3E">
        <w:rPr>
          <w:sz w:val="22"/>
          <w:szCs w:val="22"/>
        </w:rPr>
        <w:t>Community events (23%)</w:t>
      </w:r>
      <w:r w:rsidRPr="008D2A3E">
        <w:rPr>
          <w:sz w:val="22"/>
          <w:szCs w:val="22"/>
        </w:rPr>
        <w:tab/>
      </w:r>
      <w:r w:rsidRPr="008D2A3E">
        <w:rPr>
          <w:sz w:val="22"/>
          <w:szCs w:val="22"/>
        </w:rPr>
        <w:tab/>
      </w:r>
      <w:r w:rsidRPr="008D2A3E">
        <w:rPr>
          <w:sz w:val="22"/>
          <w:szCs w:val="22"/>
        </w:rPr>
        <w:tab/>
        <w:t>MSM 28%</w:t>
      </w:r>
      <w:r w:rsidRPr="008D2A3E">
        <w:rPr>
          <w:sz w:val="22"/>
          <w:szCs w:val="22"/>
        </w:rPr>
        <w:tab/>
        <w:t>Native Am 30%</w:t>
      </w:r>
    </w:p>
    <w:p w:rsidR="008A385E" w:rsidRPr="008D2A3E" w:rsidRDefault="008A385E" w:rsidP="008A385E">
      <w:pPr>
        <w:spacing w:before="0" w:after="0"/>
        <w:rPr>
          <w:sz w:val="22"/>
          <w:szCs w:val="22"/>
        </w:rPr>
      </w:pPr>
      <w:r w:rsidRPr="008D2A3E">
        <w:rPr>
          <w:sz w:val="22"/>
          <w:szCs w:val="22"/>
        </w:rPr>
        <w:t>TV (23%)</w:t>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t>MSM 32%</w:t>
      </w:r>
      <w:r w:rsidRPr="008D2A3E">
        <w:rPr>
          <w:sz w:val="22"/>
          <w:szCs w:val="22"/>
        </w:rPr>
        <w:tab/>
        <w:t>Native American 32%</w:t>
      </w:r>
    </w:p>
    <w:p w:rsidR="008A385E" w:rsidRPr="008D2A3E" w:rsidRDefault="008A385E" w:rsidP="008A385E">
      <w:pPr>
        <w:spacing w:before="0" w:after="0"/>
        <w:rPr>
          <w:sz w:val="22"/>
          <w:szCs w:val="22"/>
        </w:rPr>
      </w:pPr>
      <w:r w:rsidRPr="008D2A3E">
        <w:rPr>
          <w:sz w:val="22"/>
          <w:szCs w:val="22"/>
        </w:rPr>
        <w:t>Community agency (20%)</w:t>
      </w:r>
      <w:r w:rsidRPr="008D2A3E">
        <w:rPr>
          <w:sz w:val="22"/>
          <w:szCs w:val="22"/>
        </w:rPr>
        <w:tab/>
      </w:r>
      <w:r w:rsidRPr="008D2A3E">
        <w:rPr>
          <w:sz w:val="22"/>
          <w:szCs w:val="22"/>
        </w:rPr>
        <w:tab/>
      </w:r>
      <w:r w:rsidRPr="008D2A3E">
        <w:rPr>
          <w:sz w:val="22"/>
          <w:szCs w:val="22"/>
        </w:rPr>
        <w:tab/>
        <w:t>MSM 30%</w:t>
      </w:r>
    </w:p>
    <w:p w:rsidR="008A385E" w:rsidRPr="008D2A3E" w:rsidRDefault="008A385E" w:rsidP="008A385E">
      <w:pPr>
        <w:spacing w:before="0" w:after="0"/>
        <w:rPr>
          <w:sz w:val="22"/>
          <w:szCs w:val="22"/>
        </w:rPr>
      </w:pPr>
      <w:r w:rsidRPr="008D2A3E">
        <w:rPr>
          <w:sz w:val="22"/>
          <w:szCs w:val="22"/>
        </w:rPr>
        <w:t>Radio (16%)</w:t>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t>MSM 26%</w:t>
      </w:r>
      <w:r w:rsidRPr="008D2A3E">
        <w:rPr>
          <w:sz w:val="22"/>
          <w:szCs w:val="22"/>
        </w:rPr>
        <w:tab/>
        <w:t>Hispanic 19% Native Am 20%</w:t>
      </w:r>
    </w:p>
    <w:p w:rsidR="008A385E" w:rsidRPr="008D2A3E" w:rsidRDefault="008A385E" w:rsidP="008A385E">
      <w:pPr>
        <w:spacing w:before="0" w:after="0"/>
        <w:rPr>
          <w:sz w:val="22"/>
          <w:szCs w:val="22"/>
        </w:rPr>
      </w:pPr>
      <w:r w:rsidRPr="008D2A3E">
        <w:rPr>
          <w:sz w:val="22"/>
          <w:szCs w:val="22"/>
        </w:rPr>
        <w:t>Newspaper ads/billboards (16%)</w:t>
      </w:r>
      <w:r w:rsidRPr="008D2A3E">
        <w:rPr>
          <w:sz w:val="22"/>
          <w:szCs w:val="22"/>
        </w:rPr>
        <w:tab/>
      </w:r>
      <w:r w:rsidRPr="008D2A3E">
        <w:rPr>
          <w:sz w:val="22"/>
          <w:szCs w:val="22"/>
        </w:rPr>
        <w:tab/>
        <w:t>MSM 20%</w:t>
      </w:r>
      <w:r w:rsidRPr="008D2A3E">
        <w:rPr>
          <w:sz w:val="22"/>
          <w:szCs w:val="22"/>
        </w:rPr>
        <w:tab/>
        <w:t>Native American 20%</w:t>
      </w:r>
    </w:p>
    <w:p w:rsidR="008A385E" w:rsidRPr="008D2A3E" w:rsidRDefault="008A385E" w:rsidP="008A385E">
      <w:pPr>
        <w:spacing w:before="0" w:after="0"/>
        <w:rPr>
          <w:sz w:val="22"/>
          <w:szCs w:val="22"/>
        </w:rPr>
      </w:pPr>
      <w:r w:rsidRPr="008D2A3E">
        <w:rPr>
          <w:sz w:val="22"/>
          <w:szCs w:val="22"/>
        </w:rPr>
        <w:t>Teacher (16%)</w:t>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r>
      <w:r w:rsidRPr="008D2A3E">
        <w:rPr>
          <w:sz w:val="22"/>
          <w:szCs w:val="22"/>
        </w:rPr>
        <w:tab/>
        <w:t>Native American 25%</w:t>
      </w:r>
    </w:p>
    <w:p w:rsidR="008A385E" w:rsidRPr="008D2A3E" w:rsidRDefault="008A385E" w:rsidP="008A385E">
      <w:pPr>
        <w:spacing w:before="0" w:after="0"/>
        <w:rPr>
          <w:sz w:val="22"/>
          <w:szCs w:val="22"/>
        </w:rPr>
      </w:pPr>
      <w:r w:rsidRPr="008D2A3E">
        <w:rPr>
          <w:sz w:val="22"/>
          <w:szCs w:val="22"/>
        </w:rPr>
        <w:t>Church</w:t>
      </w:r>
      <w:r>
        <w:rPr>
          <w:sz w:val="22"/>
          <w:szCs w:val="22"/>
        </w:rPr>
        <w:t xml:space="preserve"> (8%)</w:t>
      </w:r>
      <w:r w:rsidRPr="008D2A3E">
        <w:rPr>
          <w:sz w:val="22"/>
          <w:szCs w:val="22"/>
        </w:rPr>
        <w:tab/>
      </w:r>
      <w:r>
        <w:rPr>
          <w:sz w:val="22"/>
          <w:szCs w:val="22"/>
        </w:rPr>
        <w:tab/>
      </w:r>
      <w:r>
        <w:rPr>
          <w:sz w:val="22"/>
          <w:szCs w:val="22"/>
        </w:rPr>
        <w:tab/>
      </w:r>
      <w:r>
        <w:rPr>
          <w:sz w:val="22"/>
          <w:szCs w:val="22"/>
        </w:rPr>
        <w:tab/>
      </w:r>
      <w:r>
        <w:rPr>
          <w:sz w:val="22"/>
          <w:szCs w:val="22"/>
        </w:rPr>
        <w:tab/>
      </w:r>
      <w:r w:rsidRPr="008D2A3E">
        <w:rPr>
          <w:sz w:val="22"/>
          <w:szCs w:val="22"/>
        </w:rPr>
        <w:t>Hispanic</w:t>
      </w:r>
      <w:r>
        <w:rPr>
          <w:sz w:val="22"/>
          <w:szCs w:val="22"/>
        </w:rPr>
        <w:t xml:space="preserve"> </w:t>
      </w:r>
      <w:r w:rsidRPr="008D2A3E">
        <w:rPr>
          <w:sz w:val="22"/>
          <w:szCs w:val="22"/>
        </w:rPr>
        <w:t>9%</w:t>
      </w:r>
      <w:r w:rsidRPr="008D2A3E">
        <w:rPr>
          <w:sz w:val="22"/>
          <w:szCs w:val="22"/>
        </w:rPr>
        <w:tab/>
        <w:t>Native American</w:t>
      </w:r>
      <w:r>
        <w:rPr>
          <w:sz w:val="22"/>
          <w:szCs w:val="22"/>
        </w:rPr>
        <w:t xml:space="preserve"> </w:t>
      </w:r>
      <w:r w:rsidRPr="008D2A3E">
        <w:rPr>
          <w:sz w:val="22"/>
          <w:szCs w:val="22"/>
        </w:rPr>
        <w:t>23%</w:t>
      </w:r>
    </w:p>
    <w:p w:rsidR="008A385E" w:rsidRPr="008D2A3E" w:rsidRDefault="008A385E" w:rsidP="008A385E">
      <w:pPr>
        <w:spacing w:before="0" w:after="0"/>
        <w:rPr>
          <w:sz w:val="22"/>
          <w:szCs w:val="22"/>
        </w:rPr>
      </w:pPr>
    </w:p>
    <w:p w:rsidR="008A385E" w:rsidRDefault="008A385E" w:rsidP="008A385E">
      <w:pPr>
        <w:spacing w:before="0" w:after="0"/>
        <w:rPr>
          <w:sz w:val="22"/>
          <w:szCs w:val="22"/>
        </w:rPr>
      </w:pPr>
      <w:r w:rsidRPr="008D2A3E">
        <w:rPr>
          <w:sz w:val="22"/>
          <w:szCs w:val="22"/>
        </w:rPr>
        <w:t>What else is needed in your community to address HIV/AIDS?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8A385E" w:rsidTr="008A385E">
        <w:tc>
          <w:tcPr>
            <w:tcW w:w="4788" w:type="dxa"/>
          </w:tcPr>
          <w:p w:rsidR="008A385E" w:rsidRPr="008D2A3E" w:rsidRDefault="008A385E" w:rsidP="00E73293">
            <w:pPr>
              <w:pStyle w:val="NormalWeb"/>
              <w:numPr>
                <w:ilvl w:val="0"/>
                <w:numId w:val="21"/>
              </w:numPr>
              <w:spacing w:before="0" w:beforeAutospacing="0" w:after="0" w:afterAutospacing="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Education/ classes</w:t>
            </w:r>
          </w:p>
          <w:p w:rsidR="008A385E" w:rsidRPr="008D2A3E" w:rsidRDefault="008A385E" w:rsidP="00E73293">
            <w:pPr>
              <w:pStyle w:val="NormalWeb"/>
              <w:numPr>
                <w:ilvl w:val="0"/>
                <w:numId w:val="21"/>
              </w:numPr>
              <w:spacing w:before="0" w:beforeAutospacing="0" w:after="0" w:afterAutospacing="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Access</w:t>
            </w:r>
          </w:p>
          <w:p w:rsidR="008A385E" w:rsidRPr="008D2A3E" w:rsidRDefault="008A385E" w:rsidP="00E73293">
            <w:pPr>
              <w:pStyle w:val="NormalWeb"/>
              <w:numPr>
                <w:ilvl w:val="1"/>
                <w:numId w:val="21"/>
              </w:numPr>
              <w:spacing w:before="0" w:beforeAutospacing="0" w:after="0" w:afterAutospacing="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testing</w:t>
            </w:r>
          </w:p>
          <w:p w:rsidR="008A385E" w:rsidRPr="00195F1A" w:rsidRDefault="008A385E" w:rsidP="00E73293">
            <w:pPr>
              <w:pStyle w:val="NormalWeb"/>
              <w:numPr>
                <w:ilvl w:val="1"/>
                <w:numId w:val="21"/>
              </w:numPr>
              <w:spacing w:before="0" w:beforeAutospacing="0" w:after="0" w:afterAutospacing="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condoms</w:t>
            </w:r>
          </w:p>
        </w:tc>
        <w:tc>
          <w:tcPr>
            <w:tcW w:w="4788" w:type="dxa"/>
          </w:tcPr>
          <w:p w:rsidR="008A385E" w:rsidRPr="008D2A3E" w:rsidRDefault="008A385E" w:rsidP="00E73293">
            <w:pPr>
              <w:pStyle w:val="NormalWeb"/>
              <w:numPr>
                <w:ilvl w:val="0"/>
                <w:numId w:val="21"/>
              </w:numPr>
              <w:spacing w:before="0" w:beforeAutospacing="0" w:after="0" w:afterAutospacing="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 xml:space="preserve">Advertising </w:t>
            </w:r>
          </w:p>
          <w:p w:rsidR="008A385E" w:rsidRPr="008D2A3E" w:rsidRDefault="008A385E" w:rsidP="00E73293">
            <w:pPr>
              <w:pStyle w:val="NormalWeb"/>
              <w:numPr>
                <w:ilvl w:val="0"/>
                <w:numId w:val="21"/>
              </w:numPr>
              <w:spacing w:before="0" w:beforeAutospacing="0" w:after="0" w:afterAutospacing="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Awareness</w:t>
            </w:r>
          </w:p>
          <w:p w:rsidR="008A385E" w:rsidRPr="008D2A3E" w:rsidRDefault="008A385E" w:rsidP="00E73293">
            <w:pPr>
              <w:pStyle w:val="NormalWeb"/>
              <w:numPr>
                <w:ilvl w:val="0"/>
                <w:numId w:val="21"/>
              </w:numPr>
              <w:spacing w:before="0" w:beforeAutospacing="0" w:after="0" w:afterAutospacing="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 xml:space="preserve">Reduction in stigma/ discrimination </w:t>
            </w:r>
          </w:p>
          <w:p w:rsidR="008A385E" w:rsidRPr="008D2A3E" w:rsidRDefault="008A385E" w:rsidP="00E73293">
            <w:pPr>
              <w:numPr>
                <w:ilvl w:val="0"/>
                <w:numId w:val="21"/>
              </w:numPr>
              <w:spacing w:before="0"/>
              <w:textAlignment w:val="baseline"/>
              <w:rPr>
                <w:rFonts w:asciiTheme="minorHAnsi" w:hAnsiTheme="minorHAnsi" w:cs="Arial"/>
                <w:color w:val="000000"/>
                <w:sz w:val="22"/>
                <w:szCs w:val="22"/>
              </w:rPr>
            </w:pPr>
            <w:r w:rsidRPr="008D2A3E">
              <w:rPr>
                <w:rFonts w:asciiTheme="minorHAnsi" w:hAnsiTheme="minorHAnsi" w:cs="Arial"/>
                <w:color w:val="000000"/>
                <w:sz w:val="22"/>
                <w:szCs w:val="22"/>
              </w:rPr>
              <w:t xml:space="preserve">Clean needle education/ exchange opportunities </w:t>
            </w:r>
          </w:p>
          <w:p w:rsidR="008A385E" w:rsidRDefault="008A385E" w:rsidP="008A385E">
            <w:pPr>
              <w:spacing w:before="0"/>
              <w:rPr>
                <w:sz w:val="22"/>
                <w:szCs w:val="22"/>
              </w:rPr>
            </w:pPr>
          </w:p>
        </w:tc>
      </w:tr>
    </w:tbl>
    <w:p w:rsidR="008A385E" w:rsidRPr="008D2A3E" w:rsidRDefault="008A385E" w:rsidP="008A385E">
      <w:pPr>
        <w:spacing w:before="0" w:after="0"/>
        <w:rPr>
          <w:sz w:val="22"/>
          <w:szCs w:val="22"/>
        </w:rPr>
      </w:pPr>
    </w:p>
    <w:p w:rsidR="008A385E" w:rsidRPr="00E06125" w:rsidRDefault="008A385E" w:rsidP="008A385E">
      <w:pPr>
        <w:spacing w:before="0" w:after="0"/>
        <w:rPr>
          <w:sz w:val="22"/>
          <w:szCs w:val="22"/>
        </w:rPr>
      </w:pPr>
      <w:r w:rsidRPr="00E06125">
        <w:rPr>
          <w:noProof/>
          <w:sz w:val="22"/>
          <w:szCs w:val="22"/>
        </w:rPr>
        <w:lastRenderedPageBreak/>
        <w:drawing>
          <wp:inline distT="0" distB="0" distL="0" distR="0" wp14:anchorId="07283FB7" wp14:editId="2E2101C2">
            <wp:extent cx="5899868" cy="6655242"/>
            <wp:effectExtent l="0" t="0" r="5715"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A385E" w:rsidRPr="00E06125" w:rsidRDefault="008A385E" w:rsidP="008A385E">
      <w:pPr>
        <w:spacing w:before="0" w:after="0"/>
        <w:rPr>
          <w:i/>
          <w:sz w:val="22"/>
          <w:szCs w:val="22"/>
        </w:rPr>
      </w:pPr>
      <w:r w:rsidRPr="00E06125">
        <w:rPr>
          <w:i/>
          <w:sz w:val="22"/>
          <w:szCs w:val="22"/>
        </w:rPr>
        <w:t>I feel there is enough messaging/education about HIV/AIDS in my community</w:t>
      </w:r>
    </w:p>
    <w:p w:rsidR="008A385E" w:rsidRPr="008D2A3E" w:rsidRDefault="008A385E" w:rsidP="00E73293">
      <w:pPr>
        <w:pStyle w:val="ListParagraph"/>
        <w:numPr>
          <w:ilvl w:val="0"/>
          <w:numId w:val="33"/>
        </w:numPr>
        <w:spacing w:before="0" w:after="0"/>
        <w:rPr>
          <w:sz w:val="22"/>
          <w:szCs w:val="22"/>
        </w:rPr>
      </w:pPr>
      <w:r w:rsidRPr="008D2A3E">
        <w:rPr>
          <w:sz w:val="22"/>
          <w:szCs w:val="22"/>
        </w:rPr>
        <w:t>68% somewhat or strongly disagree</w:t>
      </w:r>
      <w:r w:rsidRPr="008D2A3E">
        <w:rPr>
          <w:sz w:val="22"/>
          <w:szCs w:val="22"/>
        </w:rPr>
        <w:tab/>
      </w:r>
      <w:r w:rsidRPr="008D2A3E">
        <w:rPr>
          <w:sz w:val="22"/>
          <w:szCs w:val="22"/>
        </w:rPr>
        <w:tab/>
      </w:r>
    </w:p>
    <w:p w:rsidR="008A385E" w:rsidRPr="008D2A3E" w:rsidRDefault="008A385E" w:rsidP="00E73293">
      <w:pPr>
        <w:pStyle w:val="ListParagraph"/>
        <w:numPr>
          <w:ilvl w:val="0"/>
          <w:numId w:val="33"/>
        </w:numPr>
        <w:spacing w:before="0" w:after="0"/>
        <w:rPr>
          <w:sz w:val="22"/>
          <w:szCs w:val="22"/>
        </w:rPr>
      </w:pPr>
      <w:r w:rsidRPr="008D2A3E">
        <w:rPr>
          <w:sz w:val="22"/>
          <w:szCs w:val="22"/>
        </w:rPr>
        <w:t>47%</w:t>
      </w:r>
      <w:r>
        <w:rPr>
          <w:sz w:val="22"/>
          <w:szCs w:val="22"/>
        </w:rPr>
        <w:t xml:space="preserve"> </w:t>
      </w:r>
      <w:r w:rsidRPr="008D2A3E">
        <w:rPr>
          <w:sz w:val="22"/>
          <w:szCs w:val="22"/>
        </w:rPr>
        <w:t>IDU</w:t>
      </w:r>
      <w:r>
        <w:rPr>
          <w:sz w:val="22"/>
          <w:szCs w:val="22"/>
        </w:rPr>
        <w:t xml:space="preserve"> </w:t>
      </w:r>
      <w:r w:rsidRPr="008D2A3E">
        <w:rPr>
          <w:sz w:val="22"/>
          <w:szCs w:val="22"/>
        </w:rPr>
        <w:t>somewhat or strongly disagree</w:t>
      </w:r>
      <w:r w:rsidRPr="008D2A3E">
        <w:rPr>
          <w:sz w:val="22"/>
          <w:szCs w:val="22"/>
        </w:rPr>
        <w:tab/>
      </w:r>
    </w:p>
    <w:p w:rsidR="008A385E" w:rsidRPr="00E06125" w:rsidRDefault="008A385E" w:rsidP="008A385E">
      <w:pPr>
        <w:spacing w:before="120" w:after="0"/>
        <w:rPr>
          <w:i/>
          <w:sz w:val="22"/>
          <w:szCs w:val="22"/>
        </w:rPr>
      </w:pPr>
      <w:r w:rsidRPr="00E06125">
        <w:rPr>
          <w:i/>
          <w:sz w:val="22"/>
          <w:szCs w:val="22"/>
        </w:rPr>
        <w:t xml:space="preserve">I know where to get an HIV/AIDS test. </w:t>
      </w:r>
    </w:p>
    <w:p w:rsidR="008A385E" w:rsidRPr="008D2A3E" w:rsidRDefault="008A385E" w:rsidP="00E73293">
      <w:pPr>
        <w:pStyle w:val="ListParagraph"/>
        <w:numPr>
          <w:ilvl w:val="0"/>
          <w:numId w:val="32"/>
        </w:numPr>
        <w:spacing w:before="0" w:after="0"/>
        <w:rPr>
          <w:sz w:val="22"/>
          <w:szCs w:val="22"/>
        </w:rPr>
      </w:pPr>
      <w:r w:rsidRPr="008D2A3E">
        <w:rPr>
          <w:sz w:val="22"/>
          <w:szCs w:val="22"/>
        </w:rPr>
        <w:t>74% somewhat or strongly agree</w:t>
      </w:r>
      <w:r w:rsidRPr="008D2A3E">
        <w:rPr>
          <w:sz w:val="22"/>
          <w:szCs w:val="22"/>
        </w:rPr>
        <w:tab/>
      </w:r>
    </w:p>
    <w:p w:rsidR="008A385E" w:rsidRPr="00195F1A" w:rsidRDefault="008A385E" w:rsidP="00E73293">
      <w:pPr>
        <w:pStyle w:val="ListParagraph"/>
        <w:numPr>
          <w:ilvl w:val="0"/>
          <w:numId w:val="32"/>
        </w:numPr>
        <w:spacing w:before="0" w:after="0"/>
        <w:rPr>
          <w:sz w:val="22"/>
          <w:szCs w:val="22"/>
        </w:rPr>
      </w:pPr>
      <w:r w:rsidRPr="008D2A3E">
        <w:rPr>
          <w:sz w:val="22"/>
          <w:szCs w:val="22"/>
        </w:rPr>
        <w:t>68% African American somewhat or strongly agree</w:t>
      </w:r>
      <w:r w:rsidRPr="008D2A3E">
        <w:rPr>
          <w:sz w:val="22"/>
          <w:szCs w:val="22"/>
        </w:rPr>
        <w:tab/>
      </w:r>
      <w:r w:rsidRPr="008D2A3E">
        <w:rPr>
          <w:sz w:val="22"/>
          <w:szCs w:val="22"/>
        </w:rPr>
        <w:tab/>
      </w:r>
      <w:r>
        <w:br w:type="page"/>
      </w:r>
    </w:p>
    <w:p w:rsidR="008A385E" w:rsidRDefault="008A385E" w:rsidP="00342034">
      <w:pPr>
        <w:pStyle w:val="Heading2"/>
      </w:pPr>
      <w:bookmarkStart w:id="68" w:name="_Toc461188611"/>
      <w:r>
        <w:lastRenderedPageBreak/>
        <w:t>Appendix J: Focus Group Questions</w:t>
      </w:r>
      <w:bookmarkEnd w:id="68"/>
    </w:p>
    <w:p w:rsidR="008A385E" w:rsidRDefault="008A385E" w:rsidP="008A385E">
      <w:r>
        <w:rPr>
          <w:noProof/>
        </w:rPr>
        <w:drawing>
          <wp:inline distT="0" distB="0" distL="0" distR="0" wp14:anchorId="434D44BF" wp14:editId="065321FE">
            <wp:extent cx="5597718" cy="7244141"/>
            <wp:effectExtent l="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 focus group brief demographic survey 7-20-1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99789" cy="7246820"/>
                    </a:xfrm>
                    <a:prstGeom prst="rect">
                      <a:avLst/>
                    </a:prstGeom>
                  </pic:spPr>
                </pic:pic>
              </a:graphicData>
            </a:graphic>
          </wp:inline>
        </w:drawing>
      </w:r>
    </w:p>
    <w:p w:rsidR="008A385E" w:rsidRDefault="008A385E" w:rsidP="008A385E"/>
    <w:p w:rsidR="008A385E" w:rsidRPr="00A46246" w:rsidRDefault="008A385E" w:rsidP="008A385E">
      <w:pPr>
        <w:spacing w:before="0" w:after="0"/>
        <w:rPr>
          <w:b/>
          <w:sz w:val="22"/>
        </w:rPr>
      </w:pPr>
      <w:r w:rsidRPr="00A46246">
        <w:rPr>
          <w:b/>
          <w:sz w:val="22"/>
        </w:rPr>
        <w:lastRenderedPageBreak/>
        <w:t>General HIV Prevention Focus Group Questions</w:t>
      </w:r>
    </w:p>
    <w:p w:rsidR="008A385E" w:rsidRDefault="008A385E" w:rsidP="008A385E">
      <w:pPr>
        <w:spacing w:before="0" w:after="0"/>
        <w:rPr>
          <w:sz w:val="22"/>
        </w:rPr>
      </w:pPr>
    </w:p>
    <w:p w:rsidR="008A385E" w:rsidRPr="00A46246" w:rsidRDefault="008A385E" w:rsidP="008A385E">
      <w:pPr>
        <w:spacing w:before="0" w:after="0"/>
        <w:rPr>
          <w:sz w:val="22"/>
        </w:rPr>
      </w:pPr>
      <w:r w:rsidRPr="00A46246">
        <w:rPr>
          <w:sz w:val="22"/>
        </w:rPr>
        <w:t>Q1. Describe what HIV means to you and your peers (people like you). (Do people you know feel at risk for getting HIV? Are they concerned about getting HIV? How do they actively prevent the spread of HIV (or don’t they)?)</w:t>
      </w:r>
    </w:p>
    <w:p w:rsidR="008A385E" w:rsidRPr="00A46246" w:rsidRDefault="008A385E" w:rsidP="008A385E">
      <w:pPr>
        <w:spacing w:before="0" w:after="0"/>
        <w:rPr>
          <w:sz w:val="22"/>
        </w:rPr>
      </w:pPr>
    </w:p>
    <w:p w:rsidR="008A385E" w:rsidRDefault="008A385E" w:rsidP="008A385E">
      <w:pPr>
        <w:spacing w:before="0" w:after="0"/>
        <w:rPr>
          <w:sz w:val="22"/>
        </w:rPr>
      </w:pPr>
      <w:r w:rsidRPr="00A46246">
        <w:rPr>
          <w:sz w:val="22"/>
        </w:rPr>
        <w:t>Q2. What are some of the risky behaviors that your peers do that might put them at risk for getting (or spreading) HIV? (What keeps people from protecting themselves from HIV? Where do these risky behaviors happen?)</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 xml:space="preserve"> Q3. Where do your peers get services and information about preventing the spread of HIV? ( By services, I mean HIV testing, condoms, educational materials, and other resources.) (What makes it easy to get these services and information? What makes it hard to get these services and information?)</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 xml:space="preserve">Q4. What other services, resources, and information are needed to prevent the spread of HIV among your peers (people like you)? </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Q5. What is the best way to educate your peers about preventing HIV? (What types of activities would be most effective?  If you were to design a communications campaign for your peers, what would that look like? What would it say?; Where would you reach your peers who are at risk for getting HIV?; What social media websites/apps do you and your peers use</w:t>
      </w:r>
      <w:r w:rsidRPr="00A46246">
        <w:rPr>
          <w:i/>
          <w:sz w:val="22"/>
        </w:rPr>
        <w:t xml:space="preserve"> to find partners?)</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Q6. About one quarter of all people living with HIV do not know they are infected. What could we do to get more people in this community to test for HIV? (Time, locations, type of test?)</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 xml:space="preserve">Q7. What do you know about PrEP (pre-exposure prophylaxis)?  What do you know about the concept of  treatment as prevention, as it relates to HIV? </w:t>
      </w:r>
    </w:p>
    <w:p w:rsidR="008A385E" w:rsidRPr="00A46246" w:rsidRDefault="008A385E" w:rsidP="008A385E">
      <w:pPr>
        <w:spacing w:before="0" w:after="0"/>
        <w:rPr>
          <w:sz w:val="22"/>
        </w:rPr>
      </w:pPr>
    </w:p>
    <w:p w:rsidR="008A385E" w:rsidRPr="00A46246" w:rsidRDefault="008A385E" w:rsidP="008A385E">
      <w:pPr>
        <w:spacing w:before="0" w:after="0"/>
        <w:rPr>
          <w:b/>
          <w:sz w:val="22"/>
        </w:rPr>
      </w:pPr>
      <w:r w:rsidRPr="00A46246">
        <w:rPr>
          <w:b/>
          <w:sz w:val="22"/>
        </w:rPr>
        <w:t>HIV + Focus Group Questions</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C1. What has it been like for you accessing HIV services? (What has made it easy or hard  to get the services you need?)</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C2. What are the most important services that help you manage your care? (What helps people living with HIV to stay in care? If you could change one thing in the HIV Care Network, what would it be?)</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 xml:space="preserve">C3. What services do you need that you are not getting? </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C4. Some people who are HIV+ are not using HIV services. Why do you think they are not using any services? (What would help people who recently found out their HIV+ status to get linked into care?)</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C5. What is the best way to educate your peers (people like you) about preventing HIV? (What types of activities would be most effective? Where would you reach your peers who are at risk for getting HIV? What social media websites/apps do you and your peers use?)</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Q7. What do you know about PrEP (pre-exposure prophylaxis)?  (What do you know about the concept of  treatment as prevention, as it relates to HIV?)</w:t>
      </w:r>
    </w:p>
    <w:p w:rsidR="008A385E" w:rsidRPr="00A46246" w:rsidRDefault="008A385E" w:rsidP="008A385E">
      <w:pPr>
        <w:spacing w:before="0" w:after="0"/>
        <w:rPr>
          <w:sz w:val="22"/>
        </w:rPr>
      </w:pPr>
    </w:p>
    <w:p w:rsidR="008A385E" w:rsidRPr="00A46246" w:rsidRDefault="008A385E" w:rsidP="008A385E">
      <w:pPr>
        <w:spacing w:before="0" w:after="0"/>
        <w:rPr>
          <w:sz w:val="22"/>
        </w:rPr>
      </w:pPr>
      <w:r w:rsidRPr="00A46246">
        <w:rPr>
          <w:sz w:val="22"/>
        </w:rPr>
        <w:t>C6. Are there any other ideas about how HIV/AIDS care services could be improved in Nevada?</w:t>
      </w:r>
    </w:p>
    <w:p w:rsidR="008A385E" w:rsidRPr="00A46246" w:rsidRDefault="008A385E" w:rsidP="008A385E">
      <w:pPr>
        <w:spacing w:before="0" w:after="0"/>
        <w:rPr>
          <w:sz w:val="22"/>
        </w:rPr>
      </w:pPr>
    </w:p>
    <w:p w:rsidR="008A385E" w:rsidRDefault="008A385E" w:rsidP="008A385E">
      <w:r>
        <w:br w:type="page"/>
      </w:r>
    </w:p>
    <w:p w:rsidR="008A385E" w:rsidRDefault="008A385E" w:rsidP="00342034">
      <w:pPr>
        <w:pStyle w:val="Heading2"/>
      </w:pPr>
      <w:bookmarkStart w:id="69" w:name="_Toc461188612"/>
      <w:r>
        <w:lastRenderedPageBreak/>
        <w:t>Appendix K: Summary of Focus Group Results</w:t>
      </w:r>
      <w:bookmarkEnd w:id="69"/>
    </w:p>
    <w:p w:rsidR="008A385E" w:rsidRPr="003272EC" w:rsidRDefault="008A385E" w:rsidP="008A385E">
      <w:pPr>
        <w:spacing w:before="120" w:after="0"/>
        <w:jc w:val="center"/>
        <w:rPr>
          <w:b/>
          <w:sz w:val="22"/>
          <w:szCs w:val="22"/>
        </w:rPr>
      </w:pPr>
      <w:r w:rsidRPr="003272EC">
        <w:rPr>
          <w:b/>
          <w:sz w:val="22"/>
          <w:szCs w:val="22"/>
        </w:rPr>
        <w:t>HIV Needs Assessment Focus Group Summary</w:t>
      </w:r>
    </w:p>
    <w:p w:rsidR="008A385E" w:rsidRPr="003272EC" w:rsidRDefault="008A385E" w:rsidP="008A385E">
      <w:pPr>
        <w:spacing w:before="0" w:after="0"/>
        <w:jc w:val="center"/>
        <w:rPr>
          <w:b/>
          <w:sz w:val="22"/>
          <w:szCs w:val="22"/>
        </w:rPr>
      </w:pPr>
      <w:r w:rsidRPr="003272EC">
        <w:rPr>
          <w:b/>
          <w:sz w:val="22"/>
          <w:szCs w:val="22"/>
        </w:rPr>
        <w:t>(Groups held August 2015-May2016)</w:t>
      </w:r>
    </w:p>
    <w:p w:rsidR="008A385E" w:rsidRPr="003272EC" w:rsidRDefault="008A385E" w:rsidP="008A385E">
      <w:pPr>
        <w:spacing w:after="0"/>
        <w:jc w:val="both"/>
        <w:rPr>
          <w:sz w:val="22"/>
          <w:szCs w:val="22"/>
        </w:rPr>
      </w:pPr>
      <w:r w:rsidRPr="003272EC">
        <w:rPr>
          <w:sz w:val="22"/>
          <w:szCs w:val="22"/>
        </w:rPr>
        <w:t xml:space="preserve">Twenty HIV client and prevention focus groups were held in Northern and Southern Nevada between August 2015 and May 2016 with 191 people participating.  Six groups were specifically for HIV positive individuals, while 14 groups had a prevention focus, but sometimes included PLWH. Focus group participants completed a brief demographic survey before the groups started. HIV positive individuals represented nearly half of the participants (43%). The majority of participants were male (63%) and residents of Southern Nevada (69%). Participants ranged in age from 11 to 83 years, with a mean age of 40 years. Participants were well distributed among various ethnic groups. Thirty percent of participants was white; 25% black; 23% Hispanic; 9% Native American; 6% Asian, and 7% multi-race or other. Half the participants (52%) indicated they were heterosexual; 35% homosexual; and, 7% bisexual. </w:t>
      </w:r>
    </w:p>
    <w:p w:rsidR="008A385E" w:rsidRPr="00A070CE" w:rsidRDefault="008A385E" w:rsidP="008A385E">
      <w:pPr>
        <w:spacing w:after="0"/>
        <w:jc w:val="both"/>
        <w:rPr>
          <w:b/>
          <w:sz w:val="22"/>
          <w:szCs w:val="22"/>
        </w:rPr>
      </w:pPr>
      <w:r w:rsidRPr="00A070CE">
        <w:rPr>
          <w:b/>
          <w:sz w:val="22"/>
          <w:szCs w:val="22"/>
        </w:rPr>
        <w:t xml:space="preserve">Focus Group </w:t>
      </w:r>
      <w:r>
        <w:rPr>
          <w:b/>
          <w:sz w:val="22"/>
          <w:szCs w:val="22"/>
        </w:rPr>
        <w:t>Participants</w:t>
      </w:r>
    </w:p>
    <w:tbl>
      <w:tblPr>
        <w:tblStyle w:val="MediumShading1-Accent5"/>
        <w:tblW w:w="9576" w:type="dxa"/>
        <w:tblLook w:val="04A0" w:firstRow="1" w:lastRow="0" w:firstColumn="1" w:lastColumn="0" w:noHBand="0" w:noVBand="1"/>
      </w:tblPr>
      <w:tblGrid>
        <w:gridCol w:w="1728"/>
        <w:gridCol w:w="4410"/>
        <w:gridCol w:w="1800"/>
        <w:gridCol w:w="1638"/>
      </w:tblGrid>
      <w:tr w:rsidR="008A385E" w:rsidRPr="003272EC" w:rsidTr="008A3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b w:val="0"/>
                <w:sz w:val="22"/>
                <w:szCs w:val="22"/>
              </w:rPr>
            </w:pPr>
            <w:r w:rsidRPr="003272EC">
              <w:rPr>
                <w:sz w:val="22"/>
                <w:szCs w:val="22"/>
              </w:rPr>
              <w:t>Focus</w:t>
            </w:r>
          </w:p>
        </w:tc>
        <w:tc>
          <w:tcPr>
            <w:tcW w:w="4410" w:type="dxa"/>
          </w:tcPr>
          <w:p w:rsidR="008A385E" w:rsidRPr="003272EC" w:rsidRDefault="008A385E" w:rsidP="008A385E">
            <w:pPr>
              <w:cnfStyle w:val="100000000000" w:firstRow="1" w:lastRow="0" w:firstColumn="0" w:lastColumn="0" w:oddVBand="0" w:evenVBand="0" w:oddHBand="0" w:evenHBand="0" w:firstRowFirstColumn="0" w:firstRowLastColumn="0" w:lastRowFirstColumn="0" w:lastRowLastColumn="0"/>
              <w:rPr>
                <w:b w:val="0"/>
                <w:sz w:val="22"/>
                <w:szCs w:val="22"/>
              </w:rPr>
            </w:pPr>
            <w:r w:rsidRPr="003272EC">
              <w:rPr>
                <w:sz w:val="22"/>
                <w:szCs w:val="22"/>
              </w:rPr>
              <w:t>Population</w:t>
            </w:r>
          </w:p>
        </w:tc>
        <w:tc>
          <w:tcPr>
            <w:tcW w:w="1800" w:type="dxa"/>
          </w:tcPr>
          <w:p w:rsidR="008A385E" w:rsidRPr="003272EC" w:rsidRDefault="008A385E" w:rsidP="008A385E">
            <w:pPr>
              <w:cnfStyle w:val="100000000000" w:firstRow="1" w:lastRow="0" w:firstColumn="0" w:lastColumn="0" w:oddVBand="0" w:evenVBand="0" w:oddHBand="0" w:evenHBand="0" w:firstRowFirstColumn="0" w:firstRowLastColumn="0" w:lastRowFirstColumn="0" w:lastRowLastColumn="0"/>
              <w:rPr>
                <w:b w:val="0"/>
                <w:sz w:val="22"/>
                <w:szCs w:val="22"/>
              </w:rPr>
            </w:pPr>
            <w:r w:rsidRPr="003272EC">
              <w:rPr>
                <w:sz w:val="22"/>
                <w:szCs w:val="22"/>
              </w:rPr>
              <w:t># participants</w:t>
            </w:r>
          </w:p>
        </w:tc>
        <w:tc>
          <w:tcPr>
            <w:tcW w:w="1638" w:type="dxa"/>
          </w:tcPr>
          <w:p w:rsidR="008A385E" w:rsidRPr="003272EC" w:rsidRDefault="008A385E" w:rsidP="008A385E">
            <w:pPr>
              <w:cnfStyle w:val="100000000000" w:firstRow="1" w:lastRow="0" w:firstColumn="0" w:lastColumn="0" w:oddVBand="0" w:evenVBand="0" w:oddHBand="0" w:evenHBand="0" w:firstRowFirstColumn="0" w:firstRowLastColumn="0" w:lastRowFirstColumn="0" w:lastRowLastColumn="0"/>
              <w:rPr>
                <w:b w:val="0"/>
                <w:sz w:val="22"/>
                <w:szCs w:val="22"/>
              </w:rPr>
            </w:pPr>
            <w:r w:rsidRPr="003272EC">
              <w:rPr>
                <w:sz w:val="22"/>
                <w:szCs w:val="22"/>
              </w:rPr>
              <w:t>Location</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Care</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HIV positive; MSM</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 xml:space="preserve">12 </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Care</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HIV positive; MSM</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 xml:space="preserve">13 </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Care</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HIV positive (mostly women; majority African American)</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10</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Care</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HIV positive; MSM</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11</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Pahrump</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Care</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HIV positive (Includes some MSM)</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18</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Reno</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Care</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HIV positive; Hispanic men (includes some MSM)</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10</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Reno</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African American men; (Includes some MSM; some HIV+)</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7</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African American women (Includes some HIV+)</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20</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MSM youth/young adult (Includes some transgender)</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11</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IDU/Substance abuse (includes some MSM; some HIV+)</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11</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Hispanic women</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9</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Hispanic men</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8</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Hispanic men</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7</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Native American</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10</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Reno</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IDU/Substance abuse; some HIV+</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9</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Reno</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Young adult</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9</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Reno</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MSM</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8</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Reno</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Native American</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5</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 xml:space="preserve">Las Vegas </w:t>
            </w:r>
          </w:p>
        </w:tc>
      </w:tr>
      <w:tr w:rsidR="008A385E" w:rsidRPr="003272EC" w:rsidTr="008A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Young adult female</w:t>
            </w:r>
          </w:p>
        </w:tc>
        <w:tc>
          <w:tcPr>
            <w:tcW w:w="1800"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4</w:t>
            </w:r>
          </w:p>
        </w:tc>
        <w:tc>
          <w:tcPr>
            <w:tcW w:w="1638" w:type="dxa"/>
          </w:tcPr>
          <w:p w:rsidR="008A385E" w:rsidRPr="003272EC" w:rsidRDefault="008A385E" w:rsidP="008A385E">
            <w:pPr>
              <w:cnfStyle w:val="000000100000" w:firstRow="0" w:lastRow="0" w:firstColumn="0" w:lastColumn="0" w:oddVBand="0" w:evenVBand="0" w:oddHBand="1" w:evenHBand="0" w:firstRowFirstColumn="0" w:firstRowLastColumn="0" w:lastRowFirstColumn="0" w:lastRowLastColumn="0"/>
              <w:rPr>
                <w:sz w:val="22"/>
                <w:szCs w:val="22"/>
              </w:rPr>
            </w:pPr>
            <w:r w:rsidRPr="003272EC">
              <w:rPr>
                <w:sz w:val="22"/>
                <w:szCs w:val="22"/>
              </w:rPr>
              <w:t>Las Vegas</w:t>
            </w:r>
          </w:p>
        </w:tc>
      </w:tr>
      <w:tr w:rsidR="008A385E" w:rsidRPr="003272EC" w:rsidTr="008A3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8A385E" w:rsidRPr="003272EC" w:rsidRDefault="008A385E" w:rsidP="008A385E">
            <w:pPr>
              <w:rPr>
                <w:sz w:val="22"/>
                <w:szCs w:val="22"/>
              </w:rPr>
            </w:pPr>
            <w:r w:rsidRPr="003272EC">
              <w:rPr>
                <w:sz w:val="22"/>
                <w:szCs w:val="22"/>
              </w:rPr>
              <w:t>HIV Prevention</w:t>
            </w:r>
          </w:p>
        </w:tc>
        <w:tc>
          <w:tcPr>
            <w:tcW w:w="441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Asian/Pacific Islander</w:t>
            </w:r>
          </w:p>
        </w:tc>
        <w:tc>
          <w:tcPr>
            <w:tcW w:w="1800"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7</w:t>
            </w:r>
          </w:p>
        </w:tc>
        <w:tc>
          <w:tcPr>
            <w:tcW w:w="1638" w:type="dxa"/>
          </w:tcPr>
          <w:p w:rsidR="008A385E" w:rsidRPr="003272EC" w:rsidRDefault="008A385E" w:rsidP="008A385E">
            <w:pPr>
              <w:cnfStyle w:val="000000010000" w:firstRow="0" w:lastRow="0" w:firstColumn="0" w:lastColumn="0" w:oddVBand="0" w:evenVBand="0" w:oddHBand="0" w:evenHBand="1" w:firstRowFirstColumn="0" w:firstRowLastColumn="0" w:lastRowFirstColumn="0" w:lastRowLastColumn="0"/>
              <w:rPr>
                <w:sz w:val="22"/>
                <w:szCs w:val="22"/>
              </w:rPr>
            </w:pPr>
            <w:r w:rsidRPr="003272EC">
              <w:rPr>
                <w:sz w:val="22"/>
                <w:szCs w:val="22"/>
              </w:rPr>
              <w:t>Las Vegas</w:t>
            </w:r>
          </w:p>
        </w:tc>
      </w:tr>
    </w:tbl>
    <w:p w:rsidR="008A385E" w:rsidRPr="003272EC" w:rsidRDefault="008A385E" w:rsidP="008A385E">
      <w:pPr>
        <w:spacing w:after="0"/>
        <w:rPr>
          <w:sz w:val="22"/>
          <w:szCs w:val="22"/>
        </w:rPr>
      </w:pPr>
      <w:r w:rsidRPr="003272EC">
        <w:rPr>
          <w:noProof/>
          <w:sz w:val="22"/>
          <w:szCs w:val="22"/>
        </w:rPr>
        <w:lastRenderedPageBreak/>
        <w:drawing>
          <wp:inline distT="0" distB="0" distL="0" distR="0" wp14:anchorId="3E4BAF24" wp14:editId="788AD5CF">
            <wp:extent cx="5939624" cy="1645920"/>
            <wp:effectExtent l="0" t="0" r="4445"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A385E" w:rsidRPr="003272EC" w:rsidRDefault="008A385E" w:rsidP="008A385E">
      <w:pPr>
        <w:spacing w:after="0"/>
        <w:rPr>
          <w:sz w:val="22"/>
          <w:szCs w:val="22"/>
        </w:rPr>
      </w:pPr>
    </w:p>
    <w:p w:rsidR="008A385E" w:rsidRPr="003272EC" w:rsidRDefault="008A385E" w:rsidP="008A385E">
      <w:pPr>
        <w:spacing w:after="0"/>
        <w:rPr>
          <w:rFonts w:cs="Times New Roman"/>
          <w:sz w:val="22"/>
          <w:szCs w:val="22"/>
        </w:rPr>
      </w:pPr>
      <w:r w:rsidRPr="003272EC">
        <w:rPr>
          <w:noProof/>
          <w:sz w:val="22"/>
          <w:szCs w:val="22"/>
        </w:rPr>
        <w:drawing>
          <wp:inline distT="0" distB="0" distL="0" distR="0" wp14:anchorId="01396F52" wp14:editId="13705FDA">
            <wp:extent cx="5939624" cy="2107096"/>
            <wp:effectExtent l="0" t="0" r="4445" b="7620"/>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A385E" w:rsidRPr="003272EC" w:rsidRDefault="008A385E" w:rsidP="008A385E">
      <w:pPr>
        <w:spacing w:after="0"/>
        <w:rPr>
          <w:rFonts w:cs="Times New Roman"/>
          <w:sz w:val="22"/>
          <w:szCs w:val="22"/>
        </w:rPr>
      </w:pPr>
      <w:r w:rsidRPr="003272EC">
        <w:rPr>
          <w:noProof/>
          <w:sz w:val="22"/>
          <w:szCs w:val="22"/>
        </w:rPr>
        <w:drawing>
          <wp:inline distT="0" distB="0" distL="0" distR="0" wp14:anchorId="5919F77A" wp14:editId="5437DB06">
            <wp:extent cx="5935980" cy="2758440"/>
            <wp:effectExtent l="0" t="0" r="7620" b="381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A385E" w:rsidRPr="003272EC" w:rsidRDefault="008A385E" w:rsidP="008A385E">
      <w:pPr>
        <w:spacing w:after="0"/>
        <w:rPr>
          <w:rFonts w:cs="Times New Roman"/>
          <w:sz w:val="22"/>
          <w:szCs w:val="22"/>
        </w:rPr>
      </w:pPr>
    </w:p>
    <w:p w:rsidR="008A385E" w:rsidRPr="003272EC" w:rsidRDefault="008A385E" w:rsidP="008A385E">
      <w:pPr>
        <w:spacing w:after="0"/>
        <w:rPr>
          <w:rFonts w:cs="Times New Roman"/>
          <w:sz w:val="22"/>
          <w:szCs w:val="22"/>
        </w:rPr>
      </w:pPr>
      <w:r w:rsidRPr="003272EC">
        <w:rPr>
          <w:noProof/>
          <w:sz w:val="22"/>
          <w:szCs w:val="22"/>
        </w:rPr>
        <w:lastRenderedPageBreak/>
        <w:drawing>
          <wp:inline distT="0" distB="0" distL="0" distR="0" wp14:anchorId="7DDA5349" wp14:editId="3BBA1D1E">
            <wp:extent cx="5939624" cy="1995777"/>
            <wp:effectExtent l="0" t="0" r="4445" b="508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A385E" w:rsidRPr="003272EC" w:rsidRDefault="008A385E" w:rsidP="008A385E">
      <w:pPr>
        <w:spacing w:after="0"/>
        <w:rPr>
          <w:rFonts w:cs="Times New Roman"/>
          <w:sz w:val="22"/>
          <w:szCs w:val="22"/>
        </w:rPr>
      </w:pPr>
      <w:r w:rsidRPr="003272EC">
        <w:rPr>
          <w:noProof/>
          <w:sz w:val="22"/>
          <w:szCs w:val="22"/>
        </w:rPr>
        <w:drawing>
          <wp:inline distT="0" distB="0" distL="0" distR="0" wp14:anchorId="6DFBDCA4" wp14:editId="724C6A20">
            <wp:extent cx="5935980" cy="1988820"/>
            <wp:effectExtent l="0" t="0" r="7620" b="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A385E" w:rsidRPr="003272EC" w:rsidRDefault="008A385E" w:rsidP="008A385E">
      <w:pPr>
        <w:spacing w:after="0"/>
        <w:rPr>
          <w:sz w:val="22"/>
          <w:szCs w:val="22"/>
        </w:rPr>
      </w:pPr>
      <w:r w:rsidRPr="003272EC">
        <w:rPr>
          <w:sz w:val="22"/>
          <w:szCs w:val="22"/>
        </w:rPr>
        <w:t>26% use social media to find partners</w:t>
      </w:r>
    </w:p>
    <w:p w:rsidR="008A385E" w:rsidRPr="003272EC" w:rsidRDefault="008A385E" w:rsidP="008A385E">
      <w:pPr>
        <w:spacing w:after="0"/>
        <w:ind w:firstLine="720"/>
        <w:rPr>
          <w:rFonts w:cs="Times New Roman"/>
          <w:sz w:val="22"/>
          <w:szCs w:val="22"/>
        </w:rPr>
      </w:pPr>
      <w:r w:rsidRPr="003272EC">
        <w:rPr>
          <w:rFonts w:cs="Times New Roman"/>
          <w:sz w:val="22"/>
          <w:szCs w:val="22"/>
        </w:rPr>
        <w:t>Most frequently used social media apps</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Times New Roman"/>
          <w:sz w:val="22"/>
          <w:szCs w:val="22"/>
        </w:rPr>
        <w:t>Facebook</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Adam 4 Adam</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Growlr</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Grindr</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Scruff</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Bear 411</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Jack'd</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Craigslist</w:t>
      </w:r>
    </w:p>
    <w:p w:rsidR="008A385E" w:rsidRPr="003272EC" w:rsidRDefault="008A385E" w:rsidP="00E73293">
      <w:pPr>
        <w:pStyle w:val="ListParagraph"/>
        <w:numPr>
          <w:ilvl w:val="0"/>
          <w:numId w:val="44"/>
        </w:numPr>
        <w:spacing w:before="0" w:after="0"/>
        <w:rPr>
          <w:rFonts w:cs="Times New Roman"/>
          <w:sz w:val="22"/>
          <w:szCs w:val="22"/>
        </w:rPr>
      </w:pPr>
      <w:r w:rsidRPr="003272EC">
        <w:rPr>
          <w:rFonts w:cs="Arial"/>
          <w:color w:val="000000"/>
          <w:sz w:val="22"/>
          <w:szCs w:val="22"/>
        </w:rPr>
        <w:t>Tinder</w:t>
      </w:r>
    </w:p>
    <w:p w:rsidR="008A385E" w:rsidRPr="003272EC" w:rsidRDefault="008A385E" w:rsidP="008A385E">
      <w:pPr>
        <w:spacing w:after="0"/>
        <w:rPr>
          <w:sz w:val="22"/>
          <w:szCs w:val="22"/>
        </w:rPr>
      </w:pPr>
    </w:p>
    <w:p w:rsidR="008A385E" w:rsidRPr="003272EC" w:rsidRDefault="008A385E" w:rsidP="008A385E">
      <w:pPr>
        <w:spacing w:after="0"/>
        <w:rPr>
          <w:b/>
          <w:sz w:val="22"/>
          <w:szCs w:val="22"/>
        </w:rPr>
      </w:pPr>
      <w:r w:rsidRPr="003272EC">
        <w:rPr>
          <w:b/>
          <w:sz w:val="22"/>
          <w:szCs w:val="22"/>
        </w:rPr>
        <w:br w:type="page"/>
      </w:r>
    </w:p>
    <w:p w:rsidR="008A385E" w:rsidRPr="00A070CE" w:rsidRDefault="008A385E" w:rsidP="008A385E">
      <w:pPr>
        <w:spacing w:after="0"/>
        <w:rPr>
          <w:b/>
          <w:sz w:val="24"/>
          <w:szCs w:val="22"/>
        </w:rPr>
      </w:pPr>
      <w:r w:rsidRPr="00A070CE">
        <w:rPr>
          <w:b/>
          <w:sz w:val="24"/>
          <w:szCs w:val="22"/>
        </w:rPr>
        <w:lastRenderedPageBreak/>
        <w:t>Summary of HIV Positive Group Responses</w:t>
      </w:r>
    </w:p>
    <w:p w:rsidR="008A385E" w:rsidRPr="003272EC" w:rsidRDefault="008A385E" w:rsidP="008A385E">
      <w:pPr>
        <w:spacing w:after="0"/>
        <w:rPr>
          <w:b/>
          <w:sz w:val="22"/>
          <w:szCs w:val="22"/>
        </w:rPr>
      </w:pPr>
      <w:r w:rsidRPr="003272EC">
        <w:rPr>
          <w:b/>
          <w:sz w:val="22"/>
          <w:szCs w:val="22"/>
        </w:rPr>
        <w:t>What has it been like for you accessing HIV services? (What has made it easy or hard  to get the services you need?)</w:t>
      </w:r>
    </w:p>
    <w:p w:rsidR="008A385E" w:rsidRPr="003272EC" w:rsidRDefault="008A385E" w:rsidP="008A385E">
      <w:pPr>
        <w:spacing w:after="0"/>
        <w:rPr>
          <w:sz w:val="22"/>
          <w:szCs w:val="22"/>
        </w:rPr>
      </w:pPr>
      <w:r w:rsidRPr="003272EC">
        <w:rPr>
          <w:sz w:val="22"/>
          <w:szCs w:val="22"/>
        </w:rPr>
        <w:t>Many clients had found it generally easy to access services; however, some acknowledged it was sometimes confusing or difficult to access services, particularly at the beginning.</w:t>
      </w:r>
    </w:p>
    <w:p w:rsidR="008A385E" w:rsidRPr="003272EC" w:rsidRDefault="008A385E" w:rsidP="008A385E">
      <w:pPr>
        <w:spacing w:after="0"/>
        <w:rPr>
          <w:b/>
          <w:sz w:val="22"/>
          <w:szCs w:val="22"/>
        </w:rPr>
      </w:pPr>
      <w:r w:rsidRPr="003272EC">
        <w:rPr>
          <w:b/>
          <w:sz w:val="22"/>
          <w:szCs w:val="22"/>
        </w:rPr>
        <w:t xml:space="preserve">What are the most important services that help you manage your care? </w:t>
      </w:r>
    </w:p>
    <w:p w:rsidR="008A385E" w:rsidRPr="003272EC" w:rsidRDefault="008A385E" w:rsidP="008A385E">
      <w:pPr>
        <w:spacing w:after="0"/>
        <w:rPr>
          <w:b/>
          <w:sz w:val="22"/>
          <w:szCs w:val="22"/>
        </w:rPr>
      </w:pPr>
      <w:r w:rsidRPr="003272EC">
        <w:rPr>
          <w:b/>
          <w:sz w:val="22"/>
          <w:szCs w:val="22"/>
        </w:rPr>
        <w:t xml:space="preserve">What helps people living with HIV to stay in care? </w:t>
      </w:r>
    </w:p>
    <w:p w:rsidR="008A385E" w:rsidRPr="003272EC" w:rsidRDefault="008A385E" w:rsidP="008A385E">
      <w:pPr>
        <w:spacing w:after="0"/>
        <w:rPr>
          <w:b/>
          <w:sz w:val="22"/>
          <w:szCs w:val="22"/>
        </w:rPr>
      </w:pPr>
      <w:r w:rsidRPr="003272EC">
        <w:rPr>
          <w:b/>
          <w:sz w:val="22"/>
          <w:szCs w:val="22"/>
        </w:rPr>
        <w:t>Most important services that help HIV clients manage their care and stay in care</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Case Management</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Doctors specializing in HIV</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Transportation</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Knowledge of resources available and where to go</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Support groups</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Housing</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Help paying for medication and co-pays</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Food</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Mental Health care</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Dental work</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Eligibility</w:t>
      </w:r>
    </w:p>
    <w:p w:rsidR="008A385E" w:rsidRPr="003272EC" w:rsidRDefault="008A385E" w:rsidP="00E73293">
      <w:pPr>
        <w:pStyle w:val="ListParagraph"/>
        <w:numPr>
          <w:ilvl w:val="0"/>
          <w:numId w:val="36"/>
        </w:numPr>
        <w:spacing w:before="0" w:after="0"/>
        <w:rPr>
          <w:rFonts w:eastAsia="Times New Roman" w:cs="Arial"/>
          <w:bCs/>
          <w:sz w:val="22"/>
          <w:szCs w:val="22"/>
        </w:rPr>
      </w:pPr>
      <w:r w:rsidRPr="003272EC">
        <w:rPr>
          <w:rFonts w:eastAsia="Times New Roman" w:cs="Arial"/>
          <w:bCs/>
          <w:sz w:val="22"/>
          <w:szCs w:val="22"/>
        </w:rPr>
        <w:t>Labwork</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What helps people stay in care</w:t>
      </w:r>
    </w:p>
    <w:p w:rsidR="008A385E" w:rsidRPr="003272EC" w:rsidRDefault="008A385E" w:rsidP="00E73293">
      <w:pPr>
        <w:pStyle w:val="ListParagraph"/>
        <w:numPr>
          <w:ilvl w:val="0"/>
          <w:numId w:val="35"/>
        </w:numPr>
        <w:spacing w:before="0" w:after="0"/>
        <w:rPr>
          <w:rFonts w:eastAsia="Times New Roman" w:cs="Arial"/>
          <w:bCs/>
          <w:sz w:val="22"/>
          <w:szCs w:val="22"/>
        </w:rPr>
      </w:pPr>
      <w:r w:rsidRPr="003272EC">
        <w:rPr>
          <w:rFonts w:eastAsia="Times New Roman" w:cs="Arial"/>
          <w:bCs/>
          <w:sz w:val="22"/>
          <w:szCs w:val="22"/>
        </w:rPr>
        <w:t>Desire to do so; positive attitude</w:t>
      </w:r>
    </w:p>
    <w:p w:rsidR="008A385E" w:rsidRPr="003272EC" w:rsidRDefault="008A385E" w:rsidP="00E73293">
      <w:pPr>
        <w:pStyle w:val="ListParagraph"/>
        <w:numPr>
          <w:ilvl w:val="0"/>
          <w:numId w:val="35"/>
        </w:numPr>
        <w:spacing w:before="0" w:after="0"/>
        <w:rPr>
          <w:rFonts w:eastAsia="Times New Roman" w:cs="Arial"/>
          <w:bCs/>
          <w:sz w:val="22"/>
          <w:szCs w:val="22"/>
        </w:rPr>
      </w:pPr>
      <w:r w:rsidRPr="003272EC">
        <w:rPr>
          <w:rFonts w:eastAsia="Times New Roman" w:cs="Arial"/>
          <w:bCs/>
          <w:sz w:val="22"/>
          <w:szCs w:val="22"/>
        </w:rPr>
        <w:t>Taking medication regularly</w:t>
      </w:r>
    </w:p>
    <w:p w:rsidR="008A385E" w:rsidRPr="003272EC" w:rsidRDefault="008A385E" w:rsidP="00E73293">
      <w:pPr>
        <w:pStyle w:val="ListParagraph"/>
        <w:numPr>
          <w:ilvl w:val="0"/>
          <w:numId w:val="35"/>
        </w:numPr>
        <w:spacing w:before="0" w:after="0"/>
        <w:rPr>
          <w:rFonts w:eastAsia="Times New Roman" w:cs="Arial"/>
          <w:bCs/>
          <w:sz w:val="22"/>
          <w:szCs w:val="22"/>
        </w:rPr>
      </w:pPr>
      <w:r w:rsidRPr="003272EC">
        <w:rPr>
          <w:rFonts w:eastAsia="Times New Roman" w:cs="Arial"/>
          <w:bCs/>
          <w:sz w:val="22"/>
          <w:szCs w:val="22"/>
        </w:rPr>
        <w:t>Lunch and learn (apparently has been discontinued)</w:t>
      </w:r>
    </w:p>
    <w:p w:rsidR="008A385E" w:rsidRPr="003272EC" w:rsidRDefault="008A385E" w:rsidP="00E73293">
      <w:pPr>
        <w:pStyle w:val="ListParagraph"/>
        <w:numPr>
          <w:ilvl w:val="0"/>
          <w:numId w:val="35"/>
        </w:numPr>
        <w:spacing w:before="0" w:after="0"/>
        <w:rPr>
          <w:rFonts w:eastAsia="Times New Roman" w:cs="Arial"/>
          <w:bCs/>
          <w:sz w:val="22"/>
          <w:szCs w:val="22"/>
        </w:rPr>
      </w:pPr>
      <w:r w:rsidRPr="003272EC">
        <w:rPr>
          <w:rFonts w:eastAsia="Times New Roman" w:cs="Arial"/>
          <w:bCs/>
          <w:sz w:val="22"/>
          <w:szCs w:val="22"/>
        </w:rPr>
        <w:t>Social media groups</w:t>
      </w:r>
    </w:p>
    <w:p w:rsidR="008A385E" w:rsidRPr="003272EC" w:rsidRDefault="008A385E" w:rsidP="00E73293">
      <w:pPr>
        <w:pStyle w:val="ListParagraph"/>
        <w:numPr>
          <w:ilvl w:val="0"/>
          <w:numId w:val="35"/>
        </w:numPr>
        <w:spacing w:before="0" w:after="0"/>
        <w:rPr>
          <w:rFonts w:eastAsia="Times New Roman" w:cs="Arial"/>
          <w:bCs/>
          <w:sz w:val="22"/>
          <w:szCs w:val="22"/>
        </w:rPr>
      </w:pPr>
      <w:r w:rsidRPr="003272EC">
        <w:rPr>
          <w:rFonts w:eastAsia="Times New Roman" w:cs="Arial"/>
          <w:bCs/>
          <w:sz w:val="22"/>
          <w:szCs w:val="22"/>
        </w:rPr>
        <w:t>housing</w:t>
      </w:r>
    </w:p>
    <w:p w:rsidR="008A385E" w:rsidRPr="003272EC" w:rsidRDefault="008A385E" w:rsidP="008A385E">
      <w:pPr>
        <w:spacing w:after="0"/>
        <w:rPr>
          <w:b/>
          <w:sz w:val="22"/>
          <w:szCs w:val="22"/>
        </w:rPr>
      </w:pPr>
      <w:r w:rsidRPr="003272EC">
        <w:rPr>
          <w:b/>
          <w:sz w:val="22"/>
          <w:szCs w:val="22"/>
        </w:rPr>
        <w:t>If you could change one thing in the HIV Care Network, what would it be?</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better communication between hospitals and primary care provider; improved coordination of care</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dental care available other than at the dental school</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improved pharmacy services; all in one pharmacy</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more funding and resources</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improved patient confidentiality</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improved handling of bills denied by Medicare; time consuming process to get denied services covered</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lastRenderedPageBreak/>
        <w:t>shouldn't have to fill out separate paperwork for all of the different Ryan White programs; streamline paperwork</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only UMC patients now qualify for Part C; should change that</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improvement in of organizations</w:t>
      </w:r>
    </w:p>
    <w:p w:rsidR="008A385E" w:rsidRPr="00A070CE" w:rsidRDefault="008A385E" w:rsidP="00E73293">
      <w:pPr>
        <w:pStyle w:val="ListParagraph"/>
        <w:numPr>
          <w:ilvl w:val="0"/>
          <w:numId w:val="46"/>
        </w:numPr>
        <w:spacing w:before="0" w:after="0"/>
        <w:rPr>
          <w:rFonts w:eastAsia="Times New Roman" w:cs="Arial"/>
          <w:bCs/>
          <w:sz w:val="22"/>
          <w:szCs w:val="22"/>
        </w:rPr>
      </w:pPr>
      <w:r w:rsidRPr="00A070CE">
        <w:rPr>
          <w:rFonts w:eastAsia="Times New Roman" w:cs="Times New Roman"/>
          <w:sz w:val="22"/>
          <w:szCs w:val="22"/>
        </w:rPr>
        <w:t>improvement of entire HIV system</w:t>
      </w:r>
    </w:p>
    <w:p w:rsidR="008A385E" w:rsidRPr="003272EC" w:rsidRDefault="008A385E" w:rsidP="008A385E">
      <w:pPr>
        <w:spacing w:after="0"/>
        <w:rPr>
          <w:b/>
          <w:sz w:val="22"/>
          <w:szCs w:val="22"/>
        </w:rPr>
      </w:pPr>
      <w:r w:rsidRPr="003272EC">
        <w:rPr>
          <w:b/>
          <w:sz w:val="22"/>
          <w:szCs w:val="22"/>
        </w:rPr>
        <w:t>What services do you need that you are not getting?</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Food vouchers; food cards; lunch</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Van service; transportation; bus passes</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24-hour access to counseling services</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24-hour access to nurse online</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Better dental care</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Better access to therapist/psychiatrist</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Better vision coverage</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Infectious disease specialist in Pahrump</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Housing</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Hygiene products</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Peer advocates</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Hotline; resource information online; increased awareness of available services</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 xml:space="preserve">Lunch and learn </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Compassion and empathy; improved cultural competence</w:t>
      </w:r>
    </w:p>
    <w:p w:rsidR="008A385E" w:rsidRPr="003272EC" w:rsidRDefault="008A385E" w:rsidP="00E73293">
      <w:pPr>
        <w:pStyle w:val="ListParagraph"/>
        <w:numPr>
          <w:ilvl w:val="0"/>
          <w:numId w:val="34"/>
        </w:numPr>
        <w:spacing w:before="0" w:after="0"/>
        <w:rPr>
          <w:rFonts w:eastAsia="Times New Roman" w:cs="Arial"/>
          <w:bCs/>
          <w:sz w:val="22"/>
          <w:szCs w:val="22"/>
        </w:rPr>
      </w:pPr>
      <w:r w:rsidRPr="003272EC">
        <w:rPr>
          <w:rFonts w:eastAsia="Times New Roman" w:cs="Arial"/>
          <w:bCs/>
          <w:sz w:val="22"/>
          <w:szCs w:val="22"/>
        </w:rPr>
        <w:t xml:space="preserve">African American health professionals </w:t>
      </w:r>
    </w:p>
    <w:p w:rsidR="008A385E" w:rsidRPr="003272EC" w:rsidRDefault="008A385E" w:rsidP="008A385E">
      <w:pPr>
        <w:spacing w:after="0"/>
        <w:rPr>
          <w:b/>
          <w:sz w:val="22"/>
          <w:szCs w:val="22"/>
        </w:rPr>
      </w:pPr>
      <w:r w:rsidRPr="003272EC">
        <w:rPr>
          <w:b/>
          <w:sz w:val="22"/>
          <w:szCs w:val="22"/>
        </w:rPr>
        <w:t>Some people who are HIV+ are not using HIV services. Why do you think they are not using any services? (What would help people who recently found out their HIV+ status to get linked into care?)</w:t>
      </w:r>
    </w:p>
    <w:p w:rsidR="008A385E" w:rsidRPr="003272EC" w:rsidRDefault="008A385E" w:rsidP="00E73293">
      <w:pPr>
        <w:pStyle w:val="ListParagraph"/>
        <w:numPr>
          <w:ilvl w:val="0"/>
          <w:numId w:val="37"/>
        </w:numPr>
        <w:spacing w:before="0" w:after="0"/>
        <w:rPr>
          <w:rFonts w:eastAsia="Times New Roman" w:cs="Times New Roman"/>
          <w:color w:val="000000"/>
          <w:sz w:val="22"/>
          <w:szCs w:val="22"/>
        </w:rPr>
      </w:pPr>
      <w:r w:rsidRPr="003272EC">
        <w:rPr>
          <w:rFonts w:eastAsia="Times New Roman" w:cs="Times New Roman"/>
          <w:color w:val="000000"/>
          <w:sz w:val="22"/>
          <w:szCs w:val="22"/>
        </w:rPr>
        <w:t>Have an addiction; drugs; alcohol; addiction taking all time and attention</w:t>
      </w:r>
    </w:p>
    <w:p w:rsidR="008A385E" w:rsidRPr="003272EC" w:rsidRDefault="008A385E" w:rsidP="00E73293">
      <w:pPr>
        <w:pStyle w:val="ListParagraph"/>
        <w:numPr>
          <w:ilvl w:val="0"/>
          <w:numId w:val="37"/>
        </w:numPr>
        <w:spacing w:before="0" w:after="0"/>
        <w:rPr>
          <w:rFonts w:eastAsia="Times New Roman" w:cs="Times New Roman"/>
          <w:color w:val="000000"/>
          <w:sz w:val="22"/>
          <w:szCs w:val="22"/>
        </w:rPr>
      </w:pPr>
      <w:r w:rsidRPr="003272EC">
        <w:rPr>
          <w:rFonts w:eastAsia="Times New Roman" w:cs="Times New Roman"/>
          <w:color w:val="000000"/>
          <w:sz w:val="22"/>
          <w:szCs w:val="22"/>
        </w:rPr>
        <w:t>Don't want anyone to know are HIV+</w:t>
      </w:r>
    </w:p>
    <w:p w:rsidR="008A385E" w:rsidRPr="003272EC" w:rsidRDefault="008A385E" w:rsidP="00E73293">
      <w:pPr>
        <w:pStyle w:val="ListParagraph"/>
        <w:numPr>
          <w:ilvl w:val="0"/>
          <w:numId w:val="37"/>
        </w:numPr>
        <w:spacing w:before="0" w:after="0"/>
        <w:rPr>
          <w:rFonts w:eastAsia="Times New Roman" w:cs="Times New Roman"/>
          <w:color w:val="000000"/>
          <w:sz w:val="22"/>
          <w:szCs w:val="22"/>
        </w:rPr>
      </w:pPr>
      <w:r w:rsidRPr="003272EC">
        <w:rPr>
          <w:rFonts w:eastAsia="Times New Roman" w:cs="Times New Roman"/>
          <w:color w:val="000000"/>
          <w:sz w:val="22"/>
          <w:szCs w:val="22"/>
        </w:rPr>
        <w:t>Stigma; discrimination; stereotypes</w:t>
      </w:r>
    </w:p>
    <w:p w:rsidR="008A385E" w:rsidRPr="003272EC" w:rsidRDefault="008A385E" w:rsidP="00E73293">
      <w:pPr>
        <w:pStyle w:val="ListParagraph"/>
        <w:numPr>
          <w:ilvl w:val="0"/>
          <w:numId w:val="37"/>
        </w:numPr>
        <w:spacing w:before="0" w:after="0"/>
        <w:rPr>
          <w:rFonts w:eastAsia="Times New Roman" w:cs="Arial"/>
          <w:bCs/>
          <w:color w:val="365F91"/>
          <w:sz w:val="22"/>
          <w:szCs w:val="22"/>
        </w:rPr>
      </w:pPr>
      <w:r w:rsidRPr="003272EC">
        <w:rPr>
          <w:rFonts w:eastAsia="Times New Roman" w:cs="Times New Roman"/>
          <w:color w:val="000000"/>
          <w:sz w:val="22"/>
          <w:szCs w:val="22"/>
        </w:rPr>
        <w:t>Don't know where to go to get services; don't know system</w:t>
      </w:r>
    </w:p>
    <w:p w:rsidR="008A385E" w:rsidRPr="003272EC" w:rsidRDefault="008A385E" w:rsidP="00E73293">
      <w:pPr>
        <w:pStyle w:val="ListParagraph"/>
        <w:numPr>
          <w:ilvl w:val="0"/>
          <w:numId w:val="37"/>
        </w:numPr>
        <w:spacing w:before="0" w:after="0"/>
        <w:rPr>
          <w:rFonts w:eastAsia="Times New Roman" w:cs="Times New Roman"/>
          <w:color w:val="000000"/>
          <w:sz w:val="22"/>
          <w:szCs w:val="22"/>
        </w:rPr>
      </w:pPr>
      <w:r w:rsidRPr="003272EC">
        <w:rPr>
          <w:rFonts w:eastAsia="Times New Roman" w:cs="Times New Roman"/>
          <w:color w:val="000000"/>
          <w:sz w:val="22"/>
          <w:szCs w:val="22"/>
        </w:rPr>
        <w:t>Don't care; apathy; give up</w:t>
      </w:r>
    </w:p>
    <w:p w:rsidR="008A385E" w:rsidRPr="003272EC" w:rsidRDefault="008A385E" w:rsidP="00E73293">
      <w:pPr>
        <w:pStyle w:val="ListParagraph"/>
        <w:numPr>
          <w:ilvl w:val="0"/>
          <w:numId w:val="37"/>
        </w:numPr>
        <w:spacing w:before="0" w:after="0"/>
        <w:rPr>
          <w:rFonts w:eastAsia="Times New Roman" w:cs="Times New Roman"/>
          <w:color w:val="000000"/>
          <w:sz w:val="22"/>
          <w:szCs w:val="22"/>
        </w:rPr>
      </w:pPr>
      <w:r w:rsidRPr="003272EC">
        <w:rPr>
          <w:rFonts w:eastAsia="Times New Roman" w:cs="Times New Roman"/>
          <w:color w:val="000000"/>
          <w:sz w:val="22"/>
          <w:szCs w:val="22"/>
        </w:rPr>
        <w:t>Fear</w:t>
      </w:r>
    </w:p>
    <w:p w:rsidR="008A385E" w:rsidRPr="003272EC" w:rsidRDefault="008A385E" w:rsidP="00E73293">
      <w:pPr>
        <w:pStyle w:val="ListParagraph"/>
        <w:numPr>
          <w:ilvl w:val="0"/>
          <w:numId w:val="37"/>
        </w:numPr>
        <w:spacing w:before="0" w:after="0"/>
        <w:rPr>
          <w:rFonts w:eastAsia="Times New Roman" w:cs="Times New Roman"/>
          <w:color w:val="000000"/>
          <w:sz w:val="22"/>
          <w:szCs w:val="22"/>
        </w:rPr>
      </w:pPr>
      <w:r w:rsidRPr="003272EC">
        <w:rPr>
          <w:rFonts w:eastAsia="Times New Roman" w:cs="Times New Roman"/>
          <w:color w:val="000000"/>
          <w:sz w:val="22"/>
          <w:szCs w:val="22"/>
        </w:rPr>
        <w:t>Too much work to get services, doctor, take medicines, etc.</w:t>
      </w:r>
    </w:p>
    <w:p w:rsidR="008A385E" w:rsidRPr="003272EC" w:rsidRDefault="008A385E" w:rsidP="00E73293">
      <w:pPr>
        <w:pStyle w:val="ListParagraph"/>
        <w:numPr>
          <w:ilvl w:val="0"/>
          <w:numId w:val="37"/>
        </w:numPr>
        <w:spacing w:before="0" w:after="0"/>
        <w:rPr>
          <w:rFonts w:eastAsia="Times New Roman" w:cs="Times New Roman"/>
          <w:color w:val="000000"/>
          <w:sz w:val="22"/>
          <w:szCs w:val="22"/>
        </w:rPr>
      </w:pPr>
      <w:r w:rsidRPr="003272EC">
        <w:rPr>
          <w:rFonts w:eastAsia="Times New Roman" w:cs="Times New Roman"/>
          <w:color w:val="000000"/>
          <w:sz w:val="22"/>
          <w:szCs w:val="22"/>
        </w:rPr>
        <w:t>Language barrier</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What would help people who recently found out their HIV+ status to get linked into care</w:t>
      </w:r>
    </w:p>
    <w:p w:rsidR="008A385E" w:rsidRPr="003272EC" w:rsidRDefault="008A385E" w:rsidP="00E73293">
      <w:pPr>
        <w:pStyle w:val="ListParagraph"/>
        <w:numPr>
          <w:ilvl w:val="0"/>
          <w:numId w:val="38"/>
        </w:numPr>
        <w:spacing w:before="0" w:after="0"/>
        <w:rPr>
          <w:rFonts w:eastAsia="Times New Roman" w:cs="Arial"/>
          <w:bCs/>
          <w:color w:val="365F91"/>
          <w:sz w:val="22"/>
          <w:szCs w:val="22"/>
        </w:rPr>
      </w:pPr>
      <w:r w:rsidRPr="003272EC">
        <w:rPr>
          <w:rFonts w:eastAsia="Times New Roman" w:cs="Times New Roman"/>
          <w:color w:val="000000"/>
          <w:sz w:val="22"/>
          <w:szCs w:val="22"/>
        </w:rPr>
        <w:t>Health manager; case manager; someone to help get the services</w:t>
      </w:r>
    </w:p>
    <w:p w:rsidR="008A385E" w:rsidRPr="003272EC" w:rsidRDefault="008A385E" w:rsidP="00E73293">
      <w:pPr>
        <w:pStyle w:val="ListParagraph"/>
        <w:numPr>
          <w:ilvl w:val="0"/>
          <w:numId w:val="38"/>
        </w:numPr>
        <w:spacing w:before="0" w:after="0"/>
        <w:rPr>
          <w:rFonts w:eastAsia="Times New Roman" w:cs="Arial"/>
          <w:bCs/>
          <w:color w:val="365F91"/>
          <w:sz w:val="22"/>
          <w:szCs w:val="22"/>
        </w:rPr>
      </w:pPr>
      <w:r w:rsidRPr="003272EC">
        <w:rPr>
          <w:rFonts w:eastAsia="Times New Roman" w:cs="Times New Roman"/>
          <w:color w:val="000000"/>
          <w:sz w:val="22"/>
          <w:szCs w:val="22"/>
        </w:rPr>
        <w:t>Person with HIV to explain about services and resources</w:t>
      </w:r>
    </w:p>
    <w:p w:rsidR="008A385E" w:rsidRPr="003272EC" w:rsidRDefault="008A385E" w:rsidP="00E73293">
      <w:pPr>
        <w:pStyle w:val="ListParagraph"/>
        <w:numPr>
          <w:ilvl w:val="0"/>
          <w:numId w:val="38"/>
        </w:numPr>
        <w:spacing w:before="0" w:after="0"/>
        <w:rPr>
          <w:rFonts w:eastAsia="Times New Roman" w:cs="Arial"/>
          <w:bCs/>
          <w:color w:val="365F91"/>
          <w:sz w:val="22"/>
          <w:szCs w:val="22"/>
        </w:rPr>
      </w:pPr>
      <w:r w:rsidRPr="003272EC">
        <w:rPr>
          <w:rFonts w:eastAsia="Times New Roman" w:cs="Times New Roman"/>
          <w:color w:val="000000"/>
          <w:sz w:val="22"/>
          <w:szCs w:val="22"/>
        </w:rPr>
        <w:t>Resource guide with all the services</w:t>
      </w:r>
    </w:p>
    <w:p w:rsidR="008A385E" w:rsidRDefault="008A385E" w:rsidP="008A385E">
      <w:pPr>
        <w:spacing w:after="0"/>
        <w:rPr>
          <w:rFonts w:eastAsia="Times New Roman" w:cs="Arial"/>
          <w:b/>
          <w:bCs/>
          <w:sz w:val="22"/>
          <w:szCs w:val="22"/>
        </w:rPr>
      </w:pPr>
    </w:p>
    <w:p w:rsidR="008A385E" w:rsidRPr="00A070CE" w:rsidRDefault="008A385E" w:rsidP="008A385E">
      <w:pPr>
        <w:spacing w:after="0"/>
        <w:rPr>
          <w:rFonts w:eastAsia="Times New Roman" w:cs="Arial"/>
          <w:b/>
          <w:bCs/>
          <w:sz w:val="24"/>
          <w:szCs w:val="22"/>
        </w:rPr>
      </w:pPr>
      <w:r w:rsidRPr="00A070CE">
        <w:rPr>
          <w:rFonts w:eastAsia="Times New Roman" w:cs="Arial"/>
          <w:b/>
          <w:bCs/>
          <w:sz w:val="24"/>
          <w:szCs w:val="22"/>
        </w:rPr>
        <w:lastRenderedPageBreak/>
        <w:t>Prevention-focused Groups</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What are some of the risky behaviors that your peers do that might put them at risk for getting (or spreading) HIV? (What keeps people from protecting themselves from HIV? Where do these risky behaviors happen?)</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Top Risky Behaviors</w:t>
      </w:r>
    </w:p>
    <w:p w:rsidR="008A385E" w:rsidRPr="003272EC" w:rsidRDefault="008A385E" w:rsidP="00E73293">
      <w:pPr>
        <w:pStyle w:val="ListParagraph"/>
        <w:numPr>
          <w:ilvl w:val="0"/>
          <w:numId w:val="39"/>
        </w:numPr>
        <w:spacing w:before="0" w:after="0"/>
        <w:rPr>
          <w:rFonts w:eastAsia="Times New Roman" w:cs="Arial"/>
          <w:b/>
          <w:bCs/>
          <w:sz w:val="22"/>
          <w:szCs w:val="22"/>
        </w:rPr>
      </w:pPr>
      <w:r w:rsidRPr="003272EC">
        <w:rPr>
          <w:rFonts w:eastAsia="Times New Roman" w:cs="Times New Roman"/>
          <w:color w:val="000000"/>
          <w:sz w:val="22"/>
          <w:szCs w:val="22"/>
        </w:rPr>
        <w:t>Unprotected sex; not using condom</w:t>
      </w:r>
    </w:p>
    <w:p w:rsidR="008A385E" w:rsidRPr="003272EC" w:rsidRDefault="008A385E" w:rsidP="00E73293">
      <w:pPr>
        <w:pStyle w:val="ListParagraph"/>
        <w:numPr>
          <w:ilvl w:val="0"/>
          <w:numId w:val="39"/>
        </w:numPr>
        <w:spacing w:before="0" w:after="0"/>
        <w:rPr>
          <w:rFonts w:eastAsia="Times New Roman" w:cs="Arial"/>
          <w:b/>
          <w:bCs/>
          <w:sz w:val="22"/>
          <w:szCs w:val="22"/>
        </w:rPr>
      </w:pPr>
      <w:r w:rsidRPr="003272EC">
        <w:rPr>
          <w:rFonts w:eastAsia="Times New Roman" w:cs="Times New Roman"/>
          <w:color w:val="000000"/>
          <w:sz w:val="22"/>
          <w:szCs w:val="22"/>
        </w:rPr>
        <w:t>Using drugs or alcohol; drug addiction; alcohol addiction</w:t>
      </w:r>
    </w:p>
    <w:p w:rsidR="008A385E" w:rsidRPr="003272EC" w:rsidRDefault="008A385E" w:rsidP="00E73293">
      <w:pPr>
        <w:pStyle w:val="ListParagraph"/>
        <w:numPr>
          <w:ilvl w:val="0"/>
          <w:numId w:val="39"/>
        </w:numPr>
        <w:spacing w:before="0" w:after="0"/>
        <w:rPr>
          <w:rFonts w:eastAsia="Times New Roman" w:cs="Arial"/>
          <w:b/>
          <w:bCs/>
          <w:sz w:val="22"/>
          <w:szCs w:val="22"/>
        </w:rPr>
      </w:pPr>
      <w:r w:rsidRPr="003272EC">
        <w:rPr>
          <w:rFonts w:eastAsia="Times New Roman" w:cs="Times New Roman"/>
          <w:color w:val="000000"/>
          <w:sz w:val="22"/>
          <w:szCs w:val="22"/>
        </w:rPr>
        <w:t>Multiple sex partners</w:t>
      </w:r>
    </w:p>
    <w:p w:rsidR="008A385E" w:rsidRPr="003272EC" w:rsidRDefault="008A385E" w:rsidP="00E73293">
      <w:pPr>
        <w:pStyle w:val="ListParagraph"/>
        <w:numPr>
          <w:ilvl w:val="0"/>
          <w:numId w:val="39"/>
        </w:numPr>
        <w:spacing w:before="0" w:after="0"/>
        <w:rPr>
          <w:rFonts w:eastAsia="Times New Roman" w:cs="Arial"/>
          <w:b/>
          <w:bCs/>
          <w:sz w:val="22"/>
          <w:szCs w:val="22"/>
        </w:rPr>
      </w:pPr>
      <w:r w:rsidRPr="003272EC">
        <w:rPr>
          <w:rFonts w:eastAsia="Times New Roman" w:cs="Times New Roman"/>
          <w:color w:val="000000"/>
          <w:sz w:val="22"/>
          <w:szCs w:val="22"/>
        </w:rPr>
        <w:t>Sharing needles</w:t>
      </w:r>
    </w:p>
    <w:p w:rsidR="008A385E" w:rsidRPr="003272EC" w:rsidRDefault="008A385E" w:rsidP="00E73293">
      <w:pPr>
        <w:pStyle w:val="ListParagraph"/>
        <w:numPr>
          <w:ilvl w:val="0"/>
          <w:numId w:val="39"/>
        </w:numPr>
        <w:spacing w:before="0" w:after="0"/>
        <w:rPr>
          <w:rFonts w:eastAsia="Times New Roman" w:cs="Arial"/>
          <w:b/>
          <w:bCs/>
          <w:sz w:val="22"/>
          <w:szCs w:val="22"/>
        </w:rPr>
      </w:pPr>
      <w:r w:rsidRPr="003272EC">
        <w:rPr>
          <w:rFonts w:eastAsia="Times New Roman" w:cs="Times New Roman"/>
          <w:color w:val="000000"/>
          <w:sz w:val="22"/>
          <w:szCs w:val="22"/>
        </w:rPr>
        <w:t>Sex with strangers; prostitution</w:t>
      </w:r>
    </w:p>
    <w:p w:rsidR="008A385E" w:rsidRPr="003272EC" w:rsidRDefault="008A385E" w:rsidP="00E73293">
      <w:pPr>
        <w:pStyle w:val="ListParagraph"/>
        <w:numPr>
          <w:ilvl w:val="0"/>
          <w:numId w:val="39"/>
        </w:numPr>
        <w:spacing w:before="0" w:after="0"/>
        <w:rPr>
          <w:rFonts w:eastAsia="Times New Roman" w:cs="Arial"/>
          <w:b/>
          <w:bCs/>
          <w:sz w:val="22"/>
          <w:szCs w:val="22"/>
        </w:rPr>
      </w:pPr>
      <w:r w:rsidRPr="003272EC">
        <w:rPr>
          <w:rFonts w:eastAsia="Times New Roman" w:cs="Times New Roman"/>
          <w:color w:val="000000"/>
          <w:sz w:val="22"/>
          <w:szCs w:val="22"/>
        </w:rPr>
        <w:t>Barebacking</w:t>
      </w:r>
    </w:p>
    <w:p w:rsidR="008A385E" w:rsidRPr="003272EC" w:rsidRDefault="008A385E" w:rsidP="00E73293">
      <w:pPr>
        <w:pStyle w:val="ListParagraph"/>
        <w:numPr>
          <w:ilvl w:val="0"/>
          <w:numId w:val="39"/>
        </w:numPr>
        <w:spacing w:before="0" w:after="0"/>
        <w:rPr>
          <w:rFonts w:eastAsia="Times New Roman" w:cs="Arial"/>
          <w:b/>
          <w:bCs/>
          <w:sz w:val="22"/>
          <w:szCs w:val="22"/>
        </w:rPr>
      </w:pPr>
      <w:r w:rsidRPr="003272EC">
        <w:rPr>
          <w:rFonts w:eastAsia="Times New Roman" w:cs="Times New Roman"/>
          <w:color w:val="000000"/>
          <w:sz w:val="22"/>
          <w:szCs w:val="22"/>
        </w:rPr>
        <w:t>Nondisclosure of status</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Top  Risky Behavior Locations</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Discos, bars, clubs, parties</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Bathhouses</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Online</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Schools</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The street</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Top Barriers to testing</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 xml:space="preserve">Fear of finding out HIV+   </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don’t want anyone to know</w:t>
      </w:r>
    </w:p>
    <w:p w:rsidR="008A385E" w:rsidRPr="003272EC"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 xml:space="preserve">Stigma                                  </w:t>
      </w:r>
    </w:p>
    <w:p w:rsidR="008A385E" w:rsidRDefault="008A385E" w:rsidP="00E73293">
      <w:pPr>
        <w:pStyle w:val="ListParagraph"/>
        <w:numPr>
          <w:ilvl w:val="0"/>
          <w:numId w:val="40"/>
        </w:numPr>
        <w:spacing w:before="0" w:after="0"/>
        <w:rPr>
          <w:rFonts w:eastAsia="Times New Roman" w:cs="Arial"/>
          <w:bCs/>
          <w:sz w:val="22"/>
          <w:szCs w:val="22"/>
        </w:rPr>
      </w:pPr>
      <w:r w:rsidRPr="003272EC">
        <w:rPr>
          <w:rFonts w:eastAsia="Times New Roman" w:cs="Arial"/>
          <w:bCs/>
          <w:sz w:val="22"/>
          <w:szCs w:val="22"/>
        </w:rPr>
        <w:t xml:space="preserve">Lack of education                   </w:t>
      </w:r>
    </w:p>
    <w:p w:rsidR="008A385E" w:rsidRPr="00A070CE" w:rsidRDefault="008A385E" w:rsidP="00E73293">
      <w:pPr>
        <w:pStyle w:val="ListParagraph"/>
        <w:numPr>
          <w:ilvl w:val="0"/>
          <w:numId w:val="40"/>
        </w:numPr>
        <w:spacing w:before="0" w:after="0"/>
        <w:rPr>
          <w:rFonts w:eastAsia="Times New Roman" w:cs="Arial"/>
          <w:bCs/>
          <w:sz w:val="22"/>
          <w:szCs w:val="22"/>
        </w:rPr>
      </w:pPr>
      <w:r w:rsidRPr="00A070CE">
        <w:rPr>
          <w:rFonts w:eastAsia="Times New Roman" w:cs="Arial"/>
          <w:bCs/>
          <w:sz w:val="22"/>
          <w:szCs w:val="22"/>
        </w:rPr>
        <w:t>Think they are not at risk</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How to get people to test</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 xml:space="preserve">Offer incentives         </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 xml:space="preserve">Normalize it so it’s cool to test   </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Celebrities</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 xml:space="preserve">Free testing               </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 xml:space="preserve">Testers from the community     </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Community events</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 xml:space="preserve">Word of mouth          </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 xml:space="preserve">Variety of hours and places   </w:t>
      </w:r>
    </w:p>
    <w:p w:rsidR="008A385E" w:rsidRPr="003272EC" w:rsidRDefault="008A385E" w:rsidP="00E73293">
      <w:pPr>
        <w:pStyle w:val="ListParagraph"/>
        <w:numPr>
          <w:ilvl w:val="0"/>
          <w:numId w:val="42"/>
        </w:numPr>
        <w:spacing w:before="0" w:after="0"/>
        <w:rPr>
          <w:rFonts w:eastAsia="Times New Roman" w:cs="Arial"/>
          <w:bCs/>
          <w:sz w:val="22"/>
          <w:szCs w:val="22"/>
        </w:rPr>
      </w:pPr>
      <w:r w:rsidRPr="003272EC">
        <w:rPr>
          <w:rFonts w:eastAsia="Times New Roman" w:cs="Arial"/>
          <w:bCs/>
          <w:sz w:val="22"/>
          <w:szCs w:val="22"/>
        </w:rPr>
        <w:t>Judgment-free testing</w:t>
      </w:r>
    </w:p>
    <w:p w:rsidR="008A385E" w:rsidRPr="003272EC" w:rsidRDefault="008A385E" w:rsidP="00E73293">
      <w:pPr>
        <w:pStyle w:val="ListParagraph"/>
        <w:numPr>
          <w:ilvl w:val="0"/>
          <w:numId w:val="42"/>
        </w:numPr>
        <w:spacing w:before="0" w:after="0"/>
        <w:rPr>
          <w:rFonts w:eastAsia="Times New Roman" w:cs="Arial"/>
          <w:bCs/>
          <w:color w:val="365F91"/>
          <w:sz w:val="22"/>
          <w:szCs w:val="22"/>
        </w:rPr>
      </w:pPr>
      <w:r w:rsidRPr="003272EC">
        <w:rPr>
          <w:rFonts w:eastAsia="Times New Roman" w:cs="Arial"/>
          <w:bCs/>
          <w:sz w:val="22"/>
          <w:szCs w:val="22"/>
        </w:rPr>
        <w:t>Make testing a fun event</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lastRenderedPageBreak/>
        <w:t>Where to recruit people to test</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 xml:space="preserve">Social media, online ads    </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 xml:space="preserve">mobile van ads   </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 xml:space="preserve">doctor’s office  </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 xml:space="preserve">Parks                                    </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 xml:space="preserve">school                   </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meetings at workplaces</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 xml:space="preserve">Billboards              </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 xml:space="preserve">discos, clubs, bars          </w:t>
      </w:r>
    </w:p>
    <w:p w:rsidR="008A385E" w:rsidRPr="003272EC" w:rsidRDefault="008A385E" w:rsidP="00E73293">
      <w:pPr>
        <w:pStyle w:val="ListParagraph"/>
        <w:numPr>
          <w:ilvl w:val="0"/>
          <w:numId w:val="43"/>
        </w:numPr>
        <w:spacing w:before="0" w:after="0"/>
        <w:rPr>
          <w:rFonts w:eastAsia="Times New Roman" w:cs="Arial"/>
          <w:bCs/>
          <w:sz w:val="22"/>
          <w:szCs w:val="22"/>
        </w:rPr>
      </w:pPr>
      <w:r w:rsidRPr="003272EC">
        <w:rPr>
          <w:rFonts w:eastAsia="Times New Roman" w:cs="Arial"/>
          <w:bCs/>
          <w:sz w:val="22"/>
          <w:szCs w:val="22"/>
        </w:rPr>
        <w:t>newspaper ads</w:t>
      </w:r>
    </w:p>
    <w:p w:rsidR="008A385E" w:rsidRPr="003272EC" w:rsidRDefault="008A385E" w:rsidP="008A385E">
      <w:pPr>
        <w:spacing w:after="0"/>
        <w:rPr>
          <w:b/>
          <w:sz w:val="22"/>
          <w:szCs w:val="22"/>
        </w:rPr>
      </w:pPr>
      <w:r w:rsidRPr="003272EC">
        <w:rPr>
          <w:b/>
          <w:sz w:val="22"/>
          <w:szCs w:val="22"/>
        </w:rPr>
        <w:t>Top Prevention services needed</w:t>
      </w:r>
    </w:p>
    <w:p w:rsidR="008A385E" w:rsidRPr="003272EC" w:rsidRDefault="008A385E" w:rsidP="00E73293">
      <w:pPr>
        <w:pStyle w:val="ListParagraph"/>
        <w:numPr>
          <w:ilvl w:val="0"/>
          <w:numId w:val="41"/>
        </w:numPr>
        <w:spacing w:before="0" w:after="0"/>
        <w:rPr>
          <w:sz w:val="22"/>
          <w:szCs w:val="22"/>
        </w:rPr>
      </w:pPr>
      <w:r w:rsidRPr="003272EC">
        <w:rPr>
          <w:sz w:val="22"/>
          <w:szCs w:val="22"/>
        </w:rPr>
        <w:t>Education; Increase awareness</w:t>
      </w:r>
    </w:p>
    <w:p w:rsidR="008A385E" w:rsidRPr="003272EC" w:rsidRDefault="008A385E" w:rsidP="00E73293">
      <w:pPr>
        <w:pStyle w:val="ListParagraph"/>
        <w:numPr>
          <w:ilvl w:val="0"/>
          <w:numId w:val="41"/>
        </w:numPr>
        <w:spacing w:before="0" w:after="0"/>
        <w:rPr>
          <w:sz w:val="22"/>
          <w:szCs w:val="22"/>
        </w:rPr>
      </w:pPr>
      <w:r w:rsidRPr="003272EC">
        <w:rPr>
          <w:sz w:val="22"/>
          <w:szCs w:val="22"/>
        </w:rPr>
        <w:t>More mobile and rapid testing</w:t>
      </w:r>
    </w:p>
    <w:p w:rsidR="008A385E" w:rsidRPr="003272EC" w:rsidRDefault="008A385E" w:rsidP="00E73293">
      <w:pPr>
        <w:pStyle w:val="ListParagraph"/>
        <w:numPr>
          <w:ilvl w:val="0"/>
          <w:numId w:val="41"/>
        </w:numPr>
        <w:spacing w:before="0" w:after="0"/>
        <w:rPr>
          <w:sz w:val="22"/>
          <w:szCs w:val="22"/>
        </w:rPr>
      </w:pPr>
      <w:r w:rsidRPr="003272EC">
        <w:rPr>
          <w:sz w:val="22"/>
          <w:szCs w:val="22"/>
        </w:rPr>
        <w:t>Programs in churches</w:t>
      </w:r>
    </w:p>
    <w:p w:rsidR="008A385E" w:rsidRPr="003272EC" w:rsidRDefault="008A385E" w:rsidP="00E73293">
      <w:pPr>
        <w:pStyle w:val="ListParagraph"/>
        <w:numPr>
          <w:ilvl w:val="0"/>
          <w:numId w:val="41"/>
        </w:numPr>
        <w:spacing w:before="0" w:after="0"/>
        <w:rPr>
          <w:sz w:val="22"/>
          <w:szCs w:val="22"/>
        </w:rPr>
      </w:pPr>
      <w:r w:rsidRPr="003272EC">
        <w:rPr>
          <w:sz w:val="22"/>
          <w:szCs w:val="22"/>
        </w:rPr>
        <w:t>Ads; billboards; radio; newspaper; online</w:t>
      </w:r>
    </w:p>
    <w:p w:rsidR="008A385E" w:rsidRPr="003272EC" w:rsidRDefault="008A385E" w:rsidP="00E73293">
      <w:pPr>
        <w:pStyle w:val="ListParagraph"/>
        <w:numPr>
          <w:ilvl w:val="0"/>
          <w:numId w:val="41"/>
        </w:numPr>
        <w:spacing w:before="0" w:after="0"/>
        <w:rPr>
          <w:sz w:val="22"/>
          <w:szCs w:val="22"/>
        </w:rPr>
      </w:pPr>
      <w:r w:rsidRPr="003272EC">
        <w:rPr>
          <w:sz w:val="22"/>
          <w:szCs w:val="22"/>
        </w:rPr>
        <w:t>Social media</w:t>
      </w:r>
    </w:p>
    <w:p w:rsidR="008A385E" w:rsidRPr="003272EC" w:rsidRDefault="008A385E" w:rsidP="00E73293">
      <w:pPr>
        <w:pStyle w:val="ListParagraph"/>
        <w:numPr>
          <w:ilvl w:val="0"/>
          <w:numId w:val="41"/>
        </w:numPr>
        <w:spacing w:before="0" w:after="0"/>
        <w:rPr>
          <w:sz w:val="22"/>
          <w:szCs w:val="22"/>
        </w:rPr>
      </w:pPr>
      <w:r w:rsidRPr="003272EC">
        <w:rPr>
          <w:sz w:val="22"/>
          <w:szCs w:val="22"/>
        </w:rPr>
        <w:t>More information on the internet</w:t>
      </w:r>
    </w:p>
    <w:p w:rsidR="008A385E" w:rsidRPr="003272EC" w:rsidRDefault="008A385E" w:rsidP="00E73293">
      <w:pPr>
        <w:pStyle w:val="ListParagraph"/>
        <w:numPr>
          <w:ilvl w:val="0"/>
          <w:numId w:val="41"/>
        </w:numPr>
        <w:spacing w:before="0" w:after="0"/>
        <w:rPr>
          <w:sz w:val="22"/>
          <w:szCs w:val="22"/>
        </w:rPr>
      </w:pPr>
      <w:r w:rsidRPr="003272EC">
        <w:rPr>
          <w:sz w:val="22"/>
          <w:szCs w:val="22"/>
        </w:rPr>
        <w:t>Health fairs</w:t>
      </w:r>
    </w:p>
    <w:p w:rsidR="008A385E" w:rsidRPr="003272EC" w:rsidRDefault="008A385E" w:rsidP="00E73293">
      <w:pPr>
        <w:pStyle w:val="ListParagraph"/>
        <w:numPr>
          <w:ilvl w:val="0"/>
          <w:numId w:val="41"/>
        </w:numPr>
        <w:spacing w:before="0" w:after="0"/>
        <w:rPr>
          <w:sz w:val="22"/>
          <w:szCs w:val="22"/>
        </w:rPr>
      </w:pPr>
      <w:r w:rsidRPr="003272EC">
        <w:rPr>
          <w:sz w:val="22"/>
          <w:szCs w:val="22"/>
        </w:rPr>
        <w:t xml:space="preserve">Pharmacies </w:t>
      </w:r>
    </w:p>
    <w:p w:rsidR="008A385E" w:rsidRPr="003272EC" w:rsidRDefault="008A385E" w:rsidP="00E73293">
      <w:pPr>
        <w:pStyle w:val="ListParagraph"/>
        <w:numPr>
          <w:ilvl w:val="0"/>
          <w:numId w:val="41"/>
        </w:numPr>
        <w:spacing w:before="0" w:after="0"/>
        <w:rPr>
          <w:sz w:val="22"/>
          <w:szCs w:val="22"/>
        </w:rPr>
      </w:pPr>
      <w:r w:rsidRPr="003272EC">
        <w:rPr>
          <w:sz w:val="22"/>
          <w:szCs w:val="22"/>
        </w:rPr>
        <w:t xml:space="preserve">Increase education of youth; </w:t>
      </w:r>
    </w:p>
    <w:p w:rsidR="008A385E" w:rsidRPr="003272EC" w:rsidRDefault="008A385E" w:rsidP="00E73293">
      <w:pPr>
        <w:pStyle w:val="ListParagraph"/>
        <w:numPr>
          <w:ilvl w:val="0"/>
          <w:numId w:val="41"/>
        </w:numPr>
        <w:spacing w:before="0" w:after="0"/>
        <w:rPr>
          <w:sz w:val="22"/>
          <w:szCs w:val="22"/>
        </w:rPr>
      </w:pPr>
      <w:r w:rsidRPr="003272EC">
        <w:rPr>
          <w:sz w:val="22"/>
          <w:szCs w:val="22"/>
        </w:rPr>
        <w:t>Programs in schools</w:t>
      </w:r>
    </w:p>
    <w:p w:rsidR="008A385E" w:rsidRPr="003272EC" w:rsidRDefault="008A385E" w:rsidP="00E73293">
      <w:pPr>
        <w:pStyle w:val="ListParagraph"/>
        <w:numPr>
          <w:ilvl w:val="0"/>
          <w:numId w:val="41"/>
        </w:numPr>
        <w:spacing w:before="0" w:after="0"/>
        <w:rPr>
          <w:sz w:val="22"/>
          <w:szCs w:val="22"/>
        </w:rPr>
      </w:pPr>
      <w:r w:rsidRPr="003272EC">
        <w:rPr>
          <w:sz w:val="22"/>
          <w:szCs w:val="22"/>
        </w:rPr>
        <w:t>Programs for parents to teach their children</w:t>
      </w:r>
    </w:p>
    <w:p w:rsidR="008A385E" w:rsidRPr="003272EC" w:rsidRDefault="008A385E" w:rsidP="00E73293">
      <w:pPr>
        <w:pStyle w:val="ListParagraph"/>
        <w:numPr>
          <w:ilvl w:val="0"/>
          <w:numId w:val="41"/>
        </w:numPr>
        <w:spacing w:before="0" w:after="0"/>
        <w:rPr>
          <w:sz w:val="22"/>
          <w:szCs w:val="22"/>
        </w:rPr>
      </w:pPr>
      <w:r w:rsidRPr="003272EC">
        <w:rPr>
          <w:sz w:val="22"/>
          <w:szCs w:val="22"/>
        </w:rPr>
        <w:t>Normalizing sex</w:t>
      </w:r>
    </w:p>
    <w:p w:rsidR="008A385E" w:rsidRPr="003272EC" w:rsidRDefault="008A385E" w:rsidP="00E73293">
      <w:pPr>
        <w:pStyle w:val="ListParagraph"/>
        <w:numPr>
          <w:ilvl w:val="0"/>
          <w:numId w:val="41"/>
        </w:numPr>
        <w:spacing w:before="0" w:after="0"/>
        <w:rPr>
          <w:sz w:val="22"/>
          <w:szCs w:val="22"/>
        </w:rPr>
      </w:pPr>
      <w:r w:rsidRPr="003272EC">
        <w:rPr>
          <w:sz w:val="22"/>
          <w:szCs w:val="22"/>
        </w:rPr>
        <w:t>Conversations among friends and families</w:t>
      </w:r>
    </w:p>
    <w:p w:rsidR="008A385E" w:rsidRPr="003272EC" w:rsidRDefault="008A385E" w:rsidP="00E73293">
      <w:pPr>
        <w:pStyle w:val="ListParagraph"/>
        <w:numPr>
          <w:ilvl w:val="0"/>
          <w:numId w:val="41"/>
        </w:numPr>
        <w:tabs>
          <w:tab w:val="left" w:pos="2832"/>
        </w:tabs>
        <w:spacing w:before="0" w:after="0"/>
        <w:rPr>
          <w:sz w:val="22"/>
          <w:szCs w:val="22"/>
        </w:rPr>
      </w:pPr>
      <w:r w:rsidRPr="003272EC">
        <w:rPr>
          <w:sz w:val="22"/>
          <w:szCs w:val="22"/>
        </w:rPr>
        <w:t>Small groups; classes</w:t>
      </w:r>
      <w:r w:rsidRPr="003272EC">
        <w:rPr>
          <w:sz w:val="22"/>
          <w:szCs w:val="22"/>
        </w:rPr>
        <w:tab/>
      </w:r>
    </w:p>
    <w:p w:rsidR="008A385E" w:rsidRPr="003272EC" w:rsidRDefault="008A385E" w:rsidP="00E73293">
      <w:pPr>
        <w:pStyle w:val="ListParagraph"/>
        <w:numPr>
          <w:ilvl w:val="0"/>
          <w:numId w:val="41"/>
        </w:numPr>
        <w:spacing w:before="0" w:after="0"/>
        <w:rPr>
          <w:rFonts w:eastAsia="Times New Roman" w:cs="Arial"/>
          <w:bCs/>
          <w:color w:val="365F91"/>
          <w:sz w:val="22"/>
          <w:szCs w:val="22"/>
        </w:rPr>
      </w:pPr>
      <w:r w:rsidRPr="003272EC">
        <w:rPr>
          <w:sz w:val="22"/>
          <w:szCs w:val="22"/>
        </w:rPr>
        <w:t>Increased education for African Americans and Latinos</w:t>
      </w:r>
    </w:p>
    <w:p w:rsidR="008A385E" w:rsidRPr="003272EC" w:rsidRDefault="008A385E" w:rsidP="008A385E">
      <w:pPr>
        <w:spacing w:after="0"/>
        <w:rPr>
          <w:rFonts w:eastAsia="Times New Roman" w:cs="Arial"/>
          <w:b/>
          <w:bCs/>
          <w:sz w:val="22"/>
          <w:szCs w:val="22"/>
        </w:rPr>
      </w:pPr>
      <w:r w:rsidRPr="003272EC">
        <w:rPr>
          <w:rFonts w:eastAsia="Times New Roman" w:cs="Arial"/>
          <w:b/>
          <w:bCs/>
          <w:sz w:val="22"/>
          <w:szCs w:val="22"/>
        </w:rPr>
        <w:t>Top Prevention barriers</w:t>
      </w:r>
    </w:p>
    <w:p w:rsidR="008A385E" w:rsidRPr="003272EC" w:rsidRDefault="008A385E" w:rsidP="00E73293">
      <w:pPr>
        <w:pStyle w:val="ListParagraph"/>
        <w:numPr>
          <w:ilvl w:val="0"/>
          <w:numId w:val="45"/>
        </w:numPr>
        <w:spacing w:before="0" w:after="0"/>
        <w:rPr>
          <w:rFonts w:eastAsia="Times New Roman" w:cs="Arial"/>
          <w:bCs/>
          <w:sz w:val="22"/>
          <w:szCs w:val="22"/>
        </w:rPr>
      </w:pPr>
      <w:r w:rsidRPr="003272EC">
        <w:rPr>
          <w:rFonts w:eastAsia="Times New Roman" w:cs="Arial"/>
          <w:bCs/>
          <w:sz w:val="22"/>
          <w:szCs w:val="22"/>
        </w:rPr>
        <w:t>Lack of education</w:t>
      </w:r>
    </w:p>
    <w:p w:rsidR="008A385E" w:rsidRPr="003272EC" w:rsidRDefault="008A385E" w:rsidP="00E73293">
      <w:pPr>
        <w:pStyle w:val="ListParagraph"/>
        <w:numPr>
          <w:ilvl w:val="0"/>
          <w:numId w:val="45"/>
        </w:numPr>
        <w:spacing w:before="0" w:after="0"/>
        <w:rPr>
          <w:rFonts w:eastAsia="Times New Roman" w:cs="Arial"/>
          <w:bCs/>
          <w:sz w:val="22"/>
          <w:szCs w:val="22"/>
        </w:rPr>
      </w:pPr>
      <w:r w:rsidRPr="003272EC">
        <w:rPr>
          <w:rFonts w:eastAsia="Times New Roman" w:cs="Arial"/>
          <w:bCs/>
          <w:sz w:val="22"/>
          <w:szCs w:val="22"/>
        </w:rPr>
        <w:t>Drug addiction</w:t>
      </w:r>
    </w:p>
    <w:p w:rsidR="008A385E" w:rsidRPr="003272EC" w:rsidRDefault="008A385E" w:rsidP="00E73293">
      <w:pPr>
        <w:pStyle w:val="ListParagraph"/>
        <w:numPr>
          <w:ilvl w:val="0"/>
          <w:numId w:val="45"/>
        </w:numPr>
        <w:spacing w:before="0" w:after="0"/>
        <w:rPr>
          <w:rFonts w:eastAsia="Times New Roman" w:cs="Arial"/>
          <w:bCs/>
          <w:sz w:val="22"/>
          <w:szCs w:val="22"/>
        </w:rPr>
      </w:pPr>
      <w:r w:rsidRPr="003272EC">
        <w:rPr>
          <w:rFonts w:eastAsia="Times New Roman" w:cs="Arial"/>
          <w:bCs/>
          <w:sz w:val="22"/>
          <w:szCs w:val="22"/>
        </w:rPr>
        <w:t>Lack of resources</w:t>
      </w:r>
    </w:p>
    <w:p w:rsidR="008A385E" w:rsidRPr="003272EC" w:rsidRDefault="008A385E" w:rsidP="00E73293">
      <w:pPr>
        <w:pStyle w:val="ListParagraph"/>
        <w:numPr>
          <w:ilvl w:val="0"/>
          <w:numId w:val="45"/>
        </w:numPr>
        <w:spacing w:before="0" w:after="0"/>
        <w:rPr>
          <w:rFonts w:eastAsia="Times New Roman" w:cs="Arial"/>
          <w:bCs/>
          <w:sz w:val="22"/>
          <w:szCs w:val="22"/>
        </w:rPr>
      </w:pPr>
      <w:r w:rsidRPr="003272EC">
        <w:rPr>
          <w:rFonts w:eastAsia="Times New Roman" w:cs="Arial"/>
          <w:bCs/>
          <w:sz w:val="22"/>
          <w:szCs w:val="22"/>
        </w:rPr>
        <w:t>Fear</w:t>
      </w:r>
    </w:p>
    <w:p w:rsidR="008A385E" w:rsidRPr="003272EC" w:rsidRDefault="008A385E" w:rsidP="00E73293">
      <w:pPr>
        <w:pStyle w:val="ListParagraph"/>
        <w:numPr>
          <w:ilvl w:val="0"/>
          <w:numId w:val="45"/>
        </w:numPr>
        <w:spacing w:before="0" w:after="0"/>
        <w:rPr>
          <w:rFonts w:eastAsia="Times New Roman" w:cs="Arial"/>
          <w:bCs/>
          <w:sz w:val="22"/>
          <w:szCs w:val="22"/>
        </w:rPr>
      </w:pPr>
      <w:r w:rsidRPr="003272EC">
        <w:rPr>
          <w:rFonts w:eastAsia="Times New Roman" w:cs="Arial"/>
          <w:bCs/>
          <w:sz w:val="22"/>
          <w:szCs w:val="22"/>
        </w:rPr>
        <w:t>Stigma</w:t>
      </w:r>
    </w:p>
    <w:p w:rsidR="008A385E" w:rsidRPr="003272EC" w:rsidRDefault="008A385E" w:rsidP="00E73293">
      <w:pPr>
        <w:pStyle w:val="ListParagraph"/>
        <w:numPr>
          <w:ilvl w:val="0"/>
          <w:numId w:val="45"/>
        </w:numPr>
        <w:spacing w:before="0" w:after="0"/>
        <w:rPr>
          <w:rFonts w:eastAsia="Times New Roman" w:cs="Arial"/>
          <w:bCs/>
          <w:sz w:val="22"/>
          <w:szCs w:val="22"/>
        </w:rPr>
      </w:pPr>
      <w:r w:rsidRPr="003272EC">
        <w:rPr>
          <w:rFonts w:eastAsia="Times New Roman" w:cs="Arial"/>
          <w:bCs/>
          <w:sz w:val="22"/>
          <w:szCs w:val="22"/>
        </w:rPr>
        <w:t>False beliefs that it only affects gay people</w:t>
      </w:r>
    </w:p>
    <w:p w:rsidR="008A385E" w:rsidRPr="003272EC" w:rsidRDefault="008A385E" w:rsidP="00E73293">
      <w:pPr>
        <w:pStyle w:val="ListParagraph"/>
        <w:numPr>
          <w:ilvl w:val="0"/>
          <w:numId w:val="45"/>
        </w:numPr>
        <w:spacing w:before="0" w:after="0"/>
        <w:rPr>
          <w:rFonts w:eastAsia="Times New Roman" w:cs="Arial"/>
          <w:bCs/>
          <w:color w:val="365F91"/>
          <w:sz w:val="22"/>
          <w:szCs w:val="22"/>
        </w:rPr>
      </w:pPr>
      <w:r w:rsidRPr="003272EC">
        <w:rPr>
          <w:rFonts w:eastAsia="Times New Roman" w:cs="Arial"/>
          <w:bCs/>
          <w:sz w:val="22"/>
          <w:szCs w:val="22"/>
        </w:rPr>
        <w:t>False beliefs that HIV is non-life threatening</w:t>
      </w:r>
    </w:p>
    <w:p w:rsidR="008A385E" w:rsidRDefault="008A385E" w:rsidP="008A385E">
      <w:r>
        <w:br w:type="page"/>
      </w:r>
    </w:p>
    <w:p w:rsidR="008A385E" w:rsidRDefault="008A385E" w:rsidP="00342034">
      <w:pPr>
        <w:pStyle w:val="Heading2"/>
      </w:pPr>
      <w:bookmarkStart w:id="70" w:name="_Toc461188613"/>
      <w:r>
        <w:lastRenderedPageBreak/>
        <w:t>Appendix L: Provider Survey Results</w:t>
      </w:r>
      <w:bookmarkEnd w:id="70"/>
    </w:p>
    <w:p w:rsidR="008A385E" w:rsidRDefault="008A385E" w:rsidP="008A385E">
      <w:pPr>
        <w:spacing w:after="0"/>
        <w:rPr>
          <w:b/>
          <w:bCs/>
        </w:rPr>
      </w:pPr>
    </w:p>
    <w:tbl>
      <w:tblPr>
        <w:tblW w:w="7760" w:type="dxa"/>
        <w:tblInd w:w="93" w:type="dxa"/>
        <w:tblLook w:val="04A0" w:firstRow="1" w:lastRow="0" w:firstColumn="1" w:lastColumn="0" w:noHBand="0" w:noVBand="1"/>
      </w:tblPr>
      <w:tblGrid>
        <w:gridCol w:w="4880"/>
        <w:gridCol w:w="1440"/>
        <w:gridCol w:w="1440"/>
      </w:tblGrid>
      <w:tr w:rsidR="008A385E" w:rsidRPr="00F82030" w:rsidTr="008A385E">
        <w:trPr>
          <w:trHeight w:val="499"/>
        </w:trPr>
        <w:tc>
          <w:tcPr>
            <w:tcW w:w="7760" w:type="dxa"/>
            <w:gridSpan w:val="3"/>
            <w:tcBorders>
              <w:top w:val="nil"/>
              <w:left w:val="nil"/>
              <w:bottom w:val="nil"/>
              <w:right w:val="nil"/>
            </w:tcBorders>
            <w:shd w:val="clear" w:color="000000" w:fill="DDDDDD"/>
            <w:vAlign w:val="center"/>
            <w:hideMark/>
          </w:tcPr>
          <w:p w:rsidR="008A385E" w:rsidRPr="00F82030" w:rsidRDefault="008A385E" w:rsidP="008A385E">
            <w:pPr>
              <w:spacing w:before="0" w:after="0" w:line="240" w:lineRule="auto"/>
              <w:rPr>
                <w:rFonts w:eastAsia="Times New Roman" w:cs="Microsoft Sans Serif"/>
                <w:b/>
                <w:bCs/>
              </w:rPr>
            </w:pPr>
            <w:r w:rsidRPr="00F82030">
              <w:rPr>
                <w:rFonts w:eastAsia="Times New Roman" w:cs="Microsoft Sans Serif"/>
                <w:b/>
                <w:bCs/>
              </w:rPr>
              <w:t>Which of the following best describes your agency or organization's focus with respect to HIV/AIDS care and prevention in the state of Nevada?</w:t>
            </w:r>
          </w:p>
        </w:tc>
      </w:tr>
      <w:tr w:rsidR="008A385E" w:rsidRPr="00F82030" w:rsidTr="008A385E">
        <w:trPr>
          <w:trHeight w:val="600"/>
        </w:trPr>
        <w:tc>
          <w:tcPr>
            <w:tcW w:w="4880" w:type="dxa"/>
            <w:tcBorders>
              <w:top w:val="nil"/>
              <w:left w:val="nil"/>
              <w:bottom w:val="nil"/>
              <w:right w:val="nil"/>
            </w:tcBorders>
            <w:shd w:val="clear" w:color="000000" w:fill="DEE9F7"/>
            <w:vAlign w:val="center"/>
            <w:hideMark/>
          </w:tcPr>
          <w:p w:rsidR="008A385E" w:rsidRPr="00F82030" w:rsidRDefault="008A385E" w:rsidP="008A385E">
            <w:pPr>
              <w:spacing w:before="0" w:after="0" w:line="240" w:lineRule="auto"/>
              <w:rPr>
                <w:rFonts w:eastAsia="Times New Roman" w:cs="Microsoft Sans Serif"/>
                <w:b/>
                <w:bCs/>
                <w:color w:val="000000"/>
              </w:rPr>
            </w:pPr>
            <w:r w:rsidRPr="00F82030">
              <w:rPr>
                <w:rFonts w:eastAsia="Times New Roman" w:cs="Microsoft Sans Serif"/>
                <w:b/>
                <w:bCs/>
                <w:color w:val="000000"/>
              </w:rPr>
              <w:t>Answer Options</w:t>
            </w:r>
          </w:p>
        </w:tc>
        <w:tc>
          <w:tcPr>
            <w:tcW w:w="1440" w:type="dxa"/>
            <w:tcBorders>
              <w:top w:val="nil"/>
              <w:left w:val="nil"/>
              <w:bottom w:val="nil"/>
              <w:right w:val="nil"/>
            </w:tcBorders>
            <w:shd w:val="clear" w:color="000000" w:fill="CDD8E6"/>
            <w:vAlign w:val="center"/>
            <w:hideMark/>
          </w:tcPr>
          <w:p w:rsidR="008A385E" w:rsidRPr="00F82030" w:rsidRDefault="008A385E" w:rsidP="008A385E">
            <w:pPr>
              <w:spacing w:before="0" w:after="0" w:line="240" w:lineRule="auto"/>
              <w:jc w:val="center"/>
              <w:rPr>
                <w:rFonts w:eastAsia="Times New Roman" w:cs="Microsoft Sans Serif"/>
                <w:b/>
                <w:bCs/>
                <w:color w:val="000000"/>
              </w:rPr>
            </w:pPr>
            <w:r w:rsidRPr="00F82030">
              <w:rPr>
                <w:rFonts w:eastAsia="Times New Roman" w:cs="Microsoft Sans Serif"/>
                <w:b/>
                <w:bCs/>
                <w:color w:val="000000"/>
              </w:rPr>
              <w:t>Response Percent</w:t>
            </w:r>
          </w:p>
        </w:tc>
        <w:tc>
          <w:tcPr>
            <w:tcW w:w="1440" w:type="dxa"/>
            <w:tcBorders>
              <w:top w:val="nil"/>
              <w:left w:val="nil"/>
              <w:bottom w:val="nil"/>
              <w:right w:val="nil"/>
            </w:tcBorders>
            <w:shd w:val="clear" w:color="000000" w:fill="CDD8E6"/>
            <w:vAlign w:val="center"/>
            <w:hideMark/>
          </w:tcPr>
          <w:p w:rsidR="008A385E" w:rsidRPr="00F82030" w:rsidRDefault="008A385E" w:rsidP="008A385E">
            <w:pPr>
              <w:spacing w:before="0" w:after="0" w:line="240" w:lineRule="auto"/>
              <w:jc w:val="center"/>
              <w:rPr>
                <w:rFonts w:eastAsia="Times New Roman" w:cs="Microsoft Sans Serif"/>
                <w:b/>
                <w:bCs/>
                <w:color w:val="000000"/>
              </w:rPr>
            </w:pPr>
            <w:r w:rsidRPr="00F82030">
              <w:rPr>
                <w:rFonts w:eastAsia="Times New Roman" w:cs="Microsoft Sans Serif"/>
                <w:b/>
                <w:bCs/>
                <w:color w:val="000000"/>
              </w:rPr>
              <w:t>Response Count</w:t>
            </w:r>
          </w:p>
        </w:tc>
      </w:tr>
      <w:tr w:rsidR="008A385E" w:rsidRPr="00F82030" w:rsidTr="008A385E">
        <w:trPr>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HIV/AIDS Care and/or Support Services for people living with HIV/AIDS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24.0%</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6</w:t>
            </w:r>
          </w:p>
        </w:tc>
      </w:tr>
      <w:tr w:rsidR="008A385E" w:rsidRPr="00F82030" w:rsidTr="008A385E">
        <w:trPr>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HIV/AIDS Prevention Education and Services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20.0%</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w:t>
            </w:r>
          </w:p>
        </w:tc>
      </w:tr>
      <w:tr w:rsidR="008A385E" w:rsidRPr="00F82030" w:rsidTr="008A385E">
        <w:trPr>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Both HIV/AIDS Prevention and Care services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56.0%</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14</w:t>
            </w:r>
          </w:p>
        </w:tc>
      </w:tr>
      <w:tr w:rsidR="008A385E" w:rsidRPr="00F82030" w:rsidTr="008A385E">
        <w:trPr>
          <w:trHeight w:val="255"/>
        </w:trPr>
        <w:tc>
          <w:tcPr>
            <w:tcW w:w="6320" w:type="dxa"/>
            <w:gridSpan w:val="2"/>
            <w:tcBorders>
              <w:top w:val="nil"/>
              <w:left w:val="nil"/>
              <w:bottom w:val="nil"/>
              <w:right w:val="nil"/>
            </w:tcBorders>
            <w:shd w:val="clear" w:color="000000" w:fill="CDD8E6"/>
            <w:noWrap/>
            <w:vAlign w:val="bottom"/>
            <w:hideMark/>
          </w:tcPr>
          <w:p w:rsidR="008A385E" w:rsidRPr="00F82030" w:rsidRDefault="008A385E" w:rsidP="008A385E">
            <w:pPr>
              <w:spacing w:before="0" w:after="0" w:line="240" w:lineRule="auto"/>
              <w:jc w:val="right"/>
              <w:rPr>
                <w:rFonts w:eastAsia="Times New Roman" w:cs="Microsoft Sans Serif"/>
                <w:b/>
                <w:bCs/>
                <w:i/>
                <w:iCs/>
                <w:color w:val="000000"/>
              </w:rPr>
            </w:pPr>
            <w:r w:rsidRPr="00F82030">
              <w:rPr>
                <w:rFonts w:eastAsia="Times New Roman" w:cs="Microsoft Sans Serif"/>
                <w:b/>
                <w:bCs/>
                <w:i/>
                <w:iCs/>
                <w:color w:val="000000"/>
              </w:rPr>
              <w:t>answered question</w:t>
            </w:r>
          </w:p>
        </w:tc>
        <w:tc>
          <w:tcPr>
            <w:tcW w:w="1440" w:type="dxa"/>
            <w:tcBorders>
              <w:top w:val="nil"/>
              <w:left w:val="nil"/>
              <w:bottom w:val="nil"/>
              <w:right w:val="nil"/>
            </w:tcBorders>
            <w:shd w:val="clear" w:color="000000" w:fill="CDD8E6"/>
            <w:noWrap/>
            <w:vAlign w:val="bottom"/>
            <w:hideMark/>
          </w:tcPr>
          <w:p w:rsidR="008A385E" w:rsidRPr="00F82030" w:rsidRDefault="008A385E" w:rsidP="008A385E">
            <w:pPr>
              <w:spacing w:before="0" w:after="0" w:line="240" w:lineRule="auto"/>
              <w:jc w:val="right"/>
              <w:rPr>
                <w:rFonts w:eastAsia="Times New Roman" w:cs="Microsoft Sans Serif"/>
                <w:b/>
                <w:bCs/>
                <w:color w:val="000000"/>
              </w:rPr>
            </w:pPr>
            <w:r w:rsidRPr="00F82030">
              <w:rPr>
                <w:rFonts w:eastAsia="Times New Roman" w:cs="Microsoft Sans Serif"/>
                <w:b/>
                <w:bCs/>
                <w:color w:val="000000"/>
              </w:rPr>
              <w:t>25</w:t>
            </w:r>
          </w:p>
        </w:tc>
      </w:tr>
      <w:tr w:rsidR="008A385E" w:rsidRPr="00F82030" w:rsidTr="008A385E">
        <w:trPr>
          <w:trHeight w:val="255"/>
        </w:trPr>
        <w:tc>
          <w:tcPr>
            <w:tcW w:w="6320" w:type="dxa"/>
            <w:gridSpan w:val="2"/>
            <w:tcBorders>
              <w:top w:val="nil"/>
              <w:left w:val="nil"/>
              <w:bottom w:val="nil"/>
              <w:right w:val="nil"/>
            </w:tcBorders>
            <w:shd w:val="clear" w:color="000000" w:fill="DDDDDD"/>
            <w:noWrap/>
            <w:vAlign w:val="bottom"/>
            <w:hideMark/>
          </w:tcPr>
          <w:p w:rsidR="008A385E" w:rsidRPr="00F82030" w:rsidRDefault="008A385E" w:rsidP="008A385E">
            <w:pPr>
              <w:spacing w:before="0" w:after="0" w:line="240" w:lineRule="auto"/>
              <w:jc w:val="right"/>
              <w:rPr>
                <w:rFonts w:eastAsia="Times New Roman" w:cs="Microsoft Sans Serif"/>
                <w:b/>
                <w:bCs/>
                <w:i/>
                <w:iCs/>
                <w:color w:val="000000"/>
              </w:rPr>
            </w:pPr>
            <w:r w:rsidRPr="00F82030">
              <w:rPr>
                <w:rFonts w:eastAsia="Times New Roman" w:cs="Microsoft Sans Serif"/>
                <w:b/>
                <w:bCs/>
                <w:i/>
                <w:iCs/>
                <w:color w:val="000000"/>
              </w:rPr>
              <w:t>skipped question</w:t>
            </w:r>
          </w:p>
        </w:tc>
        <w:tc>
          <w:tcPr>
            <w:tcW w:w="1440" w:type="dxa"/>
            <w:tcBorders>
              <w:top w:val="nil"/>
              <w:left w:val="nil"/>
              <w:bottom w:val="nil"/>
              <w:right w:val="nil"/>
            </w:tcBorders>
            <w:shd w:val="clear" w:color="000000" w:fill="DDDDDD"/>
            <w:noWrap/>
            <w:vAlign w:val="bottom"/>
            <w:hideMark/>
          </w:tcPr>
          <w:p w:rsidR="008A385E" w:rsidRPr="00F82030" w:rsidRDefault="008A385E" w:rsidP="008A385E">
            <w:pPr>
              <w:spacing w:before="0" w:after="0" w:line="240" w:lineRule="auto"/>
              <w:jc w:val="right"/>
              <w:rPr>
                <w:rFonts w:eastAsia="Times New Roman" w:cs="Microsoft Sans Serif"/>
                <w:b/>
                <w:bCs/>
                <w:color w:val="000000"/>
              </w:rPr>
            </w:pPr>
            <w:r w:rsidRPr="00F82030">
              <w:rPr>
                <w:rFonts w:eastAsia="Times New Roman" w:cs="Microsoft Sans Serif"/>
                <w:b/>
                <w:bCs/>
                <w:color w:val="000000"/>
              </w:rPr>
              <w:t>0</w:t>
            </w:r>
          </w:p>
        </w:tc>
      </w:tr>
    </w:tbl>
    <w:p w:rsidR="008A385E" w:rsidRDefault="008A385E" w:rsidP="008A385E">
      <w:pPr>
        <w:spacing w:before="0" w:after="0"/>
      </w:pPr>
    </w:p>
    <w:tbl>
      <w:tblPr>
        <w:tblW w:w="9390" w:type="dxa"/>
        <w:tblInd w:w="93" w:type="dxa"/>
        <w:tblLook w:val="04A0" w:firstRow="1" w:lastRow="0" w:firstColumn="1" w:lastColumn="0" w:noHBand="0" w:noVBand="1"/>
      </w:tblPr>
      <w:tblGrid>
        <w:gridCol w:w="4880"/>
        <w:gridCol w:w="1440"/>
        <w:gridCol w:w="1440"/>
        <w:gridCol w:w="1630"/>
      </w:tblGrid>
      <w:tr w:rsidR="008A385E" w:rsidRPr="00F82030" w:rsidTr="008A385E">
        <w:trPr>
          <w:gridAfter w:val="1"/>
          <w:wAfter w:w="1630" w:type="dxa"/>
          <w:trHeight w:val="499"/>
        </w:trPr>
        <w:tc>
          <w:tcPr>
            <w:tcW w:w="7760" w:type="dxa"/>
            <w:gridSpan w:val="3"/>
            <w:tcBorders>
              <w:top w:val="nil"/>
              <w:left w:val="nil"/>
              <w:bottom w:val="nil"/>
              <w:right w:val="nil"/>
            </w:tcBorders>
            <w:shd w:val="clear" w:color="000000" w:fill="DDDDDD"/>
            <w:vAlign w:val="center"/>
            <w:hideMark/>
          </w:tcPr>
          <w:p w:rsidR="008A385E" w:rsidRPr="00F82030" w:rsidRDefault="008A385E" w:rsidP="008A385E">
            <w:pPr>
              <w:spacing w:before="0" w:after="0" w:line="240" w:lineRule="auto"/>
              <w:rPr>
                <w:rFonts w:eastAsia="Times New Roman" w:cs="Microsoft Sans Serif"/>
                <w:b/>
                <w:bCs/>
              </w:rPr>
            </w:pPr>
            <w:r w:rsidRPr="00F82030">
              <w:rPr>
                <w:rFonts w:eastAsia="Times New Roman" w:cs="Microsoft Sans Serif"/>
                <w:b/>
                <w:bCs/>
              </w:rPr>
              <w:t>Please check all the services you find lacking for your HIV clients:</w:t>
            </w:r>
          </w:p>
        </w:tc>
      </w:tr>
      <w:tr w:rsidR="008A385E" w:rsidRPr="00F82030" w:rsidTr="008A385E">
        <w:trPr>
          <w:gridAfter w:val="1"/>
          <w:wAfter w:w="1630" w:type="dxa"/>
          <w:trHeight w:val="600"/>
        </w:trPr>
        <w:tc>
          <w:tcPr>
            <w:tcW w:w="4880" w:type="dxa"/>
            <w:tcBorders>
              <w:top w:val="nil"/>
              <w:left w:val="nil"/>
              <w:bottom w:val="nil"/>
              <w:right w:val="nil"/>
            </w:tcBorders>
            <w:shd w:val="clear" w:color="000000" w:fill="DEE9F7"/>
            <w:vAlign w:val="center"/>
            <w:hideMark/>
          </w:tcPr>
          <w:p w:rsidR="008A385E" w:rsidRPr="00F82030" w:rsidRDefault="008A385E" w:rsidP="008A385E">
            <w:pPr>
              <w:spacing w:before="0" w:after="0" w:line="240" w:lineRule="auto"/>
              <w:rPr>
                <w:rFonts w:eastAsia="Times New Roman" w:cs="Microsoft Sans Serif"/>
                <w:b/>
                <w:bCs/>
                <w:color w:val="000000"/>
              </w:rPr>
            </w:pPr>
            <w:r w:rsidRPr="00F82030">
              <w:rPr>
                <w:rFonts w:eastAsia="Times New Roman" w:cs="Microsoft Sans Serif"/>
                <w:b/>
                <w:bCs/>
                <w:color w:val="000000"/>
              </w:rPr>
              <w:t>Answer Options</w:t>
            </w:r>
          </w:p>
        </w:tc>
        <w:tc>
          <w:tcPr>
            <w:tcW w:w="1440" w:type="dxa"/>
            <w:tcBorders>
              <w:top w:val="nil"/>
              <w:left w:val="nil"/>
              <w:bottom w:val="nil"/>
              <w:right w:val="nil"/>
            </w:tcBorders>
            <w:shd w:val="clear" w:color="000000" w:fill="CDD8E6"/>
            <w:vAlign w:val="center"/>
            <w:hideMark/>
          </w:tcPr>
          <w:p w:rsidR="008A385E" w:rsidRPr="00F82030" w:rsidRDefault="008A385E" w:rsidP="008A385E">
            <w:pPr>
              <w:spacing w:before="0" w:after="0" w:line="240" w:lineRule="auto"/>
              <w:jc w:val="center"/>
              <w:rPr>
                <w:rFonts w:eastAsia="Times New Roman" w:cs="Microsoft Sans Serif"/>
                <w:b/>
                <w:bCs/>
                <w:color w:val="000000"/>
              </w:rPr>
            </w:pPr>
            <w:r w:rsidRPr="00F82030">
              <w:rPr>
                <w:rFonts w:eastAsia="Times New Roman" w:cs="Microsoft Sans Serif"/>
                <w:b/>
                <w:bCs/>
                <w:color w:val="000000"/>
              </w:rPr>
              <w:t>Response Percent</w:t>
            </w:r>
          </w:p>
        </w:tc>
        <w:tc>
          <w:tcPr>
            <w:tcW w:w="1440" w:type="dxa"/>
            <w:tcBorders>
              <w:top w:val="nil"/>
              <w:left w:val="nil"/>
              <w:bottom w:val="nil"/>
              <w:right w:val="nil"/>
            </w:tcBorders>
            <w:shd w:val="clear" w:color="000000" w:fill="CDD8E6"/>
            <w:vAlign w:val="center"/>
            <w:hideMark/>
          </w:tcPr>
          <w:p w:rsidR="008A385E" w:rsidRPr="00F82030" w:rsidRDefault="008A385E" w:rsidP="008A385E">
            <w:pPr>
              <w:spacing w:before="0" w:after="0" w:line="240" w:lineRule="auto"/>
              <w:jc w:val="center"/>
              <w:rPr>
                <w:rFonts w:eastAsia="Times New Roman" w:cs="Microsoft Sans Serif"/>
                <w:b/>
                <w:bCs/>
                <w:color w:val="000000"/>
              </w:rPr>
            </w:pPr>
            <w:r w:rsidRPr="00F82030">
              <w:rPr>
                <w:rFonts w:eastAsia="Times New Roman" w:cs="Microsoft Sans Serif"/>
                <w:b/>
                <w:bCs/>
                <w:color w:val="000000"/>
              </w:rPr>
              <w:t>Response Count</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Medical care</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16.7%</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3</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Help paying for medicines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22.2%</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4</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Help understanding medicines and how to take them</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22.2%</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4</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Help getting food</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44.4%</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8</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Dental care</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55.6%</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10</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Help getting health insurance</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27.8%</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Vision care</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38.9%</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7</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Financial help</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55.6%</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10</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Transportation</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55.6%</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10</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Mental health care</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50.0%</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9</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Help filling out forms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33.3%</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6</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Specialty doctors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22.2%</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4</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Therapy (occupational, speech, physical)</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5.6%</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Nutrition help</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27.8%</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Referrals to get other health care or services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16.7%</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3</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Interpretation or translation services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22.2%</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4</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Help getting off drugs or alcohol</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38.9%</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7</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Child care</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27.8%</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Case Management</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11.1%</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HIV and health classes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22.2%</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4</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Free condoms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0.0%</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0</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Home health care</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11.1%</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Legal help</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44.4%</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8</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Support groups</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16.7%</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3</w:t>
            </w:r>
          </w:p>
        </w:tc>
      </w:tr>
      <w:tr w:rsidR="008A385E" w:rsidRPr="00F82030"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F82030" w:rsidRDefault="008A385E" w:rsidP="008A385E">
            <w:pPr>
              <w:spacing w:before="0" w:after="0" w:line="240" w:lineRule="auto"/>
              <w:rPr>
                <w:rFonts w:eastAsia="Times New Roman" w:cs="Microsoft Sans Serif"/>
              </w:rPr>
            </w:pPr>
            <w:r w:rsidRPr="00F82030">
              <w:rPr>
                <w:rFonts w:eastAsia="Times New Roman" w:cs="Microsoft Sans Serif"/>
              </w:rPr>
              <w:t>Other (please specify)</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27.8%</w:t>
            </w:r>
          </w:p>
        </w:tc>
        <w:tc>
          <w:tcPr>
            <w:tcW w:w="1440" w:type="dxa"/>
            <w:tcBorders>
              <w:top w:val="nil"/>
              <w:left w:val="nil"/>
              <w:bottom w:val="nil"/>
              <w:right w:val="nil"/>
            </w:tcBorders>
            <w:shd w:val="clear" w:color="000000" w:fill="DEE9F7"/>
            <w:noWrap/>
            <w:vAlign w:val="center"/>
            <w:hideMark/>
          </w:tcPr>
          <w:p w:rsidR="008A385E" w:rsidRPr="00F82030" w:rsidRDefault="008A385E" w:rsidP="008A385E">
            <w:pPr>
              <w:spacing w:before="0" w:after="0" w:line="240" w:lineRule="auto"/>
              <w:jc w:val="center"/>
              <w:rPr>
                <w:rFonts w:eastAsia="Times New Roman" w:cs="Microsoft Sans Serif"/>
              </w:rPr>
            </w:pPr>
            <w:r w:rsidRPr="00F82030">
              <w:rPr>
                <w:rFonts w:eastAsia="Times New Roman" w:cs="Microsoft Sans Serif"/>
              </w:rPr>
              <w:t>5</w:t>
            </w:r>
          </w:p>
        </w:tc>
      </w:tr>
      <w:tr w:rsidR="008A385E" w:rsidRPr="00F82030" w:rsidTr="008A385E">
        <w:trPr>
          <w:gridAfter w:val="1"/>
          <w:wAfter w:w="1630" w:type="dxa"/>
          <w:trHeight w:val="255"/>
        </w:trPr>
        <w:tc>
          <w:tcPr>
            <w:tcW w:w="6320" w:type="dxa"/>
            <w:gridSpan w:val="2"/>
            <w:tcBorders>
              <w:top w:val="nil"/>
              <w:left w:val="nil"/>
              <w:bottom w:val="nil"/>
              <w:right w:val="nil"/>
            </w:tcBorders>
            <w:shd w:val="clear" w:color="000000" w:fill="CDD8E6"/>
            <w:noWrap/>
            <w:vAlign w:val="bottom"/>
            <w:hideMark/>
          </w:tcPr>
          <w:p w:rsidR="008A385E" w:rsidRPr="00F82030" w:rsidRDefault="008A385E" w:rsidP="008A385E">
            <w:pPr>
              <w:spacing w:before="0" w:after="0" w:line="240" w:lineRule="auto"/>
              <w:jc w:val="right"/>
              <w:rPr>
                <w:rFonts w:eastAsia="Times New Roman" w:cs="Microsoft Sans Serif"/>
                <w:b/>
                <w:bCs/>
                <w:i/>
                <w:iCs/>
                <w:color w:val="000000"/>
              </w:rPr>
            </w:pPr>
            <w:r w:rsidRPr="00F82030">
              <w:rPr>
                <w:rFonts w:eastAsia="Times New Roman" w:cs="Microsoft Sans Serif"/>
                <w:b/>
                <w:bCs/>
                <w:i/>
                <w:iCs/>
                <w:color w:val="000000"/>
              </w:rPr>
              <w:t>answered question</w:t>
            </w:r>
          </w:p>
        </w:tc>
        <w:tc>
          <w:tcPr>
            <w:tcW w:w="1440" w:type="dxa"/>
            <w:tcBorders>
              <w:top w:val="nil"/>
              <w:left w:val="nil"/>
              <w:bottom w:val="nil"/>
              <w:right w:val="nil"/>
            </w:tcBorders>
            <w:shd w:val="clear" w:color="000000" w:fill="CDD8E6"/>
            <w:noWrap/>
            <w:vAlign w:val="bottom"/>
            <w:hideMark/>
          </w:tcPr>
          <w:p w:rsidR="008A385E" w:rsidRPr="00F82030" w:rsidRDefault="008A385E" w:rsidP="008A385E">
            <w:pPr>
              <w:spacing w:before="0" w:after="0" w:line="240" w:lineRule="auto"/>
              <w:jc w:val="right"/>
              <w:rPr>
                <w:rFonts w:eastAsia="Times New Roman" w:cs="Microsoft Sans Serif"/>
                <w:b/>
                <w:bCs/>
                <w:color w:val="000000"/>
              </w:rPr>
            </w:pPr>
            <w:r w:rsidRPr="00F82030">
              <w:rPr>
                <w:rFonts w:eastAsia="Times New Roman" w:cs="Microsoft Sans Serif"/>
                <w:b/>
                <w:bCs/>
                <w:color w:val="000000"/>
              </w:rPr>
              <w:t>18</w:t>
            </w:r>
          </w:p>
        </w:tc>
      </w:tr>
      <w:tr w:rsidR="008A385E" w:rsidRPr="00F82030" w:rsidTr="008A385E">
        <w:trPr>
          <w:gridAfter w:val="1"/>
          <w:wAfter w:w="1630" w:type="dxa"/>
          <w:trHeight w:val="255"/>
        </w:trPr>
        <w:tc>
          <w:tcPr>
            <w:tcW w:w="6320" w:type="dxa"/>
            <w:gridSpan w:val="2"/>
            <w:tcBorders>
              <w:top w:val="nil"/>
              <w:left w:val="nil"/>
              <w:bottom w:val="nil"/>
              <w:right w:val="nil"/>
            </w:tcBorders>
            <w:shd w:val="clear" w:color="000000" w:fill="DDDDDD"/>
            <w:noWrap/>
            <w:vAlign w:val="bottom"/>
            <w:hideMark/>
          </w:tcPr>
          <w:p w:rsidR="008A385E" w:rsidRPr="00F82030" w:rsidRDefault="008A385E" w:rsidP="008A385E">
            <w:pPr>
              <w:spacing w:before="0" w:after="0" w:line="240" w:lineRule="auto"/>
              <w:jc w:val="right"/>
              <w:rPr>
                <w:rFonts w:eastAsia="Times New Roman" w:cs="Microsoft Sans Serif"/>
                <w:b/>
                <w:bCs/>
                <w:i/>
                <w:iCs/>
                <w:color w:val="000000"/>
              </w:rPr>
            </w:pPr>
            <w:r w:rsidRPr="00F82030">
              <w:rPr>
                <w:rFonts w:eastAsia="Times New Roman" w:cs="Microsoft Sans Serif"/>
                <w:b/>
                <w:bCs/>
                <w:i/>
                <w:iCs/>
                <w:color w:val="000000"/>
              </w:rPr>
              <w:t>skipped question</w:t>
            </w:r>
          </w:p>
        </w:tc>
        <w:tc>
          <w:tcPr>
            <w:tcW w:w="1440" w:type="dxa"/>
            <w:tcBorders>
              <w:top w:val="nil"/>
              <w:left w:val="nil"/>
              <w:bottom w:val="nil"/>
              <w:right w:val="nil"/>
            </w:tcBorders>
            <w:shd w:val="clear" w:color="000000" w:fill="DDDDDD"/>
            <w:noWrap/>
            <w:vAlign w:val="bottom"/>
            <w:hideMark/>
          </w:tcPr>
          <w:p w:rsidR="008A385E" w:rsidRPr="00F82030" w:rsidRDefault="008A385E" w:rsidP="008A385E">
            <w:pPr>
              <w:spacing w:before="0" w:after="0" w:line="240" w:lineRule="auto"/>
              <w:jc w:val="right"/>
              <w:rPr>
                <w:rFonts w:eastAsia="Times New Roman" w:cs="Microsoft Sans Serif"/>
                <w:b/>
                <w:bCs/>
                <w:color w:val="000000"/>
              </w:rPr>
            </w:pPr>
            <w:r w:rsidRPr="00F82030">
              <w:rPr>
                <w:rFonts w:eastAsia="Times New Roman" w:cs="Microsoft Sans Serif"/>
                <w:b/>
                <w:bCs/>
                <w:color w:val="000000"/>
              </w:rPr>
              <w:t>7</w:t>
            </w:r>
          </w:p>
        </w:tc>
      </w:tr>
      <w:tr w:rsidR="008A385E" w:rsidRPr="00F82030" w:rsidTr="008A385E">
        <w:trPr>
          <w:trHeight w:val="765"/>
        </w:trPr>
        <w:tc>
          <w:tcPr>
            <w:tcW w:w="9390" w:type="dxa"/>
            <w:gridSpan w:val="4"/>
            <w:tcBorders>
              <w:top w:val="nil"/>
              <w:left w:val="nil"/>
              <w:bottom w:val="nil"/>
              <w:right w:val="nil"/>
            </w:tcBorders>
            <w:shd w:val="clear" w:color="000000" w:fill="DDDDDD"/>
            <w:vAlign w:val="center"/>
            <w:hideMark/>
          </w:tcPr>
          <w:p w:rsidR="008A385E" w:rsidRPr="00F82030" w:rsidRDefault="008A385E" w:rsidP="008A385E">
            <w:pPr>
              <w:spacing w:before="0" w:after="0" w:line="240" w:lineRule="auto"/>
              <w:rPr>
                <w:rFonts w:eastAsia="Times New Roman" w:cs="Microsoft Sans Serif"/>
                <w:b/>
                <w:bCs/>
                <w:color w:val="000000"/>
              </w:rPr>
            </w:pPr>
            <w:r w:rsidRPr="00F82030">
              <w:rPr>
                <w:rFonts w:eastAsia="Times New Roman" w:cs="Microsoft Sans Serif"/>
                <w:b/>
                <w:bCs/>
                <w:color w:val="000000"/>
              </w:rPr>
              <w:lastRenderedPageBreak/>
              <w:t>Other (please specify)</w:t>
            </w:r>
          </w:p>
        </w:tc>
      </w:tr>
      <w:tr w:rsidR="008A385E" w:rsidRPr="00F82030"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Continuous frustration with variations in eligibility.</w:t>
            </w:r>
            <w:r w:rsidRPr="00F82030">
              <w:rPr>
                <w:rFonts w:eastAsia="Times New Roman" w:cs="Microsoft Sans Serif"/>
              </w:rPr>
              <w:br/>
              <w:t>Emergency access for housing, food.</w:t>
            </w:r>
          </w:p>
        </w:tc>
      </w:tr>
      <w:tr w:rsidR="008A385E" w:rsidRPr="00F82030"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Stable, long term housing options</w:t>
            </w:r>
          </w:p>
        </w:tc>
      </w:tr>
      <w:tr w:rsidR="008A385E" w:rsidRPr="00F82030"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housing</w:t>
            </w:r>
          </w:p>
        </w:tc>
      </w:tr>
      <w:tr w:rsidR="008A385E" w:rsidRPr="00F82030"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 xml:space="preserve">Shelter and affordable housing </w:t>
            </w:r>
          </w:p>
        </w:tc>
      </w:tr>
      <w:tr w:rsidR="008A385E" w:rsidRPr="00F82030"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People who are infected or affected by HIV/AIDS are often not open to discussing their status outside of their communities. They feel stigmatized and that others do not understand their community. Support groups need to be designed for identified populations i.e.  groups specifically designed for women (by race and ethnicity), gay men of color, heterosexual men of color, teens.</w:t>
            </w:r>
          </w:p>
        </w:tc>
      </w:tr>
    </w:tbl>
    <w:p w:rsidR="008A385E" w:rsidRDefault="008A385E" w:rsidP="008A385E">
      <w:pPr>
        <w:spacing w:before="0" w:after="0"/>
      </w:pPr>
    </w:p>
    <w:p w:rsidR="008A385E" w:rsidRPr="00F82030" w:rsidRDefault="008A385E" w:rsidP="008A385E">
      <w:pPr>
        <w:spacing w:before="0" w:after="0"/>
        <w:rPr>
          <w:b/>
        </w:rPr>
      </w:pPr>
      <w:r w:rsidRPr="00F82030">
        <w:rPr>
          <w:b/>
        </w:rPr>
        <w:t>What do you feel are barriers to clients accessing any of the above needed services?</w:t>
      </w:r>
    </w:p>
    <w:tbl>
      <w:tblPr>
        <w:tblW w:w="9390" w:type="dxa"/>
        <w:tblInd w:w="93" w:type="dxa"/>
        <w:tblLook w:val="04A0" w:firstRow="1" w:lastRow="0" w:firstColumn="1" w:lastColumn="0" w:noHBand="0" w:noVBand="1"/>
      </w:tblPr>
      <w:tblGrid>
        <w:gridCol w:w="9390"/>
      </w:tblGrid>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Transportation</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 xml:space="preserve">Disparate and complicated system. Clients have to travel to many agencies sometimes physically located far apart to address their needs. </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All eligibility should be the same across all parts - this is very difficult for all clients needing different RW eligibility and also difficult for the staff.</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Agency resources/funding, barriers with insurance and providers for mental health and substance use treatment (not enough providers and cumbersome process when their needs are acute)</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Funding</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Transportation, education, stigma</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Funding</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 xml:space="preserve">Referral sources.  Funding. </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Not enough funding for the services above</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 xml:space="preserve">Lack of available services in the above areas. Also, the lack of housing, food, or transportation affects all other access to needed services. </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 xml:space="preserve">Low or no income, no transportation, psychological stressors and mental illness, substance abuse. </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 xml:space="preserve">They do not know who can help them, programs and agencies. There are programs that they can be referred to however, someone needs to help them. Mental Health Services </w:t>
            </w:r>
            <w:r w:rsidR="003317C9">
              <w:rPr>
                <w:rFonts w:eastAsia="Times New Roman" w:cs="Microsoft Sans Serif"/>
              </w:rPr>
              <w:t>e</w:t>
            </w:r>
            <w:r w:rsidRPr="00F82030">
              <w:rPr>
                <w:rFonts w:eastAsia="Times New Roman" w:cs="Microsoft Sans Serif"/>
              </w:rPr>
              <w:t>specially Psychiatrist</w:t>
            </w:r>
            <w:r w:rsidR="003317C9">
              <w:rPr>
                <w:rFonts w:eastAsia="Times New Roman" w:cs="Microsoft Sans Serif"/>
              </w:rPr>
              <w:t>s</w:t>
            </w:r>
            <w:r w:rsidRPr="00F82030">
              <w:rPr>
                <w:rFonts w:eastAsia="Times New Roman" w:cs="Microsoft Sans Serif"/>
              </w:rPr>
              <w:t xml:space="preserve"> who can prescribe. Counseling is also missing. Many clients are below or at poverty levels. They need assistance to fill out forms that they do not understand. Providers are limited and assistance for dental care services., They do not have transportation or funding for public transportation. Limited access to legal assistance and help to apply for Social Security Disability. People in poverty do not eat well and need to understand the importance of good Nutrition. </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 xml:space="preserve">Regarding Nutrition help there are many food pantries but many clients don't know how to cook or can't get groceries home. They could use restaurant vouchers such as </w:t>
            </w:r>
            <w:r w:rsidR="003317C9" w:rsidRPr="00F82030">
              <w:rPr>
                <w:rFonts w:eastAsia="Times New Roman" w:cs="Microsoft Sans Serif"/>
              </w:rPr>
              <w:t>McDonalds</w:t>
            </w:r>
            <w:r w:rsidRPr="00F82030">
              <w:rPr>
                <w:rFonts w:eastAsia="Times New Roman" w:cs="Microsoft Sans Serif"/>
              </w:rPr>
              <w:t xml:space="preserve"> who post nutrition values.  </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The health care system</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Apathy, lack of information about where to go (updated HIV/AIDS Resource Guide not updated), stigma, fear</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7"/>
              </w:numPr>
              <w:spacing w:before="0" w:after="0" w:line="240" w:lineRule="auto"/>
              <w:rPr>
                <w:rFonts w:eastAsia="Times New Roman" w:cs="Microsoft Sans Serif"/>
              </w:rPr>
            </w:pPr>
            <w:r w:rsidRPr="00F82030">
              <w:rPr>
                <w:rFonts w:eastAsia="Times New Roman" w:cs="Microsoft Sans Serif"/>
              </w:rPr>
              <w:t>Funding</w:t>
            </w:r>
          </w:p>
        </w:tc>
      </w:tr>
    </w:tbl>
    <w:p w:rsidR="008A385E" w:rsidRDefault="008A385E" w:rsidP="008A385E">
      <w:pPr>
        <w:spacing w:after="0"/>
        <w:rPr>
          <w:b/>
          <w:bCs/>
        </w:rPr>
      </w:pPr>
      <w:r w:rsidRPr="00F82030">
        <w:rPr>
          <w:b/>
          <w:bCs/>
        </w:rPr>
        <w:t>What are the unmet needs of your clients that are not listed above?</w:t>
      </w:r>
    </w:p>
    <w:tbl>
      <w:tblPr>
        <w:tblW w:w="9390" w:type="dxa"/>
        <w:tblInd w:w="93" w:type="dxa"/>
        <w:tblLook w:val="04A0" w:firstRow="1" w:lastRow="0" w:firstColumn="1" w:lastColumn="0" w:noHBand="0" w:noVBand="1"/>
      </w:tblPr>
      <w:tblGrid>
        <w:gridCol w:w="9390"/>
      </w:tblGrid>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8"/>
              </w:numPr>
              <w:spacing w:before="0" w:after="0" w:line="240" w:lineRule="auto"/>
              <w:rPr>
                <w:rFonts w:eastAsia="Times New Roman" w:cs="Microsoft Sans Serif"/>
              </w:rPr>
            </w:pPr>
            <w:r w:rsidRPr="00F82030">
              <w:rPr>
                <w:rFonts w:eastAsia="Times New Roman" w:cs="Microsoft Sans Serif"/>
              </w:rPr>
              <w:t>none</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8"/>
              </w:numPr>
              <w:spacing w:before="0" w:after="0" w:line="240" w:lineRule="auto"/>
              <w:rPr>
                <w:rFonts w:eastAsia="Times New Roman" w:cs="Microsoft Sans Serif"/>
              </w:rPr>
            </w:pPr>
            <w:r w:rsidRPr="00F82030">
              <w:rPr>
                <w:rFonts w:eastAsia="Times New Roman" w:cs="Microsoft Sans Serif"/>
              </w:rPr>
              <w:t>housing</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8"/>
              </w:numPr>
              <w:spacing w:before="0" w:after="0" w:line="240" w:lineRule="auto"/>
              <w:rPr>
                <w:rFonts w:eastAsia="Times New Roman" w:cs="Microsoft Sans Serif"/>
              </w:rPr>
            </w:pPr>
            <w:r w:rsidRPr="00F82030">
              <w:rPr>
                <w:rFonts w:eastAsia="Times New Roman" w:cs="Microsoft Sans Serif"/>
              </w:rPr>
              <w:t>none</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8"/>
              </w:numPr>
              <w:spacing w:before="0" w:after="0" w:line="240" w:lineRule="auto"/>
              <w:rPr>
                <w:rFonts w:eastAsia="Times New Roman" w:cs="Microsoft Sans Serif"/>
              </w:rPr>
            </w:pPr>
            <w:r w:rsidRPr="00F82030">
              <w:rPr>
                <w:rFonts w:eastAsia="Times New Roman" w:cs="Microsoft Sans Serif"/>
              </w:rPr>
              <w:t xml:space="preserve">Access to Hospice </w:t>
            </w:r>
          </w:p>
        </w:tc>
      </w:tr>
      <w:tr w:rsidR="008A385E" w:rsidRPr="00F82030" w:rsidTr="008A385E">
        <w:trPr>
          <w:trHeight w:val="255"/>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8"/>
              </w:numPr>
              <w:spacing w:before="0" w:after="0" w:line="240" w:lineRule="auto"/>
              <w:rPr>
                <w:rFonts w:eastAsia="Times New Roman" w:cs="Microsoft Sans Serif"/>
              </w:rPr>
            </w:pPr>
            <w:r w:rsidRPr="00F82030">
              <w:rPr>
                <w:rFonts w:eastAsia="Times New Roman" w:cs="Microsoft Sans Serif"/>
              </w:rPr>
              <w:lastRenderedPageBreak/>
              <w:t xml:space="preserve">Shelter and affordable housing </w:t>
            </w:r>
          </w:p>
        </w:tc>
      </w:tr>
      <w:tr w:rsidR="008A385E" w:rsidRPr="00F82030" w:rsidTr="008A385E">
        <w:trPr>
          <w:trHeight w:val="1275"/>
        </w:trPr>
        <w:tc>
          <w:tcPr>
            <w:tcW w:w="9390" w:type="dxa"/>
            <w:tcBorders>
              <w:top w:val="nil"/>
              <w:left w:val="nil"/>
              <w:bottom w:val="nil"/>
              <w:right w:val="nil"/>
            </w:tcBorders>
            <w:shd w:val="clear" w:color="auto" w:fill="auto"/>
            <w:vAlign w:val="bottom"/>
            <w:hideMark/>
          </w:tcPr>
          <w:p w:rsidR="008A385E" w:rsidRPr="00F82030" w:rsidRDefault="008A385E" w:rsidP="00E73293">
            <w:pPr>
              <w:pStyle w:val="ListParagraph"/>
              <w:numPr>
                <w:ilvl w:val="0"/>
                <w:numId w:val="48"/>
              </w:numPr>
              <w:spacing w:before="0" w:after="0" w:line="240" w:lineRule="auto"/>
              <w:rPr>
                <w:rFonts w:eastAsia="Times New Roman" w:cs="Microsoft Sans Serif"/>
              </w:rPr>
            </w:pPr>
            <w:r w:rsidRPr="00F82030">
              <w:rPr>
                <w:rFonts w:eastAsia="Times New Roman" w:cs="Microsoft Sans Serif"/>
              </w:rPr>
              <w:t xml:space="preserve">In our primary care facilities statewide and with Access To Healthcare many clients are lead to the help they need. Unfortunately some areas are not accessible especially in Mental Health Services. The primary care will help them with a nutritional chart and if they are a diabetic they can see a nutritionist. HIV </w:t>
            </w:r>
            <w:r>
              <w:rPr>
                <w:rFonts w:eastAsia="Times New Roman" w:cs="Microsoft Sans Serif"/>
              </w:rPr>
              <w:t xml:space="preserve">and health classes are needed. </w:t>
            </w:r>
          </w:p>
        </w:tc>
      </w:tr>
      <w:tr w:rsidR="008A385E" w:rsidRPr="00F82030" w:rsidTr="008A385E">
        <w:trPr>
          <w:trHeight w:val="70"/>
        </w:trPr>
        <w:tc>
          <w:tcPr>
            <w:tcW w:w="9390" w:type="dxa"/>
            <w:tcBorders>
              <w:top w:val="nil"/>
              <w:left w:val="nil"/>
              <w:bottom w:val="nil"/>
              <w:right w:val="nil"/>
            </w:tcBorders>
            <w:shd w:val="clear" w:color="auto" w:fill="auto"/>
            <w:noWrap/>
            <w:vAlign w:val="bottom"/>
            <w:hideMark/>
          </w:tcPr>
          <w:p w:rsidR="008A385E" w:rsidRPr="00F82030" w:rsidRDefault="008A385E" w:rsidP="00E73293">
            <w:pPr>
              <w:pStyle w:val="ListParagraph"/>
              <w:numPr>
                <w:ilvl w:val="0"/>
                <w:numId w:val="48"/>
              </w:numPr>
              <w:spacing w:before="0" w:after="0" w:line="240" w:lineRule="auto"/>
              <w:rPr>
                <w:rFonts w:eastAsia="Times New Roman" w:cs="Microsoft Sans Serif"/>
              </w:rPr>
            </w:pPr>
            <w:r w:rsidRPr="00F82030">
              <w:rPr>
                <w:rFonts w:eastAsia="Times New Roman" w:cs="Microsoft Sans Serif"/>
              </w:rPr>
              <w:t>Spiritual Counseling would help clients become aware of who they are and of the power they have within to become self-reliant and live a healthy existence.</w:t>
            </w:r>
          </w:p>
        </w:tc>
      </w:tr>
    </w:tbl>
    <w:p w:rsidR="008A385E" w:rsidRDefault="008A385E" w:rsidP="008A385E">
      <w:pPr>
        <w:rPr>
          <w:b/>
          <w:bCs/>
        </w:rPr>
      </w:pPr>
      <w:r w:rsidRPr="002B4AE3">
        <w:rPr>
          <w:b/>
          <w:bCs/>
        </w:rPr>
        <w:t>What ideas do you have to improve HIV care services in your area?</w:t>
      </w:r>
    </w:p>
    <w:tbl>
      <w:tblPr>
        <w:tblW w:w="9390" w:type="dxa"/>
        <w:tblInd w:w="93" w:type="dxa"/>
        <w:tblLook w:val="04A0" w:firstRow="1" w:lastRow="0" w:firstColumn="1" w:lastColumn="0" w:noHBand="0" w:noVBand="1"/>
      </w:tblPr>
      <w:tblGrid>
        <w:gridCol w:w="9390"/>
      </w:tblGrid>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 xml:space="preserve">I would like to see additional dental providers and assist clients with glasses. </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More doctors and integration of services</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Have services more easily accessible and in one area vs. Across the city.</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Continue to ensure that processes are streamlined between agencies</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More services for pregnant women, and detox and housing services for opiate dependent pregnant women</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 xml:space="preserve">Increase funding for dental services. This is badly needed. Access to specialty care services is hard, but a lot of this is due to lack of providers and providers closing to </w:t>
            </w:r>
            <w:r w:rsidR="003317C9" w:rsidRPr="002B4AE3">
              <w:rPr>
                <w:rFonts w:eastAsia="Times New Roman" w:cs="Microsoft Sans Serif"/>
              </w:rPr>
              <w:t>Medicaid</w:t>
            </w:r>
            <w:r w:rsidRPr="002B4AE3">
              <w:rPr>
                <w:rFonts w:eastAsia="Times New Roman" w:cs="Microsoft Sans Serif"/>
              </w:rPr>
              <w:t xml:space="preserve"> clients. </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 xml:space="preserve">More prevention.  Mental Health Care providers are not proficient in prevention models of care. </w:t>
            </w:r>
            <w:r w:rsidRPr="002B4AE3">
              <w:rPr>
                <w:rFonts w:eastAsia="Times New Roman" w:cs="Microsoft Sans Serif"/>
              </w:rPr>
              <w:br/>
              <w:t>The field needs to stop discriminating against HIV- white gay males who want to help.</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More communication within service providers</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 xml:space="preserve">Consolidating Ryan White funded positions to create extra money to funnel into direct services. </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 xml:space="preserve">Better connection/networking of the different parts of the Ryan White Programs, HOPWA, Medicaid, Medicare and private insurance. </w:t>
            </w:r>
          </w:p>
        </w:tc>
      </w:tr>
      <w:tr w:rsidR="008A385E" w:rsidRPr="002B4AE3" w:rsidTr="008A385E">
        <w:trPr>
          <w:trHeight w:val="1020"/>
        </w:trPr>
        <w:tc>
          <w:tcPr>
            <w:tcW w:w="9390" w:type="dxa"/>
            <w:tcBorders>
              <w:top w:val="nil"/>
              <w:left w:val="nil"/>
              <w:bottom w:val="nil"/>
              <w:right w:val="nil"/>
            </w:tcBorders>
            <w:shd w:val="clear" w:color="auto" w:fill="auto"/>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I work with HIV/AIDS clients who are out of adherence. I do determine what they are in need of and where they can get the help they need. I would like to offer a support group and nutrition and health classes to the local clients.</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More awareness specifically of testing sites, service agencies, education and support.</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Place more service providers in minority areas</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Provide to clients that need it, a monthly buss pass</w:t>
            </w:r>
          </w:p>
        </w:tc>
      </w:tr>
      <w:tr w:rsidR="008A385E" w:rsidRPr="002B4AE3" w:rsidTr="008A385E">
        <w:trPr>
          <w:trHeight w:val="255"/>
        </w:trPr>
        <w:tc>
          <w:tcPr>
            <w:tcW w:w="9390" w:type="dxa"/>
            <w:tcBorders>
              <w:top w:val="nil"/>
              <w:left w:val="nil"/>
              <w:bottom w:val="nil"/>
              <w:right w:val="nil"/>
            </w:tcBorders>
            <w:shd w:val="clear" w:color="auto" w:fill="auto"/>
            <w:noWrap/>
            <w:vAlign w:val="bottom"/>
            <w:hideMark/>
          </w:tcPr>
          <w:p w:rsidR="008A385E" w:rsidRPr="002B4AE3" w:rsidRDefault="008A385E" w:rsidP="00E73293">
            <w:pPr>
              <w:pStyle w:val="ListParagraph"/>
              <w:numPr>
                <w:ilvl w:val="0"/>
                <w:numId w:val="49"/>
              </w:numPr>
              <w:spacing w:before="0" w:after="0" w:line="240" w:lineRule="auto"/>
              <w:rPr>
                <w:rFonts w:eastAsia="Times New Roman" w:cs="Microsoft Sans Serif"/>
              </w:rPr>
            </w:pPr>
            <w:r w:rsidRPr="002B4AE3">
              <w:rPr>
                <w:rFonts w:eastAsia="Times New Roman" w:cs="Microsoft Sans Serif"/>
              </w:rPr>
              <w:t>No ideas</w:t>
            </w:r>
          </w:p>
        </w:tc>
      </w:tr>
    </w:tbl>
    <w:p w:rsidR="008A385E" w:rsidRDefault="008A385E" w:rsidP="008A385E">
      <w:pPr>
        <w:rPr>
          <w:b/>
          <w:bCs/>
        </w:rPr>
      </w:pPr>
    </w:p>
    <w:tbl>
      <w:tblPr>
        <w:tblW w:w="7760" w:type="dxa"/>
        <w:tblInd w:w="93" w:type="dxa"/>
        <w:tblLook w:val="04A0" w:firstRow="1" w:lastRow="0" w:firstColumn="1" w:lastColumn="0" w:noHBand="0" w:noVBand="1"/>
      </w:tblPr>
      <w:tblGrid>
        <w:gridCol w:w="4880"/>
        <w:gridCol w:w="1440"/>
        <w:gridCol w:w="1440"/>
      </w:tblGrid>
      <w:tr w:rsidR="008A385E" w:rsidRPr="002B4AE3" w:rsidTr="008A385E">
        <w:trPr>
          <w:trHeight w:val="499"/>
        </w:trPr>
        <w:tc>
          <w:tcPr>
            <w:tcW w:w="7760" w:type="dxa"/>
            <w:gridSpan w:val="3"/>
            <w:tcBorders>
              <w:top w:val="nil"/>
              <w:left w:val="nil"/>
              <w:bottom w:val="nil"/>
              <w:right w:val="nil"/>
            </w:tcBorders>
            <w:shd w:val="clear" w:color="000000" w:fill="DDDDDD"/>
            <w:vAlign w:val="center"/>
            <w:hideMark/>
          </w:tcPr>
          <w:p w:rsidR="008A385E" w:rsidRPr="002B4AE3" w:rsidRDefault="008A385E" w:rsidP="008A385E">
            <w:pPr>
              <w:spacing w:before="0" w:after="0" w:line="240" w:lineRule="auto"/>
              <w:rPr>
                <w:rFonts w:eastAsia="Times New Roman" w:cs="Microsoft Sans Serif"/>
                <w:b/>
                <w:bCs/>
              </w:rPr>
            </w:pPr>
            <w:r w:rsidRPr="002B4AE3">
              <w:rPr>
                <w:rFonts w:eastAsia="Times New Roman" w:cs="Microsoft Sans Serif"/>
                <w:b/>
                <w:bCs/>
              </w:rPr>
              <w:t>Have your patients had any issues (such as with medications) related to the Affordable Care Act (ACA) since its implementation ?</w:t>
            </w:r>
          </w:p>
        </w:tc>
      </w:tr>
      <w:tr w:rsidR="008A385E" w:rsidRPr="002B4AE3" w:rsidTr="008A385E">
        <w:trPr>
          <w:trHeight w:val="600"/>
        </w:trPr>
        <w:tc>
          <w:tcPr>
            <w:tcW w:w="4880" w:type="dxa"/>
            <w:tcBorders>
              <w:top w:val="nil"/>
              <w:left w:val="nil"/>
              <w:bottom w:val="nil"/>
              <w:right w:val="nil"/>
            </w:tcBorders>
            <w:shd w:val="clear" w:color="000000" w:fill="DEE9F7"/>
            <w:vAlign w:val="center"/>
            <w:hideMark/>
          </w:tcPr>
          <w:p w:rsidR="008A385E" w:rsidRPr="002B4AE3" w:rsidRDefault="008A385E" w:rsidP="008A385E">
            <w:pPr>
              <w:spacing w:before="0" w:after="0" w:line="240" w:lineRule="auto"/>
              <w:rPr>
                <w:rFonts w:eastAsia="Times New Roman" w:cs="Microsoft Sans Serif"/>
                <w:b/>
                <w:bCs/>
                <w:color w:val="000000"/>
              </w:rPr>
            </w:pPr>
            <w:r w:rsidRPr="002B4AE3">
              <w:rPr>
                <w:rFonts w:eastAsia="Times New Roman" w:cs="Microsoft Sans Serif"/>
                <w:b/>
                <w:bCs/>
                <w:color w:val="000000"/>
              </w:rPr>
              <w:t>Answer Options</w:t>
            </w:r>
          </w:p>
        </w:tc>
        <w:tc>
          <w:tcPr>
            <w:tcW w:w="1440" w:type="dxa"/>
            <w:tcBorders>
              <w:top w:val="nil"/>
              <w:left w:val="nil"/>
              <w:bottom w:val="nil"/>
              <w:right w:val="nil"/>
            </w:tcBorders>
            <w:shd w:val="clear" w:color="000000" w:fill="CDD8E6"/>
            <w:vAlign w:val="center"/>
            <w:hideMark/>
          </w:tcPr>
          <w:p w:rsidR="008A385E" w:rsidRPr="002B4AE3" w:rsidRDefault="008A385E" w:rsidP="008A385E">
            <w:pPr>
              <w:spacing w:before="0" w:after="0" w:line="240" w:lineRule="auto"/>
              <w:jc w:val="center"/>
              <w:rPr>
                <w:rFonts w:eastAsia="Times New Roman" w:cs="Microsoft Sans Serif"/>
                <w:b/>
                <w:bCs/>
                <w:color w:val="000000"/>
              </w:rPr>
            </w:pPr>
            <w:r w:rsidRPr="002B4AE3">
              <w:rPr>
                <w:rFonts w:eastAsia="Times New Roman" w:cs="Microsoft Sans Serif"/>
                <w:b/>
                <w:bCs/>
                <w:color w:val="000000"/>
              </w:rPr>
              <w:t>Response Percent</w:t>
            </w:r>
          </w:p>
        </w:tc>
        <w:tc>
          <w:tcPr>
            <w:tcW w:w="1440" w:type="dxa"/>
            <w:tcBorders>
              <w:top w:val="nil"/>
              <w:left w:val="nil"/>
              <w:bottom w:val="nil"/>
              <w:right w:val="nil"/>
            </w:tcBorders>
            <w:shd w:val="clear" w:color="000000" w:fill="CDD8E6"/>
            <w:vAlign w:val="center"/>
            <w:hideMark/>
          </w:tcPr>
          <w:p w:rsidR="008A385E" w:rsidRPr="002B4AE3" w:rsidRDefault="008A385E" w:rsidP="008A385E">
            <w:pPr>
              <w:spacing w:before="0" w:after="0" w:line="240" w:lineRule="auto"/>
              <w:jc w:val="center"/>
              <w:rPr>
                <w:rFonts w:eastAsia="Times New Roman" w:cs="Microsoft Sans Serif"/>
                <w:b/>
                <w:bCs/>
                <w:color w:val="000000"/>
              </w:rPr>
            </w:pPr>
            <w:r w:rsidRPr="002B4AE3">
              <w:rPr>
                <w:rFonts w:eastAsia="Times New Roman" w:cs="Microsoft Sans Serif"/>
                <w:b/>
                <w:bCs/>
                <w:color w:val="000000"/>
              </w:rPr>
              <w:t>Response Count</w:t>
            </w:r>
          </w:p>
        </w:tc>
      </w:tr>
      <w:tr w:rsidR="008A385E" w:rsidRPr="002B4AE3" w:rsidTr="008A385E">
        <w:trPr>
          <w:trHeight w:val="255"/>
        </w:trPr>
        <w:tc>
          <w:tcPr>
            <w:tcW w:w="4880" w:type="dxa"/>
            <w:tcBorders>
              <w:top w:val="nil"/>
              <w:left w:val="nil"/>
              <w:bottom w:val="nil"/>
              <w:right w:val="nil"/>
            </w:tcBorders>
            <w:shd w:val="clear" w:color="000000" w:fill="EEEEEE"/>
            <w:vAlign w:val="bottom"/>
            <w:hideMark/>
          </w:tcPr>
          <w:p w:rsidR="008A385E" w:rsidRPr="002B4AE3" w:rsidRDefault="008A385E" w:rsidP="008A385E">
            <w:pPr>
              <w:spacing w:before="0" w:after="0" w:line="240" w:lineRule="auto"/>
              <w:rPr>
                <w:rFonts w:eastAsia="Times New Roman" w:cs="Microsoft Sans Serif"/>
              </w:rPr>
            </w:pPr>
            <w:r w:rsidRPr="002B4AE3">
              <w:rPr>
                <w:rFonts w:eastAsia="Times New Roman" w:cs="Microsoft Sans Serif"/>
              </w:rPr>
              <w:t>No</w:t>
            </w:r>
          </w:p>
        </w:tc>
        <w:tc>
          <w:tcPr>
            <w:tcW w:w="1440" w:type="dxa"/>
            <w:tcBorders>
              <w:top w:val="nil"/>
              <w:left w:val="nil"/>
              <w:bottom w:val="nil"/>
              <w:right w:val="nil"/>
            </w:tcBorders>
            <w:shd w:val="clear" w:color="000000" w:fill="DEE9F7"/>
            <w:noWrap/>
            <w:vAlign w:val="center"/>
            <w:hideMark/>
          </w:tcPr>
          <w:p w:rsidR="008A385E" w:rsidRPr="002B4AE3" w:rsidRDefault="008A385E" w:rsidP="008A385E">
            <w:pPr>
              <w:spacing w:before="0" w:after="0" w:line="240" w:lineRule="auto"/>
              <w:jc w:val="center"/>
              <w:rPr>
                <w:rFonts w:eastAsia="Times New Roman" w:cs="Microsoft Sans Serif"/>
              </w:rPr>
            </w:pPr>
            <w:r w:rsidRPr="002B4AE3">
              <w:rPr>
                <w:rFonts w:eastAsia="Times New Roman" w:cs="Microsoft Sans Serif"/>
              </w:rPr>
              <w:t>29.4%</w:t>
            </w:r>
          </w:p>
        </w:tc>
        <w:tc>
          <w:tcPr>
            <w:tcW w:w="1440" w:type="dxa"/>
            <w:tcBorders>
              <w:top w:val="nil"/>
              <w:left w:val="nil"/>
              <w:bottom w:val="nil"/>
              <w:right w:val="nil"/>
            </w:tcBorders>
            <w:shd w:val="clear" w:color="000000" w:fill="DEE9F7"/>
            <w:noWrap/>
            <w:vAlign w:val="center"/>
            <w:hideMark/>
          </w:tcPr>
          <w:p w:rsidR="008A385E" w:rsidRPr="002B4AE3" w:rsidRDefault="008A385E" w:rsidP="008A385E">
            <w:pPr>
              <w:spacing w:before="0" w:after="0" w:line="240" w:lineRule="auto"/>
              <w:jc w:val="center"/>
              <w:rPr>
                <w:rFonts w:eastAsia="Times New Roman" w:cs="Microsoft Sans Serif"/>
              </w:rPr>
            </w:pPr>
            <w:r w:rsidRPr="002B4AE3">
              <w:rPr>
                <w:rFonts w:eastAsia="Times New Roman" w:cs="Microsoft Sans Serif"/>
              </w:rPr>
              <w:t>5</w:t>
            </w:r>
          </w:p>
        </w:tc>
      </w:tr>
      <w:tr w:rsidR="008A385E" w:rsidRPr="002B4AE3" w:rsidTr="008A385E">
        <w:trPr>
          <w:trHeight w:val="255"/>
        </w:trPr>
        <w:tc>
          <w:tcPr>
            <w:tcW w:w="4880" w:type="dxa"/>
            <w:tcBorders>
              <w:top w:val="nil"/>
              <w:left w:val="nil"/>
              <w:bottom w:val="nil"/>
              <w:right w:val="nil"/>
            </w:tcBorders>
            <w:shd w:val="clear" w:color="000000" w:fill="EEEEEE"/>
            <w:vAlign w:val="bottom"/>
            <w:hideMark/>
          </w:tcPr>
          <w:p w:rsidR="008A385E" w:rsidRPr="002B4AE3" w:rsidRDefault="008A385E" w:rsidP="008A385E">
            <w:pPr>
              <w:spacing w:before="0" w:after="0" w:line="240" w:lineRule="auto"/>
              <w:rPr>
                <w:rFonts w:eastAsia="Times New Roman" w:cs="Microsoft Sans Serif"/>
              </w:rPr>
            </w:pPr>
            <w:r w:rsidRPr="002B4AE3">
              <w:rPr>
                <w:rFonts w:eastAsia="Times New Roman" w:cs="Microsoft Sans Serif"/>
              </w:rPr>
              <w:t>Yes</w:t>
            </w:r>
          </w:p>
        </w:tc>
        <w:tc>
          <w:tcPr>
            <w:tcW w:w="1440" w:type="dxa"/>
            <w:tcBorders>
              <w:top w:val="nil"/>
              <w:left w:val="nil"/>
              <w:bottom w:val="nil"/>
              <w:right w:val="nil"/>
            </w:tcBorders>
            <w:shd w:val="clear" w:color="000000" w:fill="DEE9F7"/>
            <w:noWrap/>
            <w:vAlign w:val="center"/>
            <w:hideMark/>
          </w:tcPr>
          <w:p w:rsidR="008A385E" w:rsidRPr="002B4AE3" w:rsidRDefault="008A385E" w:rsidP="008A385E">
            <w:pPr>
              <w:spacing w:before="0" w:after="0" w:line="240" w:lineRule="auto"/>
              <w:jc w:val="center"/>
              <w:rPr>
                <w:rFonts w:eastAsia="Times New Roman" w:cs="Microsoft Sans Serif"/>
              </w:rPr>
            </w:pPr>
            <w:r w:rsidRPr="002B4AE3">
              <w:rPr>
                <w:rFonts w:eastAsia="Times New Roman" w:cs="Microsoft Sans Serif"/>
              </w:rPr>
              <w:t>52.9%</w:t>
            </w:r>
          </w:p>
        </w:tc>
        <w:tc>
          <w:tcPr>
            <w:tcW w:w="1440" w:type="dxa"/>
            <w:tcBorders>
              <w:top w:val="nil"/>
              <w:left w:val="nil"/>
              <w:bottom w:val="nil"/>
              <w:right w:val="nil"/>
            </w:tcBorders>
            <w:shd w:val="clear" w:color="000000" w:fill="DEE9F7"/>
            <w:noWrap/>
            <w:vAlign w:val="center"/>
            <w:hideMark/>
          </w:tcPr>
          <w:p w:rsidR="008A385E" w:rsidRPr="002B4AE3" w:rsidRDefault="008A385E" w:rsidP="008A385E">
            <w:pPr>
              <w:spacing w:before="0" w:after="0" w:line="240" w:lineRule="auto"/>
              <w:jc w:val="center"/>
              <w:rPr>
                <w:rFonts w:eastAsia="Times New Roman" w:cs="Microsoft Sans Serif"/>
              </w:rPr>
            </w:pPr>
            <w:r w:rsidRPr="002B4AE3">
              <w:rPr>
                <w:rFonts w:eastAsia="Times New Roman" w:cs="Microsoft Sans Serif"/>
              </w:rPr>
              <w:t>9</w:t>
            </w:r>
          </w:p>
        </w:tc>
      </w:tr>
      <w:tr w:rsidR="008A385E" w:rsidRPr="002B4AE3" w:rsidTr="008A385E">
        <w:trPr>
          <w:trHeight w:val="255"/>
        </w:trPr>
        <w:tc>
          <w:tcPr>
            <w:tcW w:w="4880" w:type="dxa"/>
            <w:tcBorders>
              <w:top w:val="nil"/>
              <w:left w:val="nil"/>
              <w:bottom w:val="nil"/>
              <w:right w:val="nil"/>
            </w:tcBorders>
            <w:shd w:val="clear" w:color="000000" w:fill="EEEEEE"/>
            <w:vAlign w:val="bottom"/>
            <w:hideMark/>
          </w:tcPr>
          <w:p w:rsidR="008A385E" w:rsidRPr="002B4AE3" w:rsidRDefault="008A385E" w:rsidP="008A385E">
            <w:pPr>
              <w:spacing w:before="0" w:after="0" w:line="240" w:lineRule="auto"/>
              <w:rPr>
                <w:rFonts w:eastAsia="Times New Roman" w:cs="Microsoft Sans Serif"/>
              </w:rPr>
            </w:pPr>
            <w:r w:rsidRPr="002B4AE3">
              <w:rPr>
                <w:rFonts w:eastAsia="Times New Roman" w:cs="Microsoft Sans Serif"/>
              </w:rPr>
              <w:t>Does not apply</w:t>
            </w:r>
          </w:p>
        </w:tc>
        <w:tc>
          <w:tcPr>
            <w:tcW w:w="1440" w:type="dxa"/>
            <w:tcBorders>
              <w:top w:val="nil"/>
              <w:left w:val="nil"/>
              <w:bottom w:val="nil"/>
              <w:right w:val="nil"/>
            </w:tcBorders>
            <w:shd w:val="clear" w:color="000000" w:fill="DEE9F7"/>
            <w:noWrap/>
            <w:vAlign w:val="center"/>
            <w:hideMark/>
          </w:tcPr>
          <w:p w:rsidR="008A385E" w:rsidRPr="002B4AE3" w:rsidRDefault="008A385E" w:rsidP="008A385E">
            <w:pPr>
              <w:spacing w:before="0" w:after="0" w:line="240" w:lineRule="auto"/>
              <w:jc w:val="center"/>
              <w:rPr>
                <w:rFonts w:eastAsia="Times New Roman" w:cs="Microsoft Sans Serif"/>
              </w:rPr>
            </w:pPr>
            <w:r w:rsidRPr="002B4AE3">
              <w:rPr>
                <w:rFonts w:eastAsia="Times New Roman" w:cs="Microsoft Sans Serif"/>
              </w:rPr>
              <w:t>17.6%</w:t>
            </w:r>
          </w:p>
        </w:tc>
        <w:tc>
          <w:tcPr>
            <w:tcW w:w="1440" w:type="dxa"/>
            <w:tcBorders>
              <w:top w:val="nil"/>
              <w:left w:val="nil"/>
              <w:bottom w:val="nil"/>
              <w:right w:val="nil"/>
            </w:tcBorders>
            <w:shd w:val="clear" w:color="000000" w:fill="DEE9F7"/>
            <w:noWrap/>
            <w:vAlign w:val="center"/>
            <w:hideMark/>
          </w:tcPr>
          <w:p w:rsidR="008A385E" w:rsidRPr="002B4AE3" w:rsidRDefault="008A385E" w:rsidP="008A385E">
            <w:pPr>
              <w:spacing w:before="0" w:after="0" w:line="240" w:lineRule="auto"/>
              <w:jc w:val="center"/>
              <w:rPr>
                <w:rFonts w:eastAsia="Times New Roman" w:cs="Microsoft Sans Serif"/>
              </w:rPr>
            </w:pPr>
            <w:r w:rsidRPr="002B4AE3">
              <w:rPr>
                <w:rFonts w:eastAsia="Times New Roman" w:cs="Microsoft Sans Serif"/>
              </w:rPr>
              <w:t>3</w:t>
            </w:r>
          </w:p>
        </w:tc>
      </w:tr>
      <w:tr w:rsidR="008A385E" w:rsidRPr="002B4AE3" w:rsidTr="008A385E">
        <w:trPr>
          <w:trHeight w:val="255"/>
        </w:trPr>
        <w:tc>
          <w:tcPr>
            <w:tcW w:w="6320" w:type="dxa"/>
            <w:gridSpan w:val="2"/>
            <w:tcBorders>
              <w:top w:val="nil"/>
              <w:left w:val="nil"/>
              <w:bottom w:val="nil"/>
              <w:right w:val="nil"/>
            </w:tcBorders>
            <w:shd w:val="clear" w:color="000000" w:fill="CDD8E6"/>
            <w:noWrap/>
            <w:vAlign w:val="bottom"/>
            <w:hideMark/>
          </w:tcPr>
          <w:p w:rsidR="008A385E" w:rsidRPr="002B4AE3" w:rsidRDefault="008A385E" w:rsidP="008A385E">
            <w:pPr>
              <w:spacing w:before="0" w:after="0" w:line="240" w:lineRule="auto"/>
              <w:jc w:val="right"/>
              <w:rPr>
                <w:rFonts w:eastAsia="Times New Roman" w:cs="Microsoft Sans Serif"/>
                <w:b/>
                <w:bCs/>
                <w:i/>
                <w:iCs/>
                <w:color w:val="000000"/>
              </w:rPr>
            </w:pPr>
            <w:r w:rsidRPr="002B4AE3">
              <w:rPr>
                <w:rFonts w:eastAsia="Times New Roman" w:cs="Microsoft Sans Serif"/>
                <w:b/>
                <w:bCs/>
                <w:i/>
                <w:iCs/>
                <w:color w:val="000000"/>
              </w:rPr>
              <w:t>answered question</w:t>
            </w:r>
          </w:p>
        </w:tc>
        <w:tc>
          <w:tcPr>
            <w:tcW w:w="1440" w:type="dxa"/>
            <w:tcBorders>
              <w:top w:val="nil"/>
              <w:left w:val="nil"/>
              <w:bottom w:val="nil"/>
              <w:right w:val="nil"/>
            </w:tcBorders>
            <w:shd w:val="clear" w:color="000000" w:fill="CDD8E6"/>
            <w:noWrap/>
            <w:vAlign w:val="bottom"/>
            <w:hideMark/>
          </w:tcPr>
          <w:p w:rsidR="008A385E" w:rsidRPr="002B4AE3" w:rsidRDefault="008A385E" w:rsidP="008A385E">
            <w:pPr>
              <w:spacing w:before="0" w:after="0" w:line="240" w:lineRule="auto"/>
              <w:jc w:val="right"/>
              <w:rPr>
                <w:rFonts w:eastAsia="Times New Roman" w:cs="Microsoft Sans Serif"/>
                <w:b/>
                <w:bCs/>
                <w:color w:val="000000"/>
              </w:rPr>
            </w:pPr>
            <w:r w:rsidRPr="002B4AE3">
              <w:rPr>
                <w:rFonts w:eastAsia="Times New Roman" w:cs="Microsoft Sans Serif"/>
                <w:b/>
                <w:bCs/>
                <w:color w:val="000000"/>
              </w:rPr>
              <w:t>17</w:t>
            </w:r>
          </w:p>
        </w:tc>
      </w:tr>
      <w:tr w:rsidR="008A385E" w:rsidRPr="002B4AE3" w:rsidTr="008A385E">
        <w:trPr>
          <w:trHeight w:val="255"/>
        </w:trPr>
        <w:tc>
          <w:tcPr>
            <w:tcW w:w="6320" w:type="dxa"/>
            <w:gridSpan w:val="2"/>
            <w:tcBorders>
              <w:top w:val="nil"/>
              <w:left w:val="nil"/>
              <w:bottom w:val="nil"/>
              <w:right w:val="nil"/>
            </w:tcBorders>
            <w:shd w:val="clear" w:color="000000" w:fill="DDDDDD"/>
            <w:noWrap/>
            <w:vAlign w:val="bottom"/>
            <w:hideMark/>
          </w:tcPr>
          <w:p w:rsidR="008A385E" w:rsidRPr="002B4AE3" w:rsidRDefault="008A385E" w:rsidP="008A385E">
            <w:pPr>
              <w:spacing w:before="0" w:after="0" w:line="240" w:lineRule="auto"/>
              <w:jc w:val="right"/>
              <w:rPr>
                <w:rFonts w:eastAsia="Times New Roman" w:cs="Microsoft Sans Serif"/>
                <w:b/>
                <w:bCs/>
                <w:i/>
                <w:iCs/>
                <w:color w:val="000000"/>
              </w:rPr>
            </w:pPr>
            <w:r w:rsidRPr="002B4AE3">
              <w:rPr>
                <w:rFonts w:eastAsia="Times New Roman" w:cs="Microsoft Sans Serif"/>
                <w:b/>
                <w:bCs/>
                <w:i/>
                <w:iCs/>
                <w:color w:val="000000"/>
              </w:rPr>
              <w:t>skipped question</w:t>
            </w:r>
          </w:p>
        </w:tc>
        <w:tc>
          <w:tcPr>
            <w:tcW w:w="1440" w:type="dxa"/>
            <w:tcBorders>
              <w:top w:val="nil"/>
              <w:left w:val="nil"/>
              <w:bottom w:val="nil"/>
              <w:right w:val="nil"/>
            </w:tcBorders>
            <w:shd w:val="clear" w:color="000000" w:fill="DDDDDD"/>
            <w:noWrap/>
            <w:vAlign w:val="bottom"/>
            <w:hideMark/>
          </w:tcPr>
          <w:p w:rsidR="008A385E" w:rsidRPr="002B4AE3" w:rsidRDefault="008A385E" w:rsidP="008A385E">
            <w:pPr>
              <w:spacing w:before="0" w:after="0" w:line="240" w:lineRule="auto"/>
              <w:jc w:val="right"/>
              <w:rPr>
                <w:rFonts w:eastAsia="Times New Roman" w:cs="Microsoft Sans Serif"/>
                <w:b/>
                <w:bCs/>
                <w:color w:val="000000"/>
              </w:rPr>
            </w:pPr>
            <w:r w:rsidRPr="002B4AE3">
              <w:rPr>
                <w:rFonts w:eastAsia="Times New Roman" w:cs="Microsoft Sans Serif"/>
                <w:b/>
                <w:bCs/>
                <w:color w:val="000000"/>
              </w:rPr>
              <w:t>8</w:t>
            </w:r>
          </w:p>
        </w:tc>
      </w:tr>
    </w:tbl>
    <w:p w:rsidR="008A385E" w:rsidRDefault="008A385E" w:rsidP="008A385E">
      <w:pPr>
        <w:rPr>
          <w:b/>
          <w:bCs/>
        </w:rPr>
      </w:pPr>
      <w:r>
        <w:rPr>
          <w:b/>
          <w:bCs/>
        </w:rPr>
        <w:br w:type="page"/>
      </w:r>
    </w:p>
    <w:p w:rsidR="008A385E" w:rsidRDefault="008A385E" w:rsidP="008A385E">
      <w:pPr>
        <w:rPr>
          <w:b/>
          <w:bCs/>
        </w:rPr>
      </w:pPr>
      <w:r w:rsidRPr="002B4AE3">
        <w:rPr>
          <w:b/>
          <w:bCs/>
        </w:rPr>
        <w:lastRenderedPageBreak/>
        <w:t>Please describe any issues your patients have experienced related to the Affordable Care Act (ACA).</w:t>
      </w:r>
    </w:p>
    <w:tbl>
      <w:tblPr>
        <w:tblW w:w="9390" w:type="dxa"/>
        <w:tblInd w:w="93" w:type="dxa"/>
        <w:tblLook w:val="04A0" w:firstRow="1" w:lastRow="0" w:firstColumn="1" w:lastColumn="0" w:noHBand="0" w:noVBand="1"/>
      </w:tblPr>
      <w:tblGrid>
        <w:gridCol w:w="9390"/>
      </w:tblGrid>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 xml:space="preserve">Backlog for Medicaid and if Medicaid administrator changes, clients find themselves in strange gap of coverage until change is in place. </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Newer medications prescribed are frequently denied, have to go through prior authorization, which can delay the medication being received by the client which can result in missed doses.</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Getting "kicked off" Medicaid, only to find it is a computer glitch.  The process for clearing that up is stressful.</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Price of purchasing insurance has increased, co-pays, an specialty services have increased, services now have more limits than with just having Ryan White as a funding source</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 xml:space="preserve">Insurance companies are requiring patients change their medication regimen in order to pay for the meds, or there are long prior authorization processes., </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 xml:space="preserve">Medications often need pre authorization or approval that often keep clients from starting or staying adherent to medications </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 xml:space="preserve">Difficulty navigating through the process, many organizations and service providers might not accept the insurance type, or service providers not being on insurance panels. </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 xml:space="preserve">Clients did not know how to go online and pick a plan. Others picked a plan that did not provide the formularies, and some could not afford the plans. Many people did not think they could keep their Ryan White coverage as a wrap around in case something happened to their Medicaid or if they lost their benefits. While others did have a job, did not qualify for Medicaid, and they lost their jobs putting them in crisis, or they got a job and lost their Medicaid benefits and would no qualify for insurance with their company until they were in their jobs 90 days. </w:t>
            </w:r>
          </w:p>
        </w:tc>
      </w:tr>
      <w:tr w:rsidR="008A385E" w:rsidRPr="0037430E" w:rsidTr="008A385E">
        <w:trPr>
          <w:trHeight w:val="255"/>
        </w:trPr>
        <w:tc>
          <w:tcPr>
            <w:tcW w:w="9390" w:type="dxa"/>
            <w:tcBorders>
              <w:top w:val="nil"/>
              <w:left w:val="nil"/>
              <w:bottom w:val="nil"/>
              <w:right w:val="nil"/>
            </w:tcBorders>
            <w:shd w:val="clear" w:color="auto" w:fill="auto"/>
            <w:noWrap/>
            <w:vAlign w:val="bottom"/>
            <w:hideMark/>
          </w:tcPr>
          <w:p w:rsidR="008A385E" w:rsidRPr="0037430E" w:rsidRDefault="008A385E" w:rsidP="00E73293">
            <w:pPr>
              <w:pStyle w:val="ListParagraph"/>
              <w:numPr>
                <w:ilvl w:val="0"/>
                <w:numId w:val="50"/>
              </w:numPr>
              <w:spacing w:before="0" w:after="0" w:line="240" w:lineRule="auto"/>
              <w:rPr>
                <w:rFonts w:eastAsia="Times New Roman" w:cs="Microsoft Sans Serif"/>
              </w:rPr>
            </w:pPr>
            <w:r w:rsidRPr="0037430E">
              <w:rPr>
                <w:rFonts w:eastAsia="Times New Roman" w:cs="Microsoft Sans Serif"/>
              </w:rPr>
              <w:t xml:space="preserve">Primarily costs. They cannot afford the premiums and/or co-pays. </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Default="008A385E" w:rsidP="008A385E">
            <w:pPr>
              <w:rPr>
                <w:rFonts w:eastAsia="Times New Roman" w:cs="Microsoft Sans Serif"/>
                <w:b/>
              </w:rPr>
            </w:pPr>
            <w:r w:rsidRPr="00E814C6">
              <w:rPr>
                <w:rFonts w:eastAsia="Times New Roman" w:cs="Microsoft Sans Serif"/>
                <w:b/>
              </w:rPr>
              <w:t>How many people do you know who are HIV-positive and not using any HIV services?</w:t>
            </w:r>
          </w:p>
          <w:tbl>
            <w:tblPr>
              <w:tblW w:w="7647" w:type="dxa"/>
              <w:tblLook w:val="04A0" w:firstRow="1" w:lastRow="0" w:firstColumn="1" w:lastColumn="0" w:noHBand="0" w:noVBand="1"/>
            </w:tblPr>
            <w:tblGrid>
              <w:gridCol w:w="7647"/>
            </w:tblGrid>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4</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50%</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unknown number</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3</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my clients are all accessing service</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0</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Only a few. It is my job to get them into services and care.</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Difficult to know</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a large number</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few</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 xml:space="preserve">Many. I get calls regularly from people affected by friends who do not seek care. </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too many too mention</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0</w:t>
                  </w:r>
                </w:p>
              </w:tc>
            </w:tr>
            <w:tr w:rsidR="008A385E" w:rsidRPr="00E814C6" w:rsidTr="008A385E">
              <w:trPr>
                <w:trHeight w:val="255"/>
              </w:trPr>
              <w:tc>
                <w:tcPr>
                  <w:tcW w:w="7647"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1"/>
                    </w:numPr>
                    <w:spacing w:before="0" w:after="0" w:line="240" w:lineRule="auto"/>
                    <w:rPr>
                      <w:rFonts w:eastAsia="Times New Roman" w:cs="Microsoft Sans Serif"/>
                    </w:rPr>
                  </w:pPr>
                  <w:r w:rsidRPr="00E814C6">
                    <w:rPr>
                      <w:rFonts w:eastAsia="Times New Roman" w:cs="Microsoft Sans Serif"/>
                    </w:rPr>
                    <w:t>Can't say unknown</w:t>
                  </w:r>
                </w:p>
              </w:tc>
            </w:tr>
          </w:tbl>
          <w:p w:rsidR="008A385E" w:rsidRPr="00E814C6" w:rsidRDefault="008A385E" w:rsidP="008A385E">
            <w:pPr>
              <w:rPr>
                <w:rFonts w:eastAsia="Times New Roman" w:cs="Microsoft Sans Serif"/>
                <w:b/>
              </w:rPr>
            </w:pPr>
          </w:p>
        </w:tc>
      </w:tr>
    </w:tbl>
    <w:p w:rsidR="008A385E" w:rsidRDefault="008A385E" w:rsidP="008A385E">
      <w:pPr>
        <w:rPr>
          <w:b/>
          <w:bCs/>
        </w:rPr>
      </w:pPr>
      <w:r w:rsidRPr="00E814C6">
        <w:rPr>
          <w:b/>
          <w:bCs/>
        </w:rPr>
        <w:t>Why do you think they aren’t accessing any services?</w:t>
      </w:r>
    </w:p>
    <w:tbl>
      <w:tblPr>
        <w:tblW w:w="9390" w:type="dxa"/>
        <w:tblInd w:w="93" w:type="dxa"/>
        <w:tblLook w:val="04A0" w:firstRow="1" w:lastRow="0" w:firstColumn="1" w:lastColumn="0" w:noHBand="0" w:noVBand="1"/>
      </w:tblPr>
      <w:tblGrid>
        <w:gridCol w:w="9390"/>
      </w:tblGrid>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 xml:space="preserve">Transportation </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 xml:space="preserve">Our system is too complicated. </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They are insured and possibly don't know what the other services are.</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Stigma, lengthy and burdensome process (eligibility)</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They are homeless and dealing with addiction and/or mental health problems</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Pr>
                <w:rFonts w:eastAsia="Times New Roman" w:cs="Microsoft Sans Serif"/>
              </w:rPr>
              <w:t>N/A</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lastRenderedPageBreak/>
              <w:t>?</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 xml:space="preserve">Clients are tired of all the mountains of paperwork, they do not have the tools being knowledge or education to wade through the paths to get help. They are embarrassed and they are sick. They have to get help to even get a bus ticket then wait for a bus. One of the side effects is diarrhea and they are nauseous. </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 xml:space="preserve">Previous negative experiences with different service providers </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Barriers to services either psychosocial barriers or lack of food, shelter, and/or transportation often take precedent over staying in care or seeking out services</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 xml:space="preserve">Because although services are available, they are all too often not connected and the funding programs or insurance companies make it too complicated for individuals to understand. </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 xml:space="preserve">Fear.  Scare of the unknown. Afraid of being stigmatized and unfairly judged. </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Apathy, lack of information about resources (HIV/AIDS Resource Guide out of date),  Clients having to go to more than one organization for Ryan White assistance, no transportation, no assistance with obtaining paperwork needed to qualify</w:t>
            </w:r>
            <w:r>
              <w:rPr>
                <w:rFonts w:eastAsia="Times New Roman" w:cs="Microsoft Sans Serif"/>
              </w:rPr>
              <w:t>, e</w:t>
            </w:r>
            <w:r w:rsidRPr="00E814C6">
              <w:rPr>
                <w:rFonts w:eastAsia="Times New Roman" w:cs="Microsoft Sans Serif"/>
              </w:rPr>
              <w:t>tc.</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N/</w:t>
            </w:r>
            <w:r>
              <w:rPr>
                <w:rFonts w:eastAsia="Times New Roman" w:cs="Microsoft Sans Serif"/>
              </w:rPr>
              <w:t>A</w:t>
            </w:r>
          </w:p>
        </w:tc>
      </w:tr>
      <w:tr w:rsidR="008A385E" w:rsidRPr="00E814C6" w:rsidTr="008A385E">
        <w:trPr>
          <w:trHeight w:val="255"/>
        </w:trPr>
        <w:tc>
          <w:tcPr>
            <w:tcW w:w="9390" w:type="dxa"/>
            <w:tcBorders>
              <w:top w:val="nil"/>
              <w:left w:val="nil"/>
              <w:bottom w:val="nil"/>
              <w:right w:val="nil"/>
            </w:tcBorders>
            <w:shd w:val="clear" w:color="auto" w:fill="auto"/>
            <w:noWrap/>
            <w:vAlign w:val="bottom"/>
            <w:hideMark/>
          </w:tcPr>
          <w:p w:rsidR="008A385E" w:rsidRPr="00E814C6" w:rsidRDefault="008A385E" w:rsidP="00E73293">
            <w:pPr>
              <w:pStyle w:val="ListParagraph"/>
              <w:numPr>
                <w:ilvl w:val="0"/>
                <w:numId w:val="52"/>
              </w:numPr>
              <w:spacing w:before="0" w:after="0" w:line="240" w:lineRule="auto"/>
              <w:rPr>
                <w:rFonts w:eastAsia="Times New Roman" w:cs="Microsoft Sans Serif"/>
              </w:rPr>
            </w:pPr>
            <w:r w:rsidRPr="00E814C6">
              <w:rPr>
                <w:rFonts w:eastAsia="Times New Roman" w:cs="Microsoft Sans Serif"/>
              </w:rPr>
              <w:t>Fear, denial and lack of knowledge</w:t>
            </w:r>
          </w:p>
        </w:tc>
      </w:tr>
    </w:tbl>
    <w:p w:rsidR="008A385E" w:rsidRDefault="008A385E" w:rsidP="008A385E">
      <w:pPr>
        <w:rPr>
          <w:b/>
          <w:bCs/>
        </w:rPr>
      </w:pPr>
      <w:r w:rsidRPr="002514B1">
        <w:rPr>
          <w:b/>
          <w:bCs/>
        </w:rPr>
        <w:t>What are the top HIV prevention services people at high risk for HIV need but are not able to get?</w:t>
      </w:r>
    </w:p>
    <w:tbl>
      <w:tblPr>
        <w:tblW w:w="9390" w:type="dxa"/>
        <w:tblInd w:w="93" w:type="dxa"/>
        <w:tblLook w:val="04A0" w:firstRow="1" w:lastRow="0" w:firstColumn="1" w:lastColumn="0" w:noHBand="0" w:noVBand="1"/>
      </w:tblPr>
      <w:tblGrid>
        <w:gridCol w:w="9390"/>
      </w:tblGrid>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Transportation, vision services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Medication and mental health/substance abuse</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Connecting to all services</w:t>
            </w:r>
            <w:r w:rsidRPr="002514B1">
              <w:rPr>
                <w:rFonts w:eastAsia="Times New Roman" w:cs="Microsoft Sans Serif"/>
              </w:rPr>
              <w:br/>
              <w:t>Case management</w:t>
            </w:r>
            <w:r w:rsidRPr="002514B1">
              <w:rPr>
                <w:rFonts w:eastAsia="Times New Roman" w:cs="Microsoft Sans Serif"/>
              </w:rPr>
              <w:br/>
              <w:t>Mental health services</w:t>
            </w:r>
            <w:r w:rsidRPr="002514B1">
              <w:rPr>
                <w:rFonts w:eastAsia="Times New Roman" w:cs="Microsoft Sans Serif"/>
              </w:rPr>
              <w:br/>
              <w:t>Substance Abuse services</w:t>
            </w:r>
            <w:r w:rsidRPr="002514B1">
              <w:rPr>
                <w:rFonts w:eastAsia="Times New Roman" w:cs="Microsoft Sans Serif"/>
              </w:rPr>
              <w:br/>
              <w:t>Housing</w:t>
            </w:r>
            <w:r w:rsidRPr="002514B1">
              <w:rPr>
                <w:rFonts w:eastAsia="Times New Roman" w:cs="Microsoft Sans Serif"/>
              </w:rPr>
              <w:br/>
              <w:t>Support groups in different places</w:t>
            </w:r>
            <w:r w:rsidRPr="002514B1">
              <w:rPr>
                <w:rFonts w:eastAsia="Times New Roman" w:cs="Microsoft Sans Serif"/>
              </w:rPr>
              <w:br/>
              <w:t>transportation/bus passes/rides</w:t>
            </w:r>
            <w:r w:rsidRPr="002514B1">
              <w:rPr>
                <w:rFonts w:eastAsia="Times New Roman" w:cs="Microsoft Sans Serif"/>
              </w:rPr>
              <w:br/>
              <w:t>providers that speak other languages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PREP - some insurances won't approve.</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PrEP</w:t>
            </w:r>
            <w:r w:rsidRPr="002514B1">
              <w:rPr>
                <w:rFonts w:eastAsia="Times New Roman" w:cs="Microsoft Sans Serif"/>
              </w:rPr>
              <w:br/>
              <w:t>Routine testing/sexual risk assessment by primary care providers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Education and care coordination</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 xml:space="preserve">Education and harm reduction skills. </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Information.  People typically find HIV prevention services, not the other way around.</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Targeted HIV Prevention Programs that match the attitude of the city which is "what happens in Vegas, stays in Vegas.  No comprehensive effort to match that tone of the city has been executed</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Accurate and appropriate information regarding HIV prevention and testing. Many educational programs for HIV are based on grants with specific target populations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 xml:space="preserve">Education, counseling, medications and med management. </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 xml:space="preserve">Education. We need more outreach </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Access to free or low cost testing</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 xml:space="preserve">Testing. </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Dental assistance, mental/behavioral health assistance</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3"/>
              </w:numPr>
              <w:spacing w:before="0" w:after="0" w:line="240" w:lineRule="auto"/>
              <w:rPr>
                <w:rFonts w:eastAsia="Times New Roman" w:cs="Microsoft Sans Serif"/>
              </w:rPr>
            </w:pPr>
            <w:r w:rsidRPr="002514B1">
              <w:rPr>
                <w:rFonts w:eastAsia="Times New Roman" w:cs="Microsoft Sans Serif"/>
              </w:rPr>
              <w:t>Ongoing mental health counseling</w:t>
            </w:r>
          </w:p>
        </w:tc>
      </w:tr>
    </w:tbl>
    <w:p w:rsidR="008A385E" w:rsidRDefault="008A385E" w:rsidP="008A385E">
      <w:pPr>
        <w:rPr>
          <w:b/>
          <w:bCs/>
        </w:rPr>
      </w:pPr>
    </w:p>
    <w:p w:rsidR="008A385E" w:rsidRDefault="008A385E" w:rsidP="008A385E">
      <w:pPr>
        <w:rPr>
          <w:b/>
          <w:bCs/>
        </w:rPr>
      </w:pPr>
    </w:p>
    <w:p w:rsidR="008A385E" w:rsidRDefault="008A385E" w:rsidP="008A385E">
      <w:pPr>
        <w:spacing w:before="0" w:after="0"/>
        <w:rPr>
          <w:b/>
        </w:rPr>
      </w:pPr>
      <w:r w:rsidRPr="002514B1">
        <w:rPr>
          <w:b/>
        </w:rPr>
        <w:lastRenderedPageBreak/>
        <w:t>What are the top barriers to people getting the HIV prevention services they need?</w:t>
      </w:r>
    </w:p>
    <w:tbl>
      <w:tblPr>
        <w:tblW w:w="9390" w:type="dxa"/>
        <w:tblInd w:w="93" w:type="dxa"/>
        <w:tblLook w:val="04A0" w:firstRow="1" w:lastRow="0" w:firstColumn="1" w:lastColumn="0" w:noHBand="0" w:noVBand="1"/>
      </w:tblPr>
      <w:tblGrid>
        <w:gridCol w:w="9390"/>
      </w:tblGrid>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Transportation</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Unaddressed mental health issues and social barriers (housing, food, etc)</w:t>
            </w:r>
          </w:p>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All of the above</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Insurance.</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Time needed to access services (they put it off until emergent or convenient)</w:t>
            </w:r>
            <w:r w:rsidRPr="002514B1">
              <w:rPr>
                <w:rFonts w:eastAsia="Times New Roman" w:cs="Microsoft Sans Serif"/>
              </w:rPr>
              <w:br/>
              <w:t>Process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Lack of mental health services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Not knowing about the resources</w:t>
            </w:r>
            <w:r w:rsidRPr="002514B1">
              <w:rPr>
                <w:rFonts w:eastAsia="Times New Roman" w:cs="Microsoft Sans Serif"/>
              </w:rPr>
              <w:br/>
              <w:t>Not getting help accessing resources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Mental health and substance abuse issues</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Non-stigmatized points of service.   i.e. not the health department, gay and lesbian center, etc.</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Information not available in their language or culturally appropriate</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 xml:space="preserve">Psychosocial barriers, especially HIV related stigma and, again, lack of basic needs being met (shelter, food, and transportation) </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 xml:space="preserve">Complicated system that creates barriers to treatment </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 xml:space="preserve">There's no monies to perform all of the outreach services we'd like </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Lack of knowledge around resources/services for education, testing and treatment</w:t>
            </w:r>
            <w:r w:rsidRPr="002514B1">
              <w:rPr>
                <w:rFonts w:eastAsia="Times New Roman" w:cs="Microsoft Sans Serif"/>
              </w:rPr>
              <w:br/>
              <w:t>Stigma of HIV in certain high risk minority groups i.e African American MSM</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Previously testing was only offered by the Health Department or private doctors. Many clients did not use private doctors out of fear of being stigmatized and family finding out. Nor do they want to go to SNHD because of the misconception that the health department is only interested in gay people.</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No transportation, having to go to more than one organization for Ryan White Assistance, no assistance with obtaining paperwork needed for eligibility</w:t>
            </w:r>
          </w:p>
        </w:tc>
      </w:tr>
      <w:tr w:rsidR="008A385E" w:rsidRPr="002514B1" w:rsidTr="008A385E">
        <w:trPr>
          <w:trHeight w:val="255"/>
        </w:trPr>
        <w:tc>
          <w:tcPr>
            <w:tcW w:w="9390" w:type="dxa"/>
            <w:tcBorders>
              <w:top w:val="nil"/>
              <w:left w:val="nil"/>
              <w:bottom w:val="nil"/>
              <w:right w:val="nil"/>
            </w:tcBorders>
            <w:shd w:val="clear" w:color="auto" w:fill="auto"/>
            <w:noWrap/>
            <w:vAlign w:val="bottom"/>
            <w:hideMark/>
          </w:tcPr>
          <w:p w:rsidR="008A385E" w:rsidRPr="002514B1" w:rsidRDefault="008A385E" w:rsidP="00E73293">
            <w:pPr>
              <w:pStyle w:val="ListParagraph"/>
              <w:numPr>
                <w:ilvl w:val="0"/>
                <w:numId w:val="54"/>
              </w:numPr>
              <w:spacing w:before="0" w:after="0" w:line="240" w:lineRule="auto"/>
              <w:rPr>
                <w:rFonts w:eastAsia="Times New Roman" w:cs="Microsoft Sans Serif"/>
              </w:rPr>
            </w:pPr>
            <w:r w:rsidRPr="002514B1">
              <w:rPr>
                <w:rFonts w:eastAsia="Times New Roman" w:cs="Microsoft Sans Serif"/>
              </w:rPr>
              <w:t>Time, funding and awareness of self/others</w:t>
            </w:r>
          </w:p>
        </w:tc>
      </w:tr>
    </w:tbl>
    <w:p w:rsidR="008A385E" w:rsidRDefault="008A385E" w:rsidP="008A385E">
      <w:pPr>
        <w:spacing w:before="0" w:after="0"/>
        <w:rPr>
          <w:b/>
        </w:rPr>
      </w:pPr>
    </w:p>
    <w:p w:rsidR="008A385E" w:rsidRPr="002514B1" w:rsidRDefault="008A385E" w:rsidP="008A385E">
      <w:pPr>
        <w:spacing w:before="0" w:after="0"/>
        <w:rPr>
          <w:b/>
        </w:rPr>
      </w:pPr>
      <w:r w:rsidRPr="00FE1590">
        <w:rPr>
          <w:b/>
        </w:rPr>
        <w:t>What ideas do you have to improve HIV prevention services in your area?</w:t>
      </w:r>
    </w:p>
    <w:tbl>
      <w:tblPr>
        <w:tblW w:w="9390" w:type="dxa"/>
        <w:tblInd w:w="93" w:type="dxa"/>
        <w:tblLook w:val="04A0" w:firstRow="1" w:lastRow="0" w:firstColumn="1" w:lastColumn="0" w:noHBand="0" w:noVBand="1"/>
      </w:tblPr>
      <w:tblGrid>
        <w:gridCol w:w="9390"/>
      </w:tblGrid>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 xml:space="preserve">Integration of services. more true navigators through complicated system </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Coordinated efforts to increase access to services</w:t>
            </w:r>
            <w:r w:rsidRPr="00FE1590">
              <w:rPr>
                <w:rFonts w:eastAsia="Times New Roman" w:cs="Microsoft Sans Serif"/>
              </w:rPr>
              <w:br/>
              <w:t>Coalitions meeting to make a difference not just to increase their income or look good</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Continuity and collaboration among existing and new partner agencies to decrease duplication of services and reach high-risk populations</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increase mental health services and expand housing programs to be more inclusive</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 xml:space="preserve">Better community outreach. We still don't talk about HIV and related care. </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 xml:space="preserve">Educating my fellow mental health clinicians. </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Increase funding and engage all providers in a coordinated effort.  Develop an HIV outreach team that also has qualified Spanish Speaking members</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Offer HIV Prevention services to everyone (People living with HIV and those who are HIV negative) without targeting populations, which could completely overlook others outside of grant parameters. NORMALIZE HIV education and regular HIV testing city wide and state wide. We need billboards and HIV related public health information all over the Las Vegas valley--Billboards!</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Link all services and service providers, promote these services as a group-wide effort and not strictly as a "business" by agency to agency. Collaboration!!</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See above</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Work more within faith community to reduce stigma around HIV so more people get tested and know status.  Work with multiple organizations in the community so that all can offer free to low cost testing.</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lastRenderedPageBreak/>
              <w:t xml:space="preserve">One is the new legislation which allows Community based organizations to conduct testing on site. Hopefully in the future HIV testing will be handled just like flu vaccinations - at drug, grocery stores and malls. </w:t>
            </w:r>
          </w:p>
        </w:tc>
      </w:tr>
      <w:tr w:rsidR="008A385E" w:rsidRPr="00FE1590" w:rsidTr="008A385E">
        <w:trPr>
          <w:trHeight w:val="255"/>
        </w:trPr>
        <w:tc>
          <w:tcPr>
            <w:tcW w:w="9390" w:type="dxa"/>
            <w:tcBorders>
              <w:top w:val="nil"/>
              <w:left w:val="nil"/>
              <w:bottom w:val="nil"/>
              <w:right w:val="nil"/>
            </w:tcBorders>
            <w:shd w:val="clear" w:color="auto" w:fill="auto"/>
            <w:noWrap/>
            <w:vAlign w:val="bottom"/>
            <w:hideMark/>
          </w:tcPr>
          <w:p w:rsidR="008A385E" w:rsidRPr="00FE1590" w:rsidRDefault="008A385E" w:rsidP="00E73293">
            <w:pPr>
              <w:pStyle w:val="ListParagraph"/>
              <w:numPr>
                <w:ilvl w:val="0"/>
                <w:numId w:val="55"/>
              </w:numPr>
              <w:spacing w:before="0" w:after="0" w:line="240" w:lineRule="auto"/>
              <w:rPr>
                <w:rFonts w:eastAsia="Times New Roman" w:cs="Microsoft Sans Serif"/>
              </w:rPr>
            </w:pPr>
            <w:r w:rsidRPr="00FE1590">
              <w:rPr>
                <w:rFonts w:eastAsia="Times New Roman" w:cs="Microsoft Sans Serif"/>
              </w:rPr>
              <w:t xml:space="preserve">Make monthly bus passes available to clients, have case managers that will go the extra mile to assist clients in obtaining paperwork needed for eligibility, </w:t>
            </w:r>
          </w:p>
        </w:tc>
      </w:tr>
    </w:tbl>
    <w:p w:rsidR="008A385E" w:rsidRDefault="008A385E" w:rsidP="008A385E">
      <w:pPr>
        <w:rPr>
          <w:b/>
        </w:rPr>
      </w:pPr>
      <w:r w:rsidRPr="005147FD">
        <w:rPr>
          <w:b/>
        </w:rPr>
        <w:t>Please provide any additional comments you have about HIV/AIDS prevention and care in Nevada:</w:t>
      </w:r>
    </w:p>
    <w:tbl>
      <w:tblPr>
        <w:tblW w:w="9390" w:type="dxa"/>
        <w:tblInd w:w="93" w:type="dxa"/>
        <w:tblLook w:val="04A0" w:firstRow="1" w:lastRow="0" w:firstColumn="1" w:lastColumn="0" w:noHBand="0" w:noVBand="1"/>
      </w:tblPr>
      <w:tblGrid>
        <w:gridCol w:w="4880"/>
        <w:gridCol w:w="1440"/>
        <w:gridCol w:w="1440"/>
        <w:gridCol w:w="1630"/>
      </w:tblGrid>
      <w:tr w:rsidR="008A385E" w:rsidRPr="005147FD"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5147FD" w:rsidRDefault="008A385E" w:rsidP="00E73293">
            <w:pPr>
              <w:pStyle w:val="ListParagraph"/>
              <w:numPr>
                <w:ilvl w:val="0"/>
                <w:numId w:val="56"/>
              </w:numPr>
              <w:spacing w:before="0" w:after="0" w:line="240" w:lineRule="auto"/>
              <w:rPr>
                <w:rFonts w:eastAsia="Times New Roman" w:cs="Microsoft Sans Serif"/>
              </w:rPr>
            </w:pPr>
            <w:r w:rsidRPr="005147FD">
              <w:rPr>
                <w:rFonts w:eastAsia="Times New Roman" w:cs="Microsoft Sans Serif"/>
              </w:rPr>
              <w:t>Not as accessible as it should be</w:t>
            </w:r>
            <w:r w:rsidRPr="005147FD">
              <w:rPr>
                <w:rFonts w:eastAsia="Times New Roman" w:cs="Microsoft Sans Serif"/>
              </w:rPr>
              <w:br/>
              <w:t>Not a concise go to place</w:t>
            </w:r>
            <w:r w:rsidRPr="005147FD">
              <w:rPr>
                <w:rFonts w:eastAsia="Times New Roman" w:cs="Microsoft Sans Serif"/>
              </w:rPr>
              <w:br/>
              <w:t>agencies don't do enough outreach in the affected communities</w:t>
            </w:r>
            <w:r w:rsidRPr="005147FD">
              <w:rPr>
                <w:rFonts w:eastAsia="Times New Roman" w:cs="Microsoft Sans Serif"/>
              </w:rPr>
              <w:br/>
              <w:t xml:space="preserve">Use of media in a larger scale to provide awareness reduce stigma and reiterate the services available </w:t>
            </w:r>
          </w:p>
        </w:tc>
      </w:tr>
      <w:tr w:rsidR="008A385E" w:rsidRPr="005147FD"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5147FD" w:rsidRDefault="008A385E" w:rsidP="00E73293">
            <w:pPr>
              <w:pStyle w:val="ListParagraph"/>
              <w:numPr>
                <w:ilvl w:val="0"/>
                <w:numId w:val="56"/>
              </w:numPr>
              <w:spacing w:before="0" w:after="0" w:line="240" w:lineRule="auto"/>
              <w:rPr>
                <w:rFonts w:eastAsia="Times New Roman" w:cs="Microsoft Sans Serif"/>
              </w:rPr>
            </w:pPr>
            <w:r w:rsidRPr="005147FD">
              <w:rPr>
                <w:rFonts w:eastAsia="Times New Roman" w:cs="Microsoft Sans Serif"/>
              </w:rPr>
              <w:t xml:space="preserve">In reference to Northern Nevada, providers work really well together and have fairly seamless service delivery.  </w:t>
            </w:r>
          </w:p>
        </w:tc>
      </w:tr>
      <w:tr w:rsidR="008A385E" w:rsidRPr="005147FD"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5147FD" w:rsidRDefault="008A385E" w:rsidP="00E73293">
            <w:pPr>
              <w:pStyle w:val="ListParagraph"/>
              <w:numPr>
                <w:ilvl w:val="0"/>
                <w:numId w:val="56"/>
              </w:numPr>
              <w:spacing w:before="0" w:after="0" w:line="240" w:lineRule="auto"/>
              <w:rPr>
                <w:rFonts w:eastAsia="Times New Roman" w:cs="Microsoft Sans Serif"/>
              </w:rPr>
            </w:pPr>
            <w:r w:rsidRPr="005147FD">
              <w:rPr>
                <w:rFonts w:eastAsia="Times New Roman" w:cs="Microsoft Sans Serif"/>
              </w:rPr>
              <w:t>Refer to #12</w:t>
            </w:r>
          </w:p>
        </w:tc>
      </w:tr>
      <w:tr w:rsidR="008A385E" w:rsidRPr="005147FD"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5147FD" w:rsidRDefault="008A385E" w:rsidP="00E73293">
            <w:pPr>
              <w:pStyle w:val="ListParagraph"/>
              <w:numPr>
                <w:ilvl w:val="0"/>
                <w:numId w:val="56"/>
              </w:numPr>
              <w:spacing w:before="0" w:after="0" w:line="240" w:lineRule="auto"/>
              <w:rPr>
                <w:rFonts w:eastAsia="Times New Roman" w:cs="Microsoft Sans Serif"/>
              </w:rPr>
            </w:pPr>
            <w:r w:rsidRPr="005147FD">
              <w:rPr>
                <w:rFonts w:eastAsia="Times New Roman" w:cs="Microsoft Sans Serif"/>
              </w:rPr>
              <w:t xml:space="preserve">Although we are a little sluggish on outreach for prevention. We still do a reasonable job given our circumstances. </w:t>
            </w:r>
            <w:r w:rsidRPr="005147FD">
              <w:rPr>
                <w:rFonts w:eastAsia="Times New Roman" w:cs="Microsoft Sans Serif"/>
              </w:rPr>
              <w:br/>
              <w:t>We are very good at HIV/AIDS care in the Northern Nevada area, and</w:t>
            </w:r>
            <w:r>
              <w:rPr>
                <w:rFonts w:eastAsia="Times New Roman" w:cs="Microsoft Sans Serif"/>
              </w:rPr>
              <w:t xml:space="preserve"> have made that relatively easy</w:t>
            </w:r>
            <w:r w:rsidRPr="005147FD">
              <w:rPr>
                <w:rFonts w:eastAsia="Times New Roman" w:cs="Microsoft Sans Serif"/>
              </w:rPr>
              <w:t>.</w:t>
            </w:r>
          </w:p>
        </w:tc>
      </w:tr>
      <w:tr w:rsidR="008A385E" w:rsidRPr="005147FD"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5147FD" w:rsidRDefault="008A385E" w:rsidP="00E73293">
            <w:pPr>
              <w:pStyle w:val="ListParagraph"/>
              <w:numPr>
                <w:ilvl w:val="0"/>
                <w:numId w:val="56"/>
              </w:numPr>
              <w:spacing w:before="0" w:after="0" w:line="240" w:lineRule="auto"/>
              <w:rPr>
                <w:rFonts w:eastAsia="Times New Roman" w:cs="Microsoft Sans Serif"/>
              </w:rPr>
            </w:pPr>
            <w:r w:rsidRPr="005147FD">
              <w:rPr>
                <w:rFonts w:eastAsia="Times New Roman" w:cs="Microsoft Sans Serif"/>
              </w:rPr>
              <w:t>The API community is underserved in HIV/AIDS prevention and care.  We need to work more with groups and organizations that work in the API community.  We should also be testing in senior living homes and communities as well as provide prevention education to them.</w:t>
            </w:r>
          </w:p>
        </w:tc>
      </w:tr>
      <w:tr w:rsidR="008A385E" w:rsidRPr="005147FD" w:rsidTr="008A385E">
        <w:trPr>
          <w:trHeight w:val="255"/>
        </w:trPr>
        <w:tc>
          <w:tcPr>
            <w:tcW w:w="9390" w:type="dxa"/>
            <w:gridSpan w:val="4"/>
            <w:tcBorders>
              <w:top w:val="nil"/>
              <w:left w:val="nil"/>
              <w:bottom w:val="nil"/>
              <w:right w:val="nil"/>
            </w:tcBorders>
            <w:shd w:val="clear" w:color="auto" w:fill="auto"/>
            <w:noWrap/>
            <w:vAlign w:val="bottom"/>
            <w:hideMark/>
          </w:tcPr>
          <w:p w:rsidR="008A385E" w:rsidRPr="005147FD" w:rsidRDefault="008A385E" w:rsidP="000944B9">
            <w:pPr>
              <w:pStyle w:val="ListParagraph"/>
              <w:numPr>
                <w:ilvl w:val="0"/>
                <w:numId w:val="56"/>
              </w:numPr>
              <w:spacing w:before="0" w:after="0" w:line="240" w:lineRule="auto"/>
              <w:rPr>
                <w:rFonts w:eastAsia="Times New Roman" w:cs="Microsoft Sans Serif"/>
              </w:rPr>
            </w:pPr>
            <w:r w:rsidRPr="005147FD">
              <w:rPr>
                <w:rFonts w:eastAsia="Times New Roman" w:cs="Microsoft Sans Serif"/>
              </w:rPr>
              <w:t>Even though condom use is very important and should continue to be stressed we should also focus more on knowing who your partner is and educating the public on the ramifications behind risky behavior.</w:t>
            </w:r>
            <w:r w:rsidR="000944B9" w:rsidRPr="005147FD">
              <w:rPr>
                <w:rFonts w:eastAsia="Times New Roman" w:cs="Microsoft Sans Serif"/>
              </w:rPr>
              <w:t xml:space="preserve"> </w:t>
            </w:r>
          </w:p>
        </w:tc>
      </w:tr>
      <w:tr w:rsidR="000944B9" w:rsidRPr="005147FD" w:rsidTr="008A385E">
        <w:trPr>
          <w:trHeight w:val="255"/>
        </w:trPr>
        <w:tc>
          <w:tcPr>
            <w:tcW w:w="9390" w:type="dxa"/>
            <w:gridSpan w:val="4"/>
            <w:tcBorders>
              <w:top w:val="nil"/>
              <w:left w:val="nil"/>
              <w:bottom w:val="nil"/>
              <w:right w:val="nil"/>
            </w:tcBorders>
            <w:shd w:val="clear" w:color="auto" w:fill="auto"/>
            <w:noWrap/>
            <w:vAlign w:val="bottom"/>
          </w:tcPr>
          <w:p w:rsidR="000944B9" w:rsidRPr="000944B9" w:rsidRDefault="000944B9" w:rsidP="000944B9">
            <w:pPr>
              <w:spacing w:before="0" w:after="0" w:line="240" w:lineRule="auto"/>
              <w:rPr>
                <w:rFonts w:eastAsia="Times New Roman" w:cs="Microsoft Sans Serif"/>
              </w:rPr>
            </w:pPr>
          </w:p>
        </w:tc>
      </w:tr>
      <w:tr w:rsidR="008A385E" w:rsidRPr="005147FD" w:rsidTr="008A385E">
        <w:trPr>
          <w:gridAfter w:val="1"/>
          <w:wAfter w:w="1630" w:type="dxa"/>
          <w:trHeight w:val="499"/>
        </w:trPr>
        <w:tc>
          <w:tcPr>
            <w:tcW w:w="7760" w:type="dxa"/>
            <w:gridSpan w:val="3"/>
            <w:tcBorders>
              <w:top w:val="nil"/>
              <w:left w:val="nil"/>
              <w:bottom w:val="nil"/>
              <w:right w:val="nil"/>
            </w:tcBorders>
            <w:shd w:val="clear" w:color="000000" w:fill="DDDDDD"/>
            <w:vAlign w:val="center"/>
            <w:hideMark/>
          </w:tcPr>
          <w:p w:rsidR="008A385E" w:rsidRPr="005147FD" w:rsidRDefault="008A385E" w:rsidP="008A385E">
            <w:pPr>
              <w:spacing w:before="0" w:after="0" w:line="240" w:lineRule="auto"/>
              <w:rPr>
                <w:rFonts w:eastAsia="Times New Roman" w:cs="Microsoft Sans Serif"/>
                <w:b/>
                <w:bCs/>
              </w:rPr>
            </w:pPr>
            <w:r w:rsidRPr="005147FD">
              <w:rPr>
                <w:rFonts w:eastAsia="Times New Roman" w:cs="Microsoft Sans Serif"/>
                <w:b/>
                <w:bCs/>
              </w:rPr>
              <w:t>Which Nevada counties are served by your organization/agency? (Check all that apply.)</w:t>
            </w:r>
          </w:p>
        </w:tc>
      </w:tr>
      <w:tr w:rsidR="008A385E" w:rsidRPr="005147FD" w:rsidTr="008A385E">
        <w:trPr>
          <w:gridAfter w:val="1"/>
          <w:wAfter w:w="1630" w:type="dxa"/>
          <w:trHeight w:val="600"/>
        </w:trPr>
        <w:tc>
          <w:tcPr>
            <w:tcW w:w="4880" w:type="dxa"/>
            <w:tcBorders>
              <w:top w:val="nil"/>
              <w:left w:val="nil"/>
              <w:bottom w:val="nil"/>
              <w:right w:val="nil"/>
            </w:tcBorders>
            <w:shd w:val="clear" w:color="000000" w:fill="DEE9F7"/>
            <w:vAlign w:val="center"/>
            <w:hideMark/>
          </w:tcPr>
          <w:p w:rsidR="008A385E" w:rsidRPr="005147FD" w:rsidRDefault="008A385E" w:rsidP="008A385E">
            <w:pPr>
              <w:spacing w:before="0" w:after="0" w:line="240" w:lineRule="auto"/>
              <w:rPr>
                <w:rFonts w:eastAsia="Times New Roman" w:cs="Microsoft Sans Serif"/>
                <w:b/>
                <w:bCs/>
                <w:color w:val="000000"/>
              </w:rPr>
            </w:pPr>
            <w:r w:rsidRPr="005147FD">
              <w:rPr>
                <w:rFonts w:eastAsia="Times New Roman" w:cs="Microsoft Sans Serif"/>
                <w:b/>
                <w:bCs/>
                <w:color w:val="000000"/>
              </w:rPr>
              <w:t>Answer Options</w:t>
            </w:r>
          </w:p>
        </w:tc>
        <w:tc>
          <w:tcPr>
            <w:tcW w:w="1440" w:type="dxa"/>
            <w:tcBorders>
              <w:top w:val="nil"/>
              <w:left w:val="nil"/>
              <w:bottom w:val="nil"/>
              <w:right w:val="nil"/>
            </w:tcBorders>
            <w:shd w:val="clear" w:color="000000" w:fill="CDD8E6"/>
            <w:vAlign w:val="center"/>
            <w:hideMark/>
          </w:tcPr>
          <w:p w:rsidR="008A385E" w:rsidRPr="005147FD" w:rsidRDefault="008A385E" w:rsidP="008A385E">
            <w:pPr>
              <w:spacing w:before="0" w:after="0" w:line="240" w:lineRule="auto"/>
              <w:jc w:val="center"/>
              <w:rPr>
                <w:rFonts w:eastAsia="Times New Roman" w:cs="Microsoft Sans Serif"/>
                <w:b/>
                <w:bCs/>
                <w:color w:val="000000"/>
              </w:rPr>
            </w:pPr>
            <w:r w:rsidRPr="005147FD">
              <w:rPr>
                <w:rFonts w:eastAsia="Times New Roman" w:cs="Microsoft Sans Serif"/>
                <w:b/>
                <w:bCs/>
                <w:color w:val="000000"/>
              </w:rPr>
              <w:t>Response Percent</w:t>
            </w:r>
          </w:p>
        </w:tc>
        <w:tc>
          <w:tcPr>
            <w:tcW w:w="1440" w:type="dxa"/>
            <w:tcBorders>
              <w:top w:val="nil"/>
              <w:left w:val="nil"/>
              <w:bottom w:val="nil"/>
              <w:right w:val="nil"/>
            </w:tcBorders>
            <w:shd w:val="clear" w:color="000000" w:fill="CDD8E6"/>
            <w:vAlign w:val="center"/>
            <w:hideMark/>
          </w:tcPr>
          <w:p w:rsidR="008A385E" w:rsidRPr="005147FD" w:rsidRDefault="008A385E" w:rsidP="008A385E">
            <w:pPr>
              <w:spacing w:before="0" w:after="0" w:line="240" w:lineRule="auto"/>
              <w:jc w:val="center"/>
              <w:rPr>
                <w:rFonts w:eastAsia="Times New Roman" w:cs="Microsoft Sans Serif"/>
                <w:b/>
                <w:bCs/>
                <w:color w:val="000000"/>
              </w:rPr>
            </w:pPr>
            <w:r w:rsidRPr="005147FD">
              <w:rPr>
                <w:rFonts w:eastAsia="Times New Roman" w:cs="Microsoft Sans Serif"/>
                <w:b/>
                <w:bCs/>
                <w:color w:val="000000"/>
              </w:rPr>
              <w:t>Response Count</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All Nevada counties</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5.9%</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Carson City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23.5%</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4</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Churchill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Clark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64.7%</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Douglas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Elko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Esmeralda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Eureka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Humboldt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Lander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Lincoln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Lyon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23.5%</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4</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Mineral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Nye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29.4%</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5</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Pershing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5.9%</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Storey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17.6%</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3</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Washoe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23.5%</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4</w:t>
            </w:r>
          </w:p>
        </w:tc>
      </w:tr>
      <w:tr w:rsidR="008A385E" w:rsidRPr="005147FD" w:rsidTr="008A385E">
        <w:trPr>
          <w:gridAfter w:val="1"/>
          <w:wAfter w:w="1630" w:type="dxa"/>
          <w:trHeight w:val="255"/>
        </w:trPr>
        <w:tc>
          <w:tcPr>
            <w:tcW w:w="4880" w:type="dxa"/>
            <w:tcBorders>
              <w:top w:val="nil"/>
              <w:left w:val="nil"/>
              <w:bottom w:val="nil"/>
              <w:right w:val="nil"/>
            </w:tcBorders>
            <w:shd w:val="clear" w:color="000000" w:fill="EEEEEE"/>
            <w:vAlign w:val="bottom"/>
            <w:hideMark/>
          </w:tcPr>
          <w:p w:rsidR="008A385E" w:rsidRPr="005147FD" w:rsidRDefault="008A385E" w:rsidP="008A385E">
            <w:pPr>
              <w:spacing w:before="0" w:after="0" w:line="240" w:lineRule="auto"/>
              <w:rPr>
                <w:rFonts w:eastAsia="Times New Roman" w:cs="Microsoft Sans Serif"/>
              </w:rPr>
            </w:pPr>
            <w:r w:rsidRPr="005147FD">
              <w:rPr>
                <w:rFonts w:eastAsia="Times New Roman" w:cs="Microsoft Sans Serif"/>
              </w:rPr>
              <w:t>White Pine County</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11.8%</w:t>
            </w:r>
          </w:p>
        </w:tc>
        <w:tc>
          <w:tcPr>
            <w:tcW w:w="1440" w:type="dxa"/>
            <w:tcBorders>
              <w:top w:val="nil"/>
              <w:left w:val="nil"/>
              <w:bottom w:val="nil"/>
              <w:right w:val="nil"/>
            </w:tcBorders>
            <w:shd w:val="clear" w:color="000000" w:fill="DEE9F7"/>
            <w:noWrap/>
            <w:vAlign w:val="center"/>
            <w:hideMark/>
          </w:tcPr>
          <w:p w:rsidR="008A385E" w:rsidRPr="005147FD" w:rsidRDefault="008A385E" w:rsidP="008A385E">
            <w:pPr>
              <w:spacing w:before="0" w:after="0" w:line="240" w:lineRule="auto"/>
              <w:jc w:val="center"/>
              <w:rPr>
                <w:rFonts w:eastAsia="Times New Roman" w:cs="Microsoft Sans Serif"/>
              </w:rPr>
            </w:pPr>
            <w:r w:rsidRPr="005147FD">
              <w:rPr>
                <w:rFonts w:eastAsia="Times New Roman" w:cs="Microsoft Sans Serif"/>
              </w:rPr>
              <w:t>2</w:t>
            </w:r>
          </w:p>
        </w:tc>
      </w:tr>
      <w:tr w:rsidR="008A385E" w:rsidRPr="005147FD" w:rsidTr="008A385E">
        <w:trPr>
          <w:gridAfter w:val="1"/>
          <w:wAfter w:w="1630" w:type="dxa"/>
          <w:trHeight w:val="255"/>
        </w:trPr>
        <w:tc>
          <w:tcPr>
            <w:tcW w:w="6320" w:type="dxa"/>
            <w:gridSpan w:val="2"/>
            <w:tcBorders>
              <w:top w:val="nil"/>
              <w:left w:val="nil"/>
              <w:bottom w:val="nil"/>
              <w:right w:val="nil"/>
            </w:tcBorders>
            <w:shd w:val="clear" w:color="000000" w:fill="CDD8E6"/>
            <w:noWrap/>
            <w:vAlign w:val="bottom"/>
            <w:hideMark/>
          </w:tcPr>
          <w:p w:rsidR="008A385E" w:rsidRPr="005147FD" w:rsidRDefault="008A385E" w:rsidP="008A385E">
            <w:pPr>
              <w:spacing w:before="0" w:after="0" w:line="240" w:lineRule="auto"/>
              <w:jc w:val="right"/>
              <w:rPr>
                <w:rFonts w:eastAsia="Times New Roman" w:cs="Microsoft Sans Serif"/>
                <w:b/>
                <w:bCs/>
                <w:i/>
                <w:iCs/>
                <w:color w:val="000000"/>
              </w:rPr>
            </w:pPr>
            <w:r w:rsidRPr="005147FD">
              <w:rPr>
                <w:rFonts w:eastAsia="Times New Roman" w:cs="Microsoft Sans Serif"/>
                <w:b/>
                <w:bCs/>
                <w:i/>
                <w:iCs/>
                <w:color w:val="000000"/>
              </w:rPr>
              <w:t>answered question</w:t>
            </w:r>
          </w:p>
        </w:tc>
        <w:tc>
          <w:tcPr>
            <w:tcW w:w="1440" w:type="dxa"/>
            <w:tcBorders>
              <w:top w:val="nil"/>
              <w:left w:val="nil"/>
              <w:bottom w:val="nil"/>
              <w:right w:val="nil"/>
            </w:tcBorders>
            <w:shd w:val="clear" w:color="000000" w:fill="CDD8E6"/>
            <w:noWrap/>
            <w:vAlign w:val="bottom"/>
            <w:hideMark/>
          </w:tcPr>
          <w:p w:rsidR="008A385E" w:rsidRPr="005147FD" w:rsidRDefault="008A385E" w:rsidP="008A385E">
            <w:pPr>
              <w:spacing w:before="0" w:after="0" w:line="240" w:lineRule="auto"/>
              <w:jc w:val="right"/>
              <w:rPr>
                <w:rFonts w:eastAsia="Times New Roman" w:cs="Microsoft Sans Serif"/>
                <w:b/>
                <w:bCs/>
                <w:color w:val="000000"/>
              </w:rPr>
            </w:pPr>
            <w:r w:rsidRPr="005147FD">
              <w:rPr>
                <w:rFonts w:eastAsia="Times New Roman" w:cs="Microsoft Sans Serif"/>
                <w:b/>
                <w:bCs/>
                <w:color w:val="000000"/>
              </w:rPr>
              <w:t>17</w:t>
            </w:r>
          </w:p>
        </w:tc>
      </w:tr>
      <w:tr w:rsidR="008A385E" w:rsidRPr="005147FD" w:rsidTr="008A385E">
        <w:trPr>
          <w:gridAfter w:val="1"/>
          <w:wAfter w:w="1630" w:type="dxa"/>
          <w:trHeight w:val="255"/>
        </w:trPr>
        <w:tc>
          <w:tcPr>
            <w:tcW w:w="6320" w:type="dxa"/>
            <w:gridSpan w:val="2"/>
            <w:tcBorders>
              <w:top w:val="nil"/>
              <w:left w:val="nil"/>
              <w:bottom w:val="nil"/>
              <w:right w:val="nil"/>
            </w:tcBorders>
            <w:shd w:val="clear" w:color="000000" w:fill="DDDDDD"/>
            <w:noWrap/>
            <w:vAlign w:val="bottom"/>
            <w:hideMark/>
          </w:tcPr>
          <w:p w:rsidR="008A385E" w:rsidRPr="005147FD" w:rsidRDefault="008A385E" w:rsidP="008A385E">
            <w:pPr>
              <w:spacing w:before="0" w:after="0" w:line="240" w:lineRule="auto"/>
              <w:jc w:val="right"/>
              <w:rPr>
                <w:rFonts w:eastAsia="Times New Roman" w:cs="Microsoft Sans Serif"/>
                <w:b/>
                <w:bCs/>
                <w:i/>
                <w:iCs/>
                <w:color w:val="000000"/>
              </w:rPr>
            </w:pPr>
            <w:r w:rsidRPr="005147FD">
              <w:rPr>
                <w:rFonts w:eastAsia="Times New Roman" w:cs="Microsoft Sans Serif"/>
                <w:b/>
                <w:bCs/>
                <w:i/>
                <w:iCs/>
                <w:color w:val="000000"/>
              </w:rPr>
              <w:t>skipped question</w:t>
            </w:r>
          </w:p>
        </w:tc>
        <w:tc>
          <w:tcPr>
            <w:tcW w:w="1440" w:type="dxa"/>
            <w:tcBorders>
              <w:top w:val="nil"/>
              <w:left w:val="nil"/>
              <w:bottom w:val="nil"/>
              <w:right w:val="nil"/>
            </w:tcBorders>
            <w:shd w:val="clear" w:color="000000" w:fill="DDDDDD"/>
            <w:noWrap/>
            <w:vAlign w:val="bottom"/>
            <w:hideMark/>
          </w:tcPr>
          <w:p w:rsidR="008A385E" w:rsidRPr="005147FD" w:rsidRDefault="008A385E" w:rsidP="008A385E">
            <w:pPr>
              <w:spacing w:before="0" w:after="0" w:line="240" w:lineRule="auto"/>
              <w:jc w:val="right"/>
              <w:rPr>
                <w:rFonts w:eastAsia="Times New Roman" w:cs="Microsoft Sans Serif"/>
                <w:b/>
                <w:bCs/>
                <w:color w:val="000000"/>
              </w:rPr>
            </w:pPr>
            <w:r w:rsidRPr="005147FD">
              <w:rPr>
                <w:rFonts w:eastAsia="Times New Roman" w:cs="Microsoft Sans Serif"/>
                <w:b/>
                <w:bCs/>
                <w:color w:val="000000"/>
              </w:rPr>
              <w:t>8</w:t>
            </w:r>
          </w:p>
        </w:tc>
      </w:tr>
    </w:tbl>
    <w:p w:rsidR="008A385E" w:rsidRPr="005147FD" w:rsidRDefault="008A385E" w:rsidP="008A385E">
      <w:pPr>
        <w:rPr>
          <w:b/>
        </w:rPr>
      </w:pPr>
    </w:p>
    <w:p w:rsidR="000944B9" w:rsidRDefault="000944B9" w:rsidP="008A385E">
      <w:r>
        <w:rPr>
          <w:noProof/>
        </w:rPr>
        <w:drawing>
          <wp:inline distT="0" distB="0" distL="0" distR="0" wp14:anchorId="61412B99" wp14:editId="1C3264ED">
            <wp:extent cx="5486400" cy="2914650"/>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A385E" w:rsidRDefault="000944B9" w:rsidP="008A385E">
      <w:r>
        <w:rPr>
          <w:noProof/>
        </w:rPr>
        <w:drawing>
          <wp:inline distT="0" distB="0" distL="0" distR="0" wp14:anchorId="5CA35545" wp14:editId="010B1FFF">
            <wp:extent cx="5486400" cy="2870421"/>
            <wp:effectExtent l="0" t="0" r="0" b="635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8A385E">
        <w:br w:type="page"/>
      </w:r>
    </w:p>
    <w:p w:rsidR="008A385E" w:rsidRDefault="008A385E" w:rsidP="00342034">
      <w:pPr>
        <w:pStyle w:val="Heading2"/>
      </w:pPr>
      <w:bookmarkStart w:id="71" w:name="_Toc461188614"/>
      <w:r>
        <w:lastRenderedPageBreak/>
        <w:t>Appendix M: Letters of Concurrence</w:t>
      </w:r>
      <w:bookmarkEnd w:id="71"/>
    </w:p>
    <w:p w:rsidR="003317C9" w:rsidRDefault="009454B4">
      <w:r>
        <w:rPr>
          <w:noProof/>
        </w:rPr>
        <w:drawing>
          <wp:inline distT="0" distB="0" distL="0" distR="0">
            <wp:extent cx="5819220" cy="74866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art A letter of concurrence.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26671" cy="7496236"/>
                    </a:xfrm>
                    <a:prstGeom prst="rect">
                      <a:avLst/>
                    </a:prstGeom>
                  </pic:spPr>
                </pic:pic>
              </a:graphicData>
            </a:graphic>
          </wp:inline>
        </w:drawing>
      </w:r>
      <w:r w:rsidR="003317C9">
        <w:br w:type="page"/>
      </w:r>
    </w:p>
    <w:p w:rsidR="003317C9" w:rsidRDefault="009454B4">
      <w:r>
        <w:rPr>
          <w:noProof/>
        </w:rPr>
        <w:lastRenderedPageBreak/>
        <w:drawing>
          <wp:inline distT="0" distB="0" distL="0" distR="0">
            <wp:extent cx="5943600" cy="7691755"/>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oN HPPG Letter of Concurrence.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317C9">
        <w:br w:type="page"/>
      </w:r>
    </w:p>
    <w:p w:rsidR="003317C9" w:rsidRDefault="00591764">
      <w:pPr>
        <w:rPr>
          <w:rFonts w:cs="Calibri Light"/>
        </w:rPr>
      </w:pPr>
      <w:r>
        <w:rPr>
          <w:rFonts w:cs="Calibri Light"/>
          <w:noProof/>
        </w:rPr>
        <w:lastRenderedPageBreak/>
        <w:drawing>
          <wp:inline distT="0" distB="0" distL="0" distR="0">
            <wp:extent cx="5943600" cy="7691755"/>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Northern letter.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3317C9">
        <w:rPr>
          <w:rFonts w:cs="Calibri Light"/>
        </w:rPr>
        <w:br w:type="page"/>
      </w:r>
    </w:p>
    <w:p w:rsidR="001A24A2" w:rsidRDefault="001A24A2">
      <w:pPr>
        <w:rPr>
          <w:rFonts w:cs="Calibri Light"/>
        </w:rPr>
      </w:pPr>
    </w:p>
    <w:p w:rsidR="003317C9" w:rsidRDefault="003317C9" w:rsidP="003317C9">
      <w:pPr>
        <w:pStyle w:val="Heading1"/>
      </w:pPr>
      <w:bookmarkStart w:id="72" w:name="_Toc461188615"/>
      <w:r>
        <w:t>References</w:t>
      </w:r>
      <w:bookmarkEnd w:id="72"/>
    </w:p>
    <w:sectPr w:rsidR="003317C9" w:rsidSect="009B63AA">
      <w:endnotePr>
        <w:numFmt w:val="decimal"/>
      </w:endnotePr>
      <w:pgSz w:w="12240" w:h="15840" w:code="1"/>
      <w:pgMar w:top="1440" w:right="1440" w:bottom="1440" w:left="1440" w:header="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7F2" w:rsidRDefault="002E77F2" w:rsidP="00496C66">
      <w:pPr>
        <w:spacing w:before="0" w:after="0" w:line="240" w:lineRule="auto"/>
      </w:pPr>
      <w:r>
        <w:separator/>
      </w:r>
    </w:p>
  </w:endnote>
  <w:endnote w:type="continuationSeparator" w:id="0">
    <w:p w:rsidR="002E77F2" w:rsidRDefault="002E77F2" w:rsidP="00496C66">
      <w:pPr>
        <w:spacing w:before="0" w:after="0" w:line="240" w:lineRule="auto"/>
      </w:pPr>
      <w:r>
        <w:continuationSeparator/>
      </w:r>
    </w:p>
  </w:endnote>
  <w:endnote w:id="1">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Rates were calculated using the Interim 2013 Population Estimates which are based on 2013 Population Estimates.  Updated June 2013, by the Nevada State Health Division, Bureau of Health Planning and Statistics, based on the 2013 Total Population Estimates provided by the Nevada State Demographer, June 2013.</w:t>
      </w:r>
    </w:p>
  </w:endnote>
  <w:endnote w:id="2">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 xml:space="preserve">U.S. Census Bureau: </w:t>
      </w:r>
      <w:r w:rsidRPr="003C3AD0">
        <w:rPr>
          <w:i/>
          <w:iCs/>
          <w:sz w:val="22"/>
          <w:szCs w:val="22"/>
        </w:rPr>
        <w:t>2012 American Community Survey</w:t>
      </w:r>
      <w:r w:rsidRPr="003C3AD0">
        <w:rPr>
          <w:sz w:val="22"/>
          <w:szCs w:val="22"/>
        </w:rPr>
        <w:t>. (2014, July). Retrieved from http://factfinder2.census.gov/faces/tableservices/jsf/pages/productview.xhtml?pid=ACS_12_1YR_NP01&amp;prodType=narrative_profile</w:t>
      </w:r>
    </w:p>
  </w:endnote>
  <w:endnote w:id="3">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 xml:space="preserve">U.S. Census Bureau: </w:t>
      </w:r>
      <w:r w:rsidRPr="003C3AD0">
        <w:rPr>
          <w:i/>
          <w:iCs/>
          <w:sz w:val="22"/>
          <w:szCs w:val="22"/>
        </w:rPr>
        <w:t>Community Facts</w:t>
      </w:r>
      <w:r w:rsidRPr="003C3AD0">
        <w:rPr>
          <w:sz w:val="22"/>
          <w:szCs w:val="22"/>
        </w:rPr>
        <w:t>. (2014, July). Retrieved from http://factfinder2.census.gov/faces/nav/jsf/pages/community_facts.xhtml</w:t>
      </w:r>
    </w:p>
  </w:endnote>
  <w:endnote w:id="4">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University of New Mexico: Bureau of Business &amp; Economic Research: </w:t>
      </w:r>
      <w:r w:rsidRPr="003C3AD0">
        <w:rPr>
          <w:i/>
          <w:iCs/>
          <w:sz w:val="22"/>
          <w:szCs w:val="22"/>
        </w:rPr>
        <w:t>Per capita personal income by state</w:t>
      </w:r>
      <w:r w:rsidRPr="003C3AD0">
        <w:rPr>
          <w:sz w:val="22"/>
          <w:szCs w:val="22"/>
        </w:rPr>
        <w:t>. (2013, April). Retrieved from http://bber.unm.edu/econ/us-pci.htm</w:t>
      </w:r>
    </w:p>
  </w:endnote>
  <w:endnote w:id="5">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 xml:space="preserve">USDA Economic Research Service: </w:t>
      </w:r>
      <w:r w:rsidRPr="003C3AD0">
        <w:rPr>
          <w:i/>
          <w:iCs/>
          <w:sz w:val="22"/>
          <w:szCs w:val="22"/>
        </w:rPr>
        <w:t>Percent of Total Population in Poverty, 2012 Nevada</w:t>
      </w:r>
      <w:r w:rsidRPr="003C3AD0">
        <w:rPr>
          <w:sz w:val="22"/>
          <w:szCs w:val="22"/>
        </w:rPr>
        <w:t>. (2014, June). Retrieved from http://ers.usda.gov/data-products/county-level-data-sets/poverty.aspx?reportPath=/State_Fact_Sheets/PovertyReport&amp;fips_st=32#.U7W_B_ldVHU</w:t>
      </w:r>
    </w:p>
  </w:endnote>
  <w:endnote w:id="6">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 xml:space="preserve">United Health Foundation: </w:t>
      </w:r>
      <w:r w:rsidRPr="003C3AD0">
        <w:rPr>
          <w:i/>
          <w:iCs/>
          <w:sz w:val="22"/>
          <w:szCs w:val="22"/>
        </w:rPr>
        <w:t>America's health rankings Nevada</w:t>
      </w:r>
      <w:r w:rsidRPr="003C3AD0">
        <w:rPr>
          <w:sz w:val="22"/>
          <w:szCs w:val="22"/>
        </w:rPr>
        <w:t>. (2014, July). Retrieved from http://www.americashealthrankings.org/CustomReport</w:t>
      </w:r>
    </w:p>
  </w:endnote>
  <w:endnote w:id="7">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 xml:space="preserve">The Henry J. Kaiser Family Foundation: </w:t>
      </w:r>
      <w:r w:rsidRPr="003C3AD0">
        <w:rPr>
          <w:i/>
          <w:iCs/>
          <w:sz w:val="22"/>
          <w:szCs w:val="22"/>
        </w:rPr>
        <w:t>State Health Facts</w:t>
      </w:r>
      <w:r w:rsidRPr="003C3AD0">
        <w:rPr>
          <w:sz w:val="22"/>
          <w:szCs w:val="22"/>
        </w:rPr>
        <w:t>. (2014, July). Retrieved from http://kff.org/statedata/?state=NV </w:t>
      </w:r>
    </w:p>
  </w:endnote>
  <w:endnote w:id="8">
    <w:p w:rsidR="002E77F2" w:rsidRPr="003C3AD0" w:rsidRDefault="002E77F2" w:rsidP="00AB70F1">
      <w:pPr>
        <w:widowControl w:val="0"/>
        <w:spacing w:before="0" w:after="0"/>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 xml:space="preserve">U.S. Department of Health and Human Services: </w:t>
      </w:r>
      <w:r w:rsidRPr="003C3AD0">
        <w:rPr>
          <w:i/>
          <w:iCs/>
          <w:sz w:val="22"/>
          <w:szCs w:val="22"/>
        </w:rPr>
        <w:t>Shortage Designation: Health Professional Shortage Areas &amp; Medically Underserved Areas/Populations</w:t>
      </w:r>
      <w:r w:rsidRPr="003C3AD0">
        <w:rPr>
          <w:sz w:val="22"/>
          <w:szCs w:val="22"/>
        </w:rPr>
        <w:t>. (2014, July). Retrieved from http://hpsafind.hrsa.gov/</w:t>
      </w:r>
    </w:p>
  </w:endnote>
  <w:endnote w:id="9">
    <w:p w:rsidR="002E77F2" w:rsidRPr="003C3AD0" w:rsidRDefault="002E77F2" w:rsidP="00AB70F1">
      <w:pPr>
        <w:pStyle w:val="EndnoteText"/>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Centers for Disease Control and Prevention. (2011).</w:t>
      </w:r>
      <w:r w:rsidRPr="003C3AD0">
        <w:rPr>
          <w:sz w:val="22"/>
          <w:szCs w:val="22"/>
        </w:rPr>
        <w:t xml:space="preserve"> </w:t>
      </w:r>
      <w:r w:rsidRPr="003C3AD0">
        <w:rPr>
          <w:iCs/>
          <w:sz w:val="22"/>
          <w:szCs w:val="22"/>
        </w:rPr>
        <w:t xml:space="preserve">HIV among Transgender People: </w:t>
      </w:r>
      <w:hyperlink r:id="rId1" w:history="1">
        <w:r w:rsidRPr="003C3AD0">
          <w:rPr>
            <w:rStyle w:val="Hyperlink"/>
            <w:sz w:val="22"/>
            <w:szCs w:val="22"/>
          </w:rPr>
          <w:t>http://www.cdc.gov/hiv/transgender/pdf/transgender.pdf</w:t>
        </w:r>
      </w:hyperlink>
    </w:p>
  </w:endnote>
  <w:endnote w:id="10">
    <w:p w:rsidR="002E77F2" w:rsidRPr="003C3AD0" w:rsidRDefault="002E77F2" w:rsidP="00AB70F1">
      <w:pPr>
        <w:pStyle w:val="EndnoteText"/>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Herbst, J.H. et al. (2008). Estimating HIV prevalence and risk behaviors of transgender persons in the United States: a systematic review. AIDS Behavior 12(1):1-17.</w:t>
      </w:r>
    </w:p>
  </w:endnote>
  <w:endnote w:id="11">
    <w:p w:rsidR="002E77F2" w:rsidRPr="003C3AD0" w:rsidRDefault="002E77F2" w:rsidP="00AB70F1">
      <w:pPr>
        <w:pStyle w:val="EndnoteText"/>
        <w:ind w:left="360" w:hanging="360"/>
        <w:rPr>
          <w:sz w:val="22"/>
          <w:szCs w:val="22"/>
        </w:rPr>
      </w:pPr>
      <w:r w:rsidRPr="003C3AD0">
        <w:rPr>
          <w:rStyle w:val="EndnoteReference"/>
          <w:sz w:val="22"/>
          <w:szCs w:val="22"/>
        </w:rPr>
        <w:endnoteRef/>
      </w:r>
      <w:r w:rsidRPr="003C3AD0">
        <w:rPr>
          <w:sz w:val="22"/>
          <w:szCs w:val="22"/>
        </w:rPr>
        <w:t xml:space="preserve"> </w:t>
      </w:r>
      <w:r w:rsidRPr="003C3AD0">
        <w:rPr>
          <w:iCs/>
          <w:sz w:val="22"/>
          <w:szCs w:val="22"/>
        </w:rPr>
        <w:t xml:space="preserve">Sausa LA, Sevelius J, Keatley J, Iñiguez JR, Reyes M. (2009). Policy recommendations for inclusive data collection of </w:t>
      </w:r>
      <w:r w:rsidRPr="003C3AD0">
        <w:rPr>
          <w:sz w:val="22"/>
          <w:szCs w:val="22"/>
        </w:rPr>
        <w:t xml:space="preserve">trans people in HIV prevention, care &amp; services. Center of Excellence for Transgender HIV Prevention: University of California, San Francisco: </w:t>
      </w:r>
      <w:hyperlink r:id="rId2" w:history="1">
        <w:r w:rsidRPr="003C3AD0">
          <w:rPr>
            <w:rStyle w:val="Hyperlink"/>
            <w:sz w:val="22"/>
            <w:szCs w:val="22"/>
          </w:rPr>
          <w:t>http://transhealth.ucsf.edu/pdf/data-recommendation.pdf</w:t>
        </w:r>
      </w:hyperlink>
    </w:p>
  </w:endnote>
  <w:endnote w:id="12">
    <w:p w:rsidR="002E77F2" w:rsidRPr="003C3AD0" w:rsidRDefault="002E77F2" w:rsidP="00F103A5">
      <w:pPr>
        <w:pStyle w:val="EndnoteText"/>
        <w:ind w:left="360" w:hanging="360"/>
        <w:rPr>
          <w:sz w:val="22"/>
          <w:szCs w:val="22"/>
        </w:rPr>
      </w:pPr>
      <w:r w:rsidRPr="003C3AD0">
        <w:rPr>
          <w:rStyle w:val="EndnoteReference"/>
          <w:sz w:val="22"/>
          <w:szCs w:val="22"/>
        </w:rPr>
        <w:endnoteRef/>
      </w:r>
      <w:r w:rsidRPr="003C3AD0">
        <w:rPr>
          <w:sz w:val="22"/>
          <w:szCs w:val="22"/>
        </w:rPr>
        <w:t xml:space="preserve"> STD and HIV – CDC Fact Sheet Centers for Disease Control and Prevention. </w:t>
      </w:r>
      <w:r w:rsidRPr="003C3AD0">
        <w:rPr>
          <w:i/>
          <w:iCs/>
          <w:sz w:val="22"/>
          <w:szCs w:val="22"/>
        </w:rPr>
        <w:t xml:space="preserve">Sexually Transmitted Disease Surveillance 2013. </w:t>
      </w:r>
      <w:r w:rsidRPr="003C3AD0">
        <w:rPr>
          <w:sz w:val="22"/>
          <w:szCs w:val="22"/>
        </w:rPr>
        <w:t>Atlanta: U.S. Department of Health and Human Services; 2014. http://www.cdc.gov/nchhstp/newsroom/docs/std-trends-508.pdf</w:t>
      </w:r>
    </w:p>
  </w:endnote>
  <w:endnote w:id="13">
    <w:p w:rsidR="002E77F2" w:rsidRPr="003C3AD0" w:rsidRDefault="002E77F2" w:rsidP="00AB70F1">
      <w:pPr>
        <w:pStyle w:val="EndnoteText"/>
        <w:ind w:left="360" w:hanging="360"/>
        <w:rPr>
          <w:sz w:val="22"/>
          <w:szCs w:val="22"/>
        </w:rPr>
      </w:pPr>
      <w:r w:rsidRPr="003C3AD0">
        <w:rPr>
          <w:rStyle w:val="EndnoteReference"/>
          <w:sz w:val="22"/>
          <w:szCs w:val="22"/>
        </w:rPr>
        <w:endnoteRef/>
      </w:r>
      <w:r w:rsidRPr="003C3AD0">
        <w:rPr>
          <w:sz w:val="22"/>
          <w:szCs w:val="22"/>
        </w:rPr>
        <w:t xml:space="preserve"> Nevada Department of Public and Behavioral Health (DPBH).  Behavioral Risk Factor Surveillance System Survey Data, 2011-2012.</w:t>
      </w:r>
    </w:p>
  </w:endnote>
  <w:endnote w:id="14">
    <w:p w:rsidR="002E77F2" w:rsidRDefault="002E77F2" w:rsidP="00AB70F1">
      <w:pPr>
        <w:pStyle w:val="EndnoteText"/>
        <w:ind w:left="360" w:hanging="360"/>
      </w:pPr>
      <w:r w:rsidRPr="003C3AD0">
        <w:rPr>
          <w:rStyle w:val="EndnoteReference"/>
          <w:sz w:val="22"/>
          <w:szCs w:val="22"/>
        </w:rPr>
        <w:endnoteRef/>
      </w:r>
      <w:r w:rsidRPr="003C3AD0">
        <w:rPr>
          <w:sz w:val="22"/>
          <w:szCs w:val="22"/>
        </w:rPr>
        <w:t xml:space="preserve"> Lensch, T., Baxa, A., Zhang, F., Gay, C., Larson, S., Clements-Nolle, K., Yang, W. State of Nevada, Division of Public and Behavioral Health and the University of Nevada, Reno. 2015 Nevada High School Youth Risk Behavior Survey (YRBS)</w:t>
      </w:r>
    </w:p>
  </w:endnote>
  <w:endnote w:id="15">
    <w:p w:rsidR="002E77F2" w:rsidRPr="00D00FE6" w:rsidRDefault="002E77F2" w:rsidP="00AB70F1">
      <w:pPr>
        <w:widowControl w:val="0"/>
        <w:spacing w:before="0" w:after="0" w:line="240" w:lineRule="auto"/>
        <w:ind w:left="360" w:hanging="360"/>
        <w:rPr>
          <w:rFonts w:cs="Calibri Light"/>
          <w:b/>
          <w:bCs/>
          <w:sz w:val="16"/>
          <w:szCs w:val="16"/>
        </w:rPr>
      </w:pPr>
      <w:r>
        <w:rPr>
          <w:rStyle w:val="EndnoteReference"/>
        </w:rPr>
        <w:endnoteRef/>
      </w:r>
      <w:r>
        <w:t xml:space="preserve"> </w:t>
      </w:r>
      <w:r w:rsidRPr="00D00FE6">
        <w:rPr>
          <w:rFonts w:cs="Helvetica"/>
          <w:color w:val="000000"/>
          <w:sz w:val="22"/>
          <w:szCs w:val="22"/>
        </w:rPr>
        <w:t>Centers for Disease Control and Prevention, National Center for Chronic Disease Prevention and Health Promotion, Division of Population Health. BRFSS Prevalence &amp; Trends Data [online]. 2015.</w:t>
      </w:r>
      <w:r w:rsidRPr="00D00FE6">
        <w:rPr>
          <w:rStyle w:val="apple-converted-space"/>
          <w:rFonts w:cs="Helvetica"/>
          <w:color w:val="000000"/>
          <w:sz w:val="22"/>
          <w:szCs w:val="22"/>
        </w:rPr>
        <w:t> </w:t>
      </w:r>
      <w:r w:rsidRPr="00D00FE6">
        <w:rPr>
          <w:rFonts w:cs="Helvetica"/>
          <w:color w:val="000000"/>
          <w:sz w:val="22"/>
          <w:szCs w:val="22"/>
        </w:rPr>
        <w:t>[accessed</w:t>
      </w:r>
      <w:r w:rsidRPr="00D00FE6">
        <w:rPr>
          <w:rStyle w:val="apple-converted-space"/>
          <w:rFonts w:cs="Helvetica"/>
          <w:color w:val="000000"/>
          <w:sz w:val="22"/>
          <w:szCs w:val="22"/>
        </w:rPr>
        <w:t> </w:t>
      </w:r>
      <w:r w:rsidRPr="00D00FE6">
        <w:rPr>
          <w:rFonts w:cs="Helvetica"/>
          <w:color w:val="000000"/>
          <w:sz w:val="22"/>
          <w:szCs w:val="22"/>
        </w:rPr>
        <w:t>Aug 11, 2016]. URL:</w:t>
      </w:r>
      <w:r w:rsidRPr="00D00FE6">
        <w:rPr>
          <w:rStyle w:val="apple-converted-space"/>
          <w:rFonts w:cs="Helvetica"/>
          <w:color w:val="000000"/>
          <w:sz w:val="22"/>
          <w:szCs w:val="22"/>
        </w:rPr>
        <w:t> </w:t>
      </w:r>
      <w:hyperlink r:id="rId3" w:history="1">
        <w:r w:rsidRPr="00D00FE6">
          <w:rPr>
            <w:rStyle w:val="Hyperlink"/>
            <w:rFonts w:cs="Helvetica"/>
            <w:color w:val="075290"/>
            <w:sz w:val="22"/>
            <w:szCs w:val="22"/>
          </w:rPr>
          <w:t>http://wwwdev.cdc.gov/brfss/brfssprevalence/</w:t>
        </w:r>
      </w:hyperlink>
      <w:r w:rsidRPr="00D00FE6">
        <w:rPr>
          <w:rFonts w:cs="Helvetica"/>
          <w:color w:val="000000"/>
          <w:sz w:val="22"/>
          <w:szCs w:val="22"/>
        </w:rPr>
        <w:t>.</w:t>
      </w:r>
    </w:p>
    <w:p w:rsidR="002E77F2" w:rsidRDefault="002E77F2" w:rsidP="00AB70F1">
      <w:pPr>
        <w:pStyle w:val="EndnoteText"/>
        <w:ind w:left="360" w:hanging="360"/>
      </w:pPr>
    </w:p>
  </w:endnote>
  <w:endnote w:id="16">
    <w:p w:rsidR="002E77F2" w:rsidRPr="00EC4E2B" w:rsidRDefault="002E77F2" w:rsidP="00AB70F1">
      <w:pPr>
        <w:pStyle w:val="EndnoteText"/>
        <w:ind w:left="360" w:hanging="360"/>
        <w:rPr>
          <w:sz w:val="22"/>
        </w:rPr>
      </w:pPr>
      <w:r>
        <w:rPr>
          <w:rStyle w:val="EndnoteReference"/>
        </w:rPr>
        <w:endnoteRef/>
      </w:r>
      <w:r>
        <w:t xml:space="preserve"> </w:t>
      </w:r>
      <w:r w:rsidRPr="00212ECC">
        <w:rPr>
          <w:sz w:val="22"/>
        </w:rPr>
        <w:t>Packham, J., Griswold, T., Jorgensen, T., Etchegoyhen, L., and Marchand, C. (2016). Physician Workforce in Nevada – 2016 Edition. Reno, NV: Office of Statewide Initiatives, University of Nevada School of Medicine.</w:t>
      </w:r>
    </w:p>
  </w:endnote>
  <w:endnote w:id="17">
    <w:p w:rsidR="002E77F2" w:rsidRDefault="002E77F2" w:rsidP="009B1A79">
      <w:pPr>
        <w:widowControl w:val="0"/>
        <w:tabs>
          <w:tab w:val="left" w:pos="220"/>
          <w:tab w:val="left" w:pos="720"/>
        </w:tabs>
        <w:autoSpaceDE w:val="0"/>
        <w:autoSpaceDN w:val="0"/>
        <w:adjustRightInd w:val="0"/>
        <w:spacing w:before="0" w:after="0"/>
        <w:ind w:left="360" w:hanging="360"/>
        <w:jc w:val="both"/>
      </w:pPr>
      <w:r w:rsidRPr="00EC4E2B">
        <w:rPr>
          <w:rStyle w:val="EndnoteReference"/>
        </w:rPr>
        <w:endnoteRef/>
      </w:r>
      <w:r w:rsidRPr="00EC4E2B">
        <w:rPr>
          <w:sz w:val="22"/>
        </w:rPr>
        <w:t xml:space="preserve"> Marchand, C., Packham, J., Griswold, T., Etchegoyhen, L., and Jorgensen, T. (2016). Health Workforce Supply in Nevada – 2016 Edition. Reno, NV: Office of Statewide Initiatives, University of Nevada School of Medicine.</w:t>
      </w:r>
    </w:p>
  </w:endnote>
  <w:endnote w:id="18">
    <w:p w:rsidR="002E77F2" w:rsidRDefault="002E77F2" w:rsidP="005D2B0D">
      <w:pPr>
        <w:widowControl w:val="0"/>
        <w:spacing w:before="0" w:after="0"/>
        <w:ind w:left="360" w:hanging="360"/>
        <w:jc w:val="both"/>
        <w:rPr>
          <w:sz w:val="18"/>
          <w:szCs w:val="18"/>
        </w:rPr>
      </w:pPr>
      <w:r>
        <w:rPr>
          <w:rStyle w:val="EndnoteReference"/>
        </w:rPr>
        <w:endnoteRef/>
      </w:r>
      <w:r>
        <w:t xml:space="preserve"> </w:t>
      </w:r>
      <w:r w:rsidRPr="009B1A79">
        <w:rPr>
          <w:sz w:val="22"/>
          <w:szCs w:val="18"/>
        </w:rPr>
        <w:t xml:space="preserve">Schwarcz, S.K., Hsu, L., Chin, C.S., Richards, T.A., Frank, H., Wenzel, C., &amp; Dilley, J. (2011). Do people who develop HIV stage 3 (AIDS) within 12 months of HIV diagnosis delay HIV testing? </w:t>
      </w:r>
      <w:r w:rsidRPr="009B1A79">
        <w:rPr>
          <w:i/>
          <w:iCs/>
          <w:sz w:val="22"/>
          <w:szCs w:val="18"/>
        </w:rPr>
        <w:t>Public Health Reports</w:t>
      </w:r>
      <w:r w:rsidRPr="009B1A79">
        <w:rPr>
          <w:sz w:val="22"/>
          <w:szCs w:val="18"/>
        </w:rPr>
        <w:t>,</w:t>
      </w:r>
      <w:r w:rsidRPr="009B1A79">
        <w:rPr>
          <w:i/>
          <w:iCs/>
          <w:sz w:val="22"/>
          <w:szCs w:val="18"/>
        </w:rPr>
        <w:t>126</w:t>
      </w:r>
      <w:r w:rsidRPr="009B1A79">
        <w:rPr>
          <w:sz w:val="22"/>
          <w:szCs w:val="18"/>
        </w:rPr>
        <w:t xml:space="preserve">(4), 552-9. </w:t>
      </w:r>
    </w:p>
    <w:p w:rsidR="002E77F2" w:rsidRDefault="002E77F2" w:rsidP="005D2B0D">
      <w:pPr>
        <w:pStyle w:val="EndnoteText"/>
      </w:pPr>
    </w:p>
    <w:p w:rsidR="002E77F2" w:rsidRPr="00591764" w:rsidRDefault="002E77F2" w:rsidP="005D2B0D">
      <w:pPr>
        <w:pStyle w:val="EndnoteText"/>
        <w:rPr>
          <w:sz w:val="22"/>
          <w:szCs w:val="22"/>
        </w:rPr>
      </w:pPr>
      <w:r w:rsidRPr="00591764">
        <w:rPr>
          <w:sz w:val="22"/>
          <w:szCs w:val="22"/>
        </w:rPr>
        <w:t xml:space="preserve">Image credits front cover: </w:t>
      </w:r>
    </w:p>
    <w:p w:rsidR="002E77F2" w:rsidRDefault="002E77F2" w:rsidP="00591764">
      <w:pPr>
        <w:pStyle w:val="EndnoteText"/>
        <w:ind w:left="720"/>
        <w:rPr>
          <w:sz w:val="22"/>
          <w:szCs w:val="22"/>
        </w:rPr>
      </w:pPr>
      <w:r w:rsidRPr="00591764">
        <w:rPr>
          <w:sz w:val="22"/>
          <w:szCs w:val="22"/>
        </w:rPr>
        <w:t>Nevada graphic created by Ted Grajeda from Noun Project</w:t>
      </w:r>
      <w:r>
        <w:rPr>
          <w:sz w:val="22"/>
          <w:szCs w:val="22"/>
        </w:rPr>
        <w:t xml:space="preserve"> </w:t>
      </w:r>
      <w:hyperlink r:id="rId4" w:history="1">
        <w:r w:rsidRPr="00ED2589">
          <w:rPr>
            <w:rStyle w:val="Hyperlink"/>
            <w:sz w:val="22"/>
            <w:szCs w:val="22"/>
          </w:rPr>
          <w:t>https://thenounproject.com/</w:t>
        </w:r>
      </w:hyperlink>
    </w:p>
    <w:p w:rsidR="002E77F2" w:rsidRDefault="002E77F2" w:rsidP="00591764">
      <w:pPr>
        <w:pStyle w:val="EndnoteText"/>
        <w:ind w:left="720"/>
        <w:rPr>
          <w:sz w:val="22"/>
          <w:szCs w:val="22"/>
        </w:rPr>
      </w:pPr>
      <w:r w:rsidRPr="00591764">
        <w:rPr>
          <w:sz w:val="22"/>
          <w:szCs w:val="22"/>
        </w:rPr>
        <w:t>Ribbon graphic created by Sergey Demushkin from Noun Project</w:t>
      </w:r>
      <w:r>
        <w:rPr>
          <w:sz w:val="22"/>
          <w:szCs w:val="22"/>
        </w:rPr>
        <w:t xml:space="preserve"> </w:t>
      </w:r>
      <w:hyperlink r:id="rId5" w:history="1">
        <w:r w:rsidRPr="00ED2589">
          <w:rPr>
            <w:rStyle w:val="Hyperlink"/>
            <w:sz w:val="22"/>
            <w:szCs w:val="22"/>
          </w:rPr>
          <w:t>https://thenounproject.com/</w:t>
        </w:r>
      </w:hyperlink>
    </w:p>
    <w:p w:rsidR="002E77F2" w:rsidRPr="00591764" w:rsidRDefault="002E77F2" w:rsidP="005D2B0D">
      <w:pPr>
        <w:pStyle w:val="EndnoteText"/>
        <w:rPr>
          <w:sz w:val="22"/>
          <w:szCs w:val="22"/>
        </w:rPr>
      </w:pPr>
    </w:p>
    <w:p w:rsidR="002E77F2" w:rsidRDefault="002E77F2" w:rsidP="005D2B0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462757"/>
      <w:docPartObj>
        <w:docPartGallery w:val="Page Numbers (Bottom of Page)"/>
        <w:docPartUnique/>
      </w:docPartObj>
    </w:sdtPr>
    <w:sdtEndPr>
      <w:rPr>
        <w:noProof/>
      </w:rPr>
    </w:sdtEndPr>
    <w:sdtContent>
      <w:p w:rsidR="002E77F2" w:rsidRDefault="002E77F2" w:rsidP="00F91892">
        <w:pPr>
          <w:pStyle w:val="Footer"/>
          <w:jc w:val="right"/>
        </w:pPr>
        <w:r>
          <w:fldChar w:fldCharType="begin"/>
        </w:r>
        <w:r>
          <w:instrText xml:space="preserve"> PAGE   \* MERGEFORMAT </w:instrText>
        </w:r>
        <w:r>
          <w:fldChar w:fldCharType="separate"/>
        </w:r>
        <w:r w:rsidR="00C178CB">
          <w:rPr>
            <w:noProof/>
          </w:rPr>
          <w:t>94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663642"/>
      <w:docPartObj>
        <w:docPartGallery w:val="Page Numbers (Bottom of Page)"/>
        <w:docPartUnique/>
      </w:docPartObj>
    </w:sdtPr>
    <w:sdtEndPr>
      <w:rPr>
        <w:noProof/>
      </w:rPr>
    </w:sdtEndPr>
    <w:sdtContent>
      <w:p w:rsidR="002E77F2" w:rsidRDefault="002E77F2" w:rsidP="009B63AA">
        <w:pPr>
          <w:pStyle w:val="Footer"/>
          <w:tabs>
            <w:tab w:val="clear" w:pos="9360"/>
            <w:tab w:val="right" w:pos="12960"/>
          </w:tabs>
        </w:pPr>
        <w:r w:rsidRPr="00C24487">
          <w:rPr>
            <w:rFonts w:cs="Calibri Light"/>
            <w:bCs/>
            <w:sz w:val="18"/>
            <w:szCs w:val="18"/>
          </w:rPr>
          <w:t>Nevada Integrated HIV Prevention and Care Plan 2017-2021</w:t>
        </w:r>
        <w:r>
          <w:rPr>
            <w:rFonts w:cs="Calibri Light"/>
            <w:b/>
            <w:bCs/>
            <w:szCs w:val="22"/>
          </w:rPr>
          <w:tab/>
        </w:r>
        <w:r>
          <w:t xml:space="preserve"> </w:t>
        </w:r>
        <w:r>
          <w:tab/>
        </w:r>
        <w:r>
          <w:fldChar w:fldCharType="begin"/>
        </w:r>
        <w:r>
          <w:instrText xml:space="preserve"> PAGE   \* MERGEFORMAT </w:instrText>
        </w:r>
        <w:r>
          <w:fldChar w:fldCharType="separate"/>
        </w:r>
        <w:r w:rsidR="00C178CB">
          <w:rPr>
            <w:noProof/>
          </w:rPr>
          <w:t>97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210565"/>
      <w:docPartObj>
        <w:docPartGallery w:val="Page Numbers (Bottom of Page)"/>
        <w:docPartUnique/>
      </w:docPartObj>
    </w:sdtPr>
    <w:sdtEndPr>
      <w:rPr>
        <w:noProof/>
      </w:rPr>
    </w:sdtEndPr>
    <w:sdtContent>
      <w:p w:rsidR="002E77F2" w:rsidRDefault="002E77F2" w:rsidP="00F91892">
        <w:pPr>
          <w:pStyle w:val="Footer"/>
          <w:jc w:val="right"/>
        </w:pPr>
        <w:r>
          <w:fldChar w:fldCharType="begin"/>
        </w:r>
        <w:r>
          <w:instrText xml:space="preserve"> PAGE   \* MERGEFORMAT </w:instrText>
        </w:r>
        <w:r>
          <w:fldChar w:fldCharType="separate"/>
        </w:r>
        <w:r w:rsidR="00C178CB">
          <w:rPr>
            <w:noProof/>
          </w:rPr>
          <w:t>172</w:t>
        </w:r>
        <w:r>
          <w:rPr>
            <w:noProof/>
          </w:rPr>
          <w:fldChar w:fldCharType="end"/>
        </w:r>
      </w:p>
    </w:sdtContent>
  </w:sdt>
  <w:p w:rsidR="002E77F2" w:rsidRDefault="002E77F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2985"/>
      <w:docPartObj>
        <w:docPartGallery w:val="Page Numbers (Bottom of Page)"/>
        <w:docPartUnique/>
      </w:docPartObj>
    </w:sdtPr>
    <w:sdtEndPr>
      <w:rPr>
        <w:noProof/>
      </w:rPr>
    </w:sdtEndPr>
    <w:sdtContent>
      <w:p w:rsidR="002E77F2" w:rsidRDefault="002E77F2" w:rsidP="009B63AA">
        <w:pPr>
          <w:pStyle w:val="Footer"/>
          <w:tabs>
            <w:tab w:val="clear" w:pos="9360"/>
            <w:tab w:val="right" w:pos="12960"/>
          </w:tabs>
        </w:pPr>
        <w:r w:rsidRPr="00C24487">
          <w:rPr>
            <w:rFonts w:cs="Calibri Light"/>
            <w:bCs/>
            <w:sz w:val="18"/>
            <w:szCs w:val="18"/>
          </w:rPr>
          <w:t>Nevada Integrated HIV Prevention and Care Plan 2017-2021</w:t>
        </w:r>
        <w:r>
          <w:rPr>
            <w:rFonts w:cs="Calibri Light"/>
            <w:b/>
            <w:bCs/>
            <w:szCs w:val="22"/>
          </w:rPr>
          <w:tab/>
        </w:r>
        <w:r>
          <w:t xml:space="preserve"> </w:t>
        </w:r>
        <w:r>
          <w:tab/>
          <w:t xml:space="preserve">    </w:t>
        </w:r>
        <w:r>
          <w:fldChar w:fldCharType="begin"/>
        </w:r>
        <w:r>
          <w:instrText xml:space="preserve"> PAGE   \* MERGEFORMAT </w:instrText>
        </w:r>
        <w:r>
          <w:fldChar w:fldCharType="separate"/>
        </w:r>
        <w:r w:rsidR="00C178CB">
          <w:rPr>
            <w:noProof/>
          </w:rPr>
          <w:t>173</w:t>
        </w:r>
        <w:r>
          <w:rPr>
            <w:noProof/>
          </w:rPr>
          <w:fldChar w:fldCharType="end"/>
        </w:r>
      </w:p>
    </w:sdtContent>
  </w:sdt>
  <w:p w:rsidR="002E77F2" w:rsidRDefault="002E77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F2" w:rsidRDefault="002E77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7F2" w:rsidRDefault="002E77F2" w:rsidP="00496C66">
      <w:pPr>
        <w:spacing w:before="0" w:after="0" w:line="240" w:lineRule="auto"/>
      </w:pPr>
      <w:r>
        <w:separator/>
      </w:r>
    </w:p>
  </w:footnote>
  <w:footnote w:type="continuationSeparator" w:id="0">
    <w:p w:rsidR="002E77F2" w:rsidRDefault="002E77F2" w:rsidP="00496C6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F2" w:rsidRDefault="002E77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F2" w:rsidRDefault="002E77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F2" w:rsidRDefault="002E77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1F5EE0F0"/>
    <w:lvl w:ilvl="0" w:tplc="0BA8AFDA">
      <w:start w:val="1"/>
      <w:numFmt w:val="lowerLetter"/>
      <w:lvlText w:val="%1."/>
      <w:lvlJc w:val="left"/>
      <w:pPr>
        <w:ind w:left="720" w:hanging="360"/>
      </w:pPr>
      <w:rPr>
        <w:rFonts w:ascii="Times New Roman" w:eastAsia="Times New Roman" w:hAnsi="Times New Roman" w:cs="Times New Roman"/>
      </w:rPr>
    </w:lvl>
    <w:lvl w:ilvl="1" w:tplc="00000002">
      <w:start w:val="1"/>
      <w:numFmt w:val="lowerRoman"/>
      <w:lvlText w:val="%2."/>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2"/>
      <w:numFmt w:val="lowerRoman"/>
      <w:lvlText w:val="%1."/>
      <w:lvlJc w:val="left"/>
      <w:pPr>
        <w:ind w:left="180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35B65A9"/>
    <w:multiLevelType w:val="hybridMultilevel"/>
    <w:tmpl w:val="184A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A3C67"/>
    <w:multiLevelType w:val="hybridMultilevel"/>
    <w:tmpl w:val="FF62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D0B42"/>
    <w:multiLevelType w:val="hybridMultilevel"/>
    <w:tmpl w:val="4A34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484F"/>
    <w:multiLevelType w:val="hybridMultilevel"/>
    <w:tmpl w:val="9E0A68CE"/>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6D473A"/>
    <w:multiLevelType w:val="hybridMultilevel"/>
    <w:tmpl w:val="59C6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60DB4"/>
    <w:multiLevelType w:val="hybridMultilevel"/>
    <w:tmpl w:val="D8B4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510FC"/>
    <w:multiLevelType w:val="hybridMultilevel"/>
    <w:tmpl w:val="7014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12D49"/>
    <w:multiLevelType w:val="hybridMultilevel"/>
    <w:tmpl w:val="34A2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52565"/>
    <w:multiLevelType w:val="hybridMultilevel"/>
    <w:tmpl w:val="9032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D6F72"/>
    <w:multiLevelType w:val="hybridMultilevel"/>
    <w:tmpl w:val="8D800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950787"/>
    <w:multiLevelType w:val="hybridMultilevel"/>
    <w:tmpl w:val="E566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B9685B"/>
    <w:multiLevelType w:val="hybridMultilevel"/>
    <w:tmpl w:val="60B6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2F1F1E"/>
    <w:multiLevelType w:val="hybridMultilevel"/>
    <w:tmpl w:val="182E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484024"/>
    <w:multiLevelType w:val="hybridMultilevel"/>
    <w:tmpl w:val="E9AE783A"/>
    <w:lvl w:ilvl="0" w:tplc="00000002">
      <w:start w:val="1"/>
      <w:numFmt w:val="lowerRoman"/>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0919B5"/>
    <w:multiLevelType w:val="hybridMultilevel"/>
    <w:tmpl w:val="F552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010133"/>
    <w:multiLevelType w:val="hybridMultilevel"/>
    <w:tmpl w:val="5B76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2F5BBC"/>
    <w:multiLevelType w:val="hybridMultilevel"/>
    <w:tmpl w:val="45E2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429BC"/>
    <w:multiLevelType w:val="hybridMultilevel"/>
    <w:tmpl w:val="867C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526EF9"/>
    <w:multiLevelType w:val="hybridMultilevel"/>
    <w:tmpl w:val="FD24DA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2001C03"/>
    <w:multiLevelType w:val="hybridMultilevel"/>
    <w:tmpl w:val="396653DC"/>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39956CE"/>
    <w:multiLevelType w:val="hybridMultilevel"/>
    <w:tmpl w:val="EA567B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91D7D2C"/>
    <w:multiLevelType w:val="hybridMultilevel"/>
    <w:tmpl w:val="4DE851AA"/>
    <w:lvl w:ilvl="0" w:tplc="E3C000DC">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2B504A9B"/>
    <w:multiLevelType w:val="multilevel"/>
    <w:tmpl w:val="D6E24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7F684D"/>
    <w:multiLevelType w:val="hybridMultilevel"/>
    <w:tmpl w:val="1ABE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BE73AC"/>
    <w:multiLevelType w:val="hybridMultilevel"/>
    <w:tmpl w:val="CFD8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257653"/>
    <w:multiLevelType w:val="hybridMultilevel"/>
    <w:tmpl w:val="1AE6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A87E06"/>
    <w:multiLevelType w:val="hybridMultilevel"/>
    <w:tmpl w:val="07B4F4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75F7A38"/>
    <w:multiLevelType w:val="hybridMultilevel"/>
    <w:tmpl w:val="F548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042678"/>
    <w:multiLevelType w:val="hybridMultilevel"/>
    <w:tmpl w:val="728620F2"/>
    <w:lvl w:ilvl="0" w:tplc="3C0AC536">
      <w:start w:val="1"/>
      <w:numFmt w:val="lowerLetter"/>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A9C22B3"/>
    <w:multiLevelType w:val="hybridMultilevel"/>
    <w:tmpl w:val="D338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9C37DD"/>
    <w:multiLevelType w:val="hybridMultilevel"/>
    <w:tmpl w:val="ACD8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EF71F8"/>
    <w:multiLevelType w:val="hybridMultilevel"/>
    <w:tmpl w:val="EFAC2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8A0609"/>
    <w:multiLevelType w:val="hybridMultilevel"/>
    <w:tmpl w:val="8416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DB4294"/>
    <w:multiLevelType w:val="hybridMultilevel"/>
    <w:tmpl w:val="C220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4E6C37"/>
    <w:multiLevelType w:val="hybridMultilevel"/>
    <w:tmpl w:val="4B0A2FB4"/>
    <w:lvl w:ilvl="0" w:tplc="9D3CB0A6">
      <w:start w:val="1"/>
      <w:numFmt w:val="lowerLetter"/>
      <w:lvlText w:val="%1."/>
      <w:lvlJc w:val="left"/>
      <w:pPr>
        <w:ind w:left="1080" w:hanging="360"/>
      </w:pPr>
      <w:rPr>
        <w:rFonts w:ascii="Calibri" w:hAnsi="Calibri" w:cs="Times New Roman" w:hint="default"/>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44D558B1"/>
    <w:multiLevelType w:val="hybridMultilevel"/>
    <w:tmpl w:val="7DB8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B86F0C"/>
    <w:multiLevelType w:val="hybridMultilevel"/>
    <w:tmpl w:val="C626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4F7816"/>
    <w:multiLevelType w:val="hybridMultilevel"/>
    <w:tmpl w:val="7322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EB2A68"/>
    <w:multiLevelType w:val="hybridMultilevel"/>
    <w:tmpl w:val="09C4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553FC5"/>
    <w:multiLevelType w:val="hybridMultilevel"/>
    <w:tmpl w:val="5002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D71437"/>
    <w:multiLevelType w:val="hybridMultilevel"/>
    <w:tmpl w:val="68AC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1C0B03"/>
    <w:multiLevelType w:val="hybridMultilevel"/>
    <w:tmpl w:val="536E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C1296D"/>
    <w:multiLevelType w:val="hybridMultilevel"/>
    <w:tmpl w:val="E1563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75D60E1"/>
    <w:multiLevelType w:val="hybridMultilevel"/>
    <w:tmpl w:val="E84C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E24D91"/>
    <w:multiLevelType w:val="hybridMultilevel"/>
    <w:tmpl w:val="0008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E21442"/>
    <w:multiLevelType w:val="hybridMultilevel"/>
    <w:tmpl w:val="D234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781A1A"/>
    <w:multiLevelType w:val="hybridMultilevel"/>
    <w:tmpl w:val="1E9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CC192A"/>
    <w:multiLevelType w:val="hybridMultilevel"/>
    <w:tmpl w:val="4214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E17A1D"/>
    <w:multiLevelType w:val="hybridMultilevel"/>
    <w:tmpl w:val="0992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107DE9"/>
    <w:multiLevelType w:val="hybridMultilevel"/>
    <w:tmpl w:val="2E78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84413D"/>
    <w:multiLevelType w:val="hybridMultilevel"/>
    <w:tmpl w:val="F06C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7A49E3"/>
    <w:multiLevelType w:val="hybridMultilevel"/>
    <w:tmpl w:val="3552D12E"/>
    <w:lvl w:ilvl="0" w:tplc="552CCF7C">
      <w:start w:val="2"/>
      <w:numFmt w:val="lowerLetter"/>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5470635"/>
    <w:multiLevelType w:val="hybridMultilevel"/>
    <w:tmpl w:val="8C66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8626AA"/>
    <w:multiLevelType w:val="hybridMultilevel"/>
    <w:tmpl w:val="D19E4DB2"/>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9E22C32"/>
    <w:multiLevelType w:val="hybridMultilevel"/>
    <w:tmpl w:val="8054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A97DD8"/>
    <w:multiLevelType w:val="hybridMultilevel"/>
    <w:tmpl w:val="2FD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9D7471"/>
    <w:multiLevelType w:val="hybridMultilevel"/>
    <w:tmpl w:val="7BEC9338"/>
    <w:lvl w:ilvl="0" w:tplc="BA444F52">
      <w:start w:val="2"/>
      <w:numFmt w:val="lowerLetter"/>
      <w:lvlText w:val="%1."/>
      <w:lvlJc w:val="left"/>
      <w:pPr>
        <w:ind w:left="720" w:hanging="360"/>
      </w:pPr>
      <w:rPr>
        <w:rFonts w:eastAsiaTheme="minorEastAsia"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
    <w:lvlOverride w:ilvl="0">
      <w:startOverride w:val="2"/>
    </w:lvlOverride>
    <w:lvlOverride w:ilvl="1"/>
    <w:lvlOverride w:ilvl="2"/>
    <w:lvlOverride w:ilvl="3"/>
    <w:lvlOverride w:ilvl="4"/>
    <w:lvlOverride w:ilvl="5"/>
    <w:lvlOverride w:ilvl="6"/>
    <w:lvlOverride w:ilvl="7"/>
    <w:lvlOverride w:ilvl="8"/>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51"/>
  </w:num>
  <w:num w:numId="15">
    <w:abstractNumId w:val="2"/>
  </w:num>
  <w:num w:numId="16">
    <w:abstractNumId w:val="56"/>
  </w:num>
  <w:num w:numId="17">
    <w:abstractNumId w:val="49"/>
  </w:num>
  <w:num w:numId="18">
    <w:abstractNumId w:val="46"/>
  </w:num>
  <w:num w:numId="19">
    <w:abstractNumId w:val="38"/>
  </w:num>
  <w:num w:numId="20">
    <w:abstractNumId w:val="4"/>
  </w:num>
  <w:num w:numId="21">
    <w:abstractNumId w:val="24"/>
  </w:num>
  <w:num w:numId="22">
    <w:abstractNumId w:val="25"/>
  </w:num>
  <w:num w:numId="23">
    <w:abstractNumId w:val="10"/>
  </w:num>
  <w:num w:numId="24">
    <w:abstractNumId w:val="42"/>
  </w:num>
  <w:num w:numId="25">
    <w:abstractNumId w:val="26"/>
  </w:num>
  <w:num w:numId="26">
    <w:abstractNumId w:val="12"/>
  </w:num>
  <w:num w:numId="27">
    <w:abstractNumId w:val="50"/>
  </w:num>
  <w:num w:numId="28">
    <w:abstractNumId w:val="57"/>
  </w:num>
  <w:num w:numId="29">
    <w:abstractNumId w:val="33"/>
  </w:num>
  <w:num w:numId="30">
    <w:abstractNumId w:val="41"/>
  </w:num>
  <w:num w:numId="31">
    <w:abstractNumId w:val="19"/>
  </w:num>
  <w:num w:numId="32">
    <w:abstractNumId w:val="43"/>
  </w:num>
  <w:num w:numId="33">
    <w:abstractNumId w:val="14"/>
  </w:num>
  <w:num w:numId="34">
    <w:abstractNumId w:val="37"/>
  </w:num>
  <w:num w:numId="35">
    <w:abstractNumId w:val="13"/>
  </w:num>
  <w:num w:numId="36">
    <w:abstractNumId w:val="52"/>
  </w:num>
  <w:num w:numId="37">
    <w:abstractNumId w:val="40"/>
  </w:num>
  <w:num w:numId="38">
    <w:abstractNumId w:val="6"/>
  </w:num>
  <w:num w:numId="39">
    <w:abstractNumId w:val="3"/>
  </w:num>
  <w:num w:numId="40">
    <w:abstractNumId w:val="8"/>
  </w:num>
  <w:num w:numId="41">
    <w:abstractNumId w:val="16"/>
  </w:num>
  <w:num w:numId="42">
    <w:abstractNumId w:val="35"/>
  </w:num>
  <w:num w:numId="43">
    <w:abstractNumId w:val="11"/>
  </w:num>
  <w:num w:numId="44">
    <w:abstractNumId w:val="44"/>
  </w:num>
  <w:num w:numId="45">
    <w:abstractNumId w:val="17"/>
  </w:num>
  <w:num w:numId="46">
    <w:abstractNumId w:val="31"/>
  </w:num>
  <w:num w:numId="47">
    <w:abstractNumId w:val="18"/>
  </w:num>
  <w:num w:numId="48">
    <w:abstractNumId w:val="32"/>
  </w:num>
  <w:num w:numId="49">
    <w:abstractNumId w:val="27"/>
  </w:num>
  <w:num w:numId="50">
    <w:abstractNumId w:val="54"/>
  </w:num>
  <w:num w:numId="51">
    <w:abstractNumId w:val="47"/>
  </w:num>
  <w:num w:numId="52">
    <w:abstractNumId w:val="7"/>
  </w:num>
  <w:num w:numId="53">
    <w:abstractNumId w:val="34"/>
  </w:num>
  <w:num w:numId="54">
    <w:abstractNumId w:val="48"/>
  </w:num>
  <w:num w:numId="55">
    <w:abstractNumId w:val="45"/>
  </w:num>
  <w:num w:numId="56">
    <w:abstractNumId w:val="39"/>
  </w:num>
  <w:num w:numId="57">
    <w:abstractNumId w:val="9"/>
  </w:num>
  <w:num w:numId="58">
    <w:abstractNumId w:val="5"/>
  </w:num>
  <w:num w:numId="59">
    <w:abstractNumId w:val="5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evenAndOddHeaders/>
  <w:characterSpacingControl w:val="doNotCompress"/>
  <w:hdrShapeDefaults>
    <o:shapedefaults v:ext="edit" spidmax="2252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FE8"/>
    <w:rsid w:val="00005507"/>
    <w:rsid w:val="00006842"/>
    <w:rsid w:val="00012F81"/>
    <w:rsid w:val="0001340D"/>
    <w:rsid w:val="00024439"/>
    <w:rsid w:val="000278D6"/>
    <w:rsid w:val="0003390D"/>
    <w:rsid w:val="00036B69"/>
    <w:rsid w:val="00041B96"/>
    <w:rsid w:val="00051A8F"/>
    <w:rsid w:val="000525C4"/>
    <w:rsid w:val="000578DC"/>
    <w:rsid w:val="00080EFE"/>
    <w:rsid w:val="00081657"/>
    <w:rsid w:val="0008616B"/>
    <w:rsid w:val="00091B93"/>
    <w:rsid w:val="00091FAE"/>
    <w:rsid w:val="00093122"/>
    <w:rsid w:val="000944B9"/>
    <w:rsid w:val="00094921"/>
    <w:rsid w:val="000971CF"/>
    <w:rsid w:val="000B49F4"/>
    <w:rsid w:val="000B7BF6"/>
    <w:rsid w:val="000C63B3"/>
    <w:rsid w:val="000D1265"/>
    <w:rsid w:val="000D568A"/>
    <w:rsid w:val="000D7918"/>
    <w:rsid w:val="000E08E2"/>
    <w:rsid w:val="000E6F65"/>
    <w:rsid w:val="00102278"/>
    <w:rsid w:val="00105811"/>
    <w:rsid w:val="00105FF2"/>
    <w:rsid w:val="00107127"/>
    <w:rsid w:val="00107A4C"/>
    <w:rsid w:val="00125D7B"/>
    <w:rsid w:val="001446FE"/>
    <w:rsid w:val="00144EFD"/>
    <w:rsid w:val="00157DDD"/>
    <w:rsid w:val="00176BDE"/>
    <w:rsid w:val="0018310A"/>
    <w:rsid w:val="001871AD"/>
    <w:rsid w:val="001A24A2"/>
    <w:rsid w:val="001B146B"/>
    <w:rsid w:val="001B2AE4"/>
    <w:rsid w:val="001B7CF4"/>
    <w:rsid w:val="001C15BA"/>
    <w:rsid w:val="001C41E2"/>
    <w:rsid w:val="001D2F05"/>
    <w:rsid w:val="001E1359"/>
    <w:rsid w:val="001F1901"/>
    <w:rsid w:val="002019C8"/>
    <w:rsid w:val="0020248F"/>
    <w:rsid w:val="00212299"/>
    <w:rsid w:val="00212ECC"/>
    <w:rsid w:val="00214D0F"/>
    <w:rsid w:val="0021664D"/>
    <w:rsid w:val="002320EC"/>
    <w:rsid w:val="0023219D"/>
    <w:rsid w:val="00234177"/>
    <w:rsid w:val="00234241"/>
    <w:rsid w:val="00235695"/>
    <w:rsid w:val="00236126"/>
    <w:rsid w:val="00245E82"/>
    <w:rsid w:val="00246341"/>
    <w:rsid w:val="0024671C"/>
    <w:rsid w:val="00264FB3"/>
    <w:rsid w:val="00266270"/>
    <w:rsid w:val="002773D9"/>
    <w:rsid w:val="00280D56"/>
    <w:rsid w:val="002810EC"/>
    <w:rsid w:val="002833CA"/>
    <w:rsid w:val="00293AAD"/>
    <w:rsid w:val="002954B8"/>
    <w:rsid w:val="002A582E"/>
    <w:rsid w:val="002A7835"/>
    <w:rsid w:val="002C15FB"/>
    <w:rsid w:val="002D5068"/>
    <w:rsid w:val="002E16DE"/>
    <w:rsid w:val="002E77F2"/>
    <w:rsid w:val="002F2DAD"/>
    <w:rsid w:val="002F601A"/>
    <w:rsid w:val="0030131D"/>
    <w:rsid w:val="00303AC3"/>
    <w:rsid w:val="00303CC8"/>
    <w:rsid w:val="00315982"/>
    <w:rsid w:val="00317602"/>
    <w:rsid w:val="00324B41"/>
    <w:rsid w:val="003317C9"/>
    <w:rsid w:val="00334745"/>
    <w:rsid w:val="00341D0E"/>
    <w:rsid w:val="00342034"/>
    <w:rsid w:val="00346318"/>
    <w:rsid w:val="003556EE"/>
    <w:rsid w:val="00361ACA"/>
    <w:rsid w:val="00362476"/>
    <w:rsid w:val="00365B62"/>
    <w:rsid w:val="00365BC4"/>
    <w:rsid w:val="003713C3"/>
    <w:rsid w:val="00377519"/>
    <w:rsid w:val="003A5EF2"/>
    <w:rsid w:val="003B6D8C"/>
    <w:rsid w:val="003C3AD0"/>
    <w:rsid w:val="003C46A7"/>
    <w:rsid w:val="003C4C6E"/>
    <w:rsid w:val="003C4E74"/>
    <w:rsid w:val="003C7372"/>
    <w:rsid w:val="003D763A"/>
    <w:rsid w:val="003E05A4"/>
    <w:rsid w:val="003E6822"/>
    <w:rsid w:val="003F61BC"/>
    <w:rsid w:val="0040650B"/>
    <w:rsid w:val="00414AAD"/>
    <w:rsid w:val="00424743"/>
    <w:rsid w:val="0044141C"/>
    <w:rsid w:val="00444D50"/>
    <w:rsid w:val="00445A1C"/>
    <w:rsid w:val="00452644"/>
    <w:rsid w:val="00456D53"/>
    <w:rsid w:val="00461CFB"/>
    <w:rsid w:val="00464941"/>
    <w:rsid w:val="00465ED1"/>
    <w:rsid w:val="00467B51"/>
    <w:rsid w:val="004848C5"/>
    <w:rsid w:val="00496C66"/>
    <w:rsid w:val="004A3B28"/>
    <w:rsid w:val="004B42C1"/>
    <w:rsid w:val="004B752A"/>
    <w:rsid w:val="004C281E"/>
    <w:rsid w:val="004C7D99"/>
    <w:rsid w:val="004D5E21"/>
    <w:rsid w:val="004F017E"/>
    <w:rsid w:val="004F1C99"/>
    <w:rsid w:val="005031F6"/>
    <w:rsid w:val="00506112"/>
    <w:rsid w:val="00512FE8"/>
    <w:rsid w:val="00517EF6"/>
    <w:rsid w:val="00526310"/>
    <w:rsid w:val="0052638C"/>
    <w:rsid w:val="005424CC"/>
    <w:rsid w:val="00545FE8"/>
    <w:rsid w:val="00546432"/>
    <w:rsid w:val="00546460"/>
    <w:rsid w:val="005524E1"/>
    <w:rsid w:val="00552599"/>
    <w:rsid w:val="00552A19"/>
    <w:rsid w:val="00555C0F"/>
    <w:rsid w:val="005633D7"/>
    <w:rsid w:val="00564B2F"/>
    <w:rsid w:val="00566304"/>
    <w:rsid w:val="00570EEB"/>
    <w:rsid w:val="00571507"/>
    <w:rsid w:val="005801E7"/>
    <w:rsid w:val="00587B98"/>
    <w:rsid w:val="0059144C"/>
    <w:rsid w:val="00591764"/>
    <w:rsid w:val="005A1658"/>
    <w:rsid w:val="005A7C49"/>
    <w:rsid w:val="005B066E"/>
    <w:rsid w:val="005B2915"/>
    <w:rsid w:val="005B7B76"/>
    <w:rsid w:val="005C4767"/>
    <w:rsid w:val="005D2B0D"/>
    <w:rsid w:val="005D48A0"/>
    <w:rsid w:val="005D75AA"/>
    <w:rsid w:val="005E70FA"/>
    <w:rsid w:val="005F48B9"/>
    <w:rsid w:val="00600DD6"/>
    <w:rsid w:val="00611B6C"/>
    <w:rsid w:val="0061314E"/>
    <w:rsid w:val="00614DCD"/>
    <w:rsid w:val="00624648"/>
    <w:rsid w:val="00627076"/>
    <w:rsid w:val="0063682B"/>
    <w:rsid w:val="00637EC5"/>
    <w:rsid w:val="0064235A"/>
    <w:rsid w:val="00642DD9"/>
    <w:rsid w:val="006435F9"/>
    <w:rsid w:val="00647744"/>
    <w:rsid w:val="0064783C"/>
    <w:rsid w:val="00650F55"/>
    <w:rsid w:val="006876F3"/>
    <w:rsid w:val="006907E8"/>
    <w:rsid w:val="00695809"/>
    <w:rsid w:val="00696D0F"/>
    <w:rsid w:val="00697880"/>
    <w:rsid w:val="00697F18"/>
    <w:rsid w:val="00697F94"/>
    <w:rsid w:val="006A5AA4"/>
    <w:rsid w:val="006A67FF"/>
    <w:rsid w:val="006E4517"/>
    <w:rsid w:val="006F0308"/>
    <w:rsid w:val="006F49E5"/>
    <w:rsid w:val="007039CB"/>
    <w:rsid w:val="00716B36"/>
    <w:rsid w:val="00723831"/>
    <w:rsid w:val="00724B66"/>
    <w:rsid w:val="007267D4"/>
    <w:rsid w:val="00737254"/>
    <w:rsid w:val="007502A7"/>
    <w:rsid w:val="00751740"/>
    <w:rsid w:val="00752497"/>
    <w:rsid w:val="00753BCD"/>
    <w:rsid w:val="00760B25"/>
    <w:rsid w:val="00793402"/>
    <w:rsid w:val="007952AA"/>
    <w:rsid w:val="00795870"/>
    <w:rsid w:val="00796E28"/>
    <w:rsid w:val="007A3317"/>
    <w:rsid w:val="007A79C2"/>
    <w:rsid w:val="007B027A"/>
    <w:rsid w:val="007B4D98"/>
    <w:rsid w:val="007B5EB6"/>
    <w:rsid w:val="007C0E7C"/>
    <w:rsid w:val="007D15AC"/>
    <w:rsid w:val="007D25DD"/>
    <w:rsid w:val="007D2DAA"/>
    <w:rsid w:val="007D3769"/>
    <w:rsid w:val="007D5268"/>
    <w:rsid w:val="007F0FB0"/>
    <w:rsid w:val="007F2D44"/>
    <w:rsid w:val="00801B05"/>
    <w:rsid w:val="00801DCA"/>
    <w:rsid w:val="0081085D"/>
    <w:rsid w:val="008111BE"/>
    <w:rsid w:val="00817D10"/>
    <w:rsid w:val="00824F98"/>
    <w:rsid w:val="008337CD"/>
    <w:rsid w:val="00836454"/>
    <w:rsid w:val="00837A89"/>
    <w:rsid w:val="0084394F"/>
    <w:rsid w:val="00843D3A"/>
    <w:rsid w:val="00851558"/>
    <w:rsid w:val="00855BEB"/>
    <w:rsid w:val="00860889"/>
    <w:rsid w:val="00884FDA"/>
    <w:rsid w:val="008A1BC1"/>
    <w:rsid w:val="008A232C"/>
    <w:rsid w:val="008A385E"/>
    <w:rsid w:val="008A4791"/>
    <w:rsid w:val="008B241F"/>
    <w:rsid w:val="008B4D90"/>
    <w:rsid w:val="008C00AB"/>
    <w:rsid w:val="008C0ADC"/>
    <w:rsid w:val="008C5291"/>
    <w:rsid w:val="008D4AC1"/>
    <w:rsid w:val="008D6257"/>
    <w:rsid w:val="008D6B99"/>
    <w:rsid w:val="008E6172"/>
    <w:rsid w:val="008E72A8"/>
    <w:rsid w:val="008F090F"/>
    <w:rsid w:val="008F29A9"/>
    <w:rsid w:val="008F4313"/>
    <w:rsid w:val="00900ED1"/>
    <w:rsid w:val="0091286C"/>
    <w:rsid w:val="00916498"/>
    <w:rsid w:val="0092176C"/>
    <w:rsid w:val="009236D2"/>
    <w:rsid w:val="00926527"/>
    <w:rsid w:val="009272D6"/>
    <w:rsid w:val="00941146"/>
    <w:rsid w:val="0094481E"/>
    <w:rsid w:val="009454B4"/>
    <w:rsid w:val="00961953"/>
    <w:rsid w:val="0096415C"/>
    <w:rsid w:val="0096628E"/>
    <w:rsid w:val="00967788"/>
    <w:rsid w:val="00971ACD"/>
    <w:rsid w:val="00971C39"/>
    <w:rsid w:val="00972193"/>
    <w:rsid w:val="00992E81"/>
    <w:rsid w:val="009B1A79"/>
    <w:rsid w:val="009B3EEB"/>
    <w:rsid w:val="009B42CB"/>
    <w:rsid w:val="009B517F"/>
    <w:rsid w:val="009B63AA"/>
    <w:rsid w:val="009C3C7B"/>
    <w:rsid w:val="009D2AD9"/>
    <w:rsid w:val="009D5398"/>
    <w:rsid w:val="009E1206"/>
    <w:rsid w:val="009F2787"/>
    <w:rsid w:val="00A0400D"/>
    <w:rsid w:val="00A07477"/>
    <w:rsid w:val="00A1599A"/>
    <w:rsid w:val="00A167D2"/>
    <w:rsid w:val="00A21E13"/>
    <w:rsid w:val="00A32916"/>
    <w:rsid w:val="00A33BB7"/>
    <w:rsid w:val="00A369BC"/>
    <w:rsid w:val="00A41CB7"/>
    <w:rsid w:val="00A51D20"/>
    <w:rsid w:val="00A60E12"/>
    <w:rsid w:val="00A61FF3"/>
    <w:rsid w:val="00A63334"/>
    <w:rsid w:val="00A63A7C"/>
    <w:rsid w:val="00A65217"/>
    <w:rsid w:val="00A66C57"/>
    <w:rsid w:val="00A77829"/>
    <w:rsid w:val="00A81AFB"/>
    <w:rsid w:val="00A826FE"/>
    <w:rsid w:val="00A84FC9"/>
    <w:rsid w:val="00A868BC"/>
    <w:rsid w:val="00AA09F2"/>
    <w:rsid w:val="00AA6036"/>
    <w:rsid w:val="00AB70F1"/>
    <w:rsid w:val="00AC222C"/>
    <w:rsid w:val="00AC22C9"/>
    <w:rsid w:val="00AC321D"/>
    <w:rsid w:val="00AC3CFB"/>
    <w:rsid w:val="00AC5CDF"/>
    <w:rsid w:val="00AE50A6"/>
    <w:rsid w:val="00AE78C5"/>
    <w:rsid w:val="00B0316C"/>
    <w:rsid w:val="00B1274E"/>
    <w:rsid w:val="00B24FE9"/>
    <w:rsid w:val="00B413DF"/>
    <w:rsid w:val="00B41730"/>
    <w:rsid w:val="00B469D0"/>
    <w:rsid w:val="00B5044A"/>
    <w:rsid w:val="00B56801"/>
    <w:rsid w:val="00B57288"/>
    <w:rsid w:val="00B63153"/>
    <w:rsid w:val="00B639CA"/>
    <w:rsid w:val="00B64E96"/>
    <w:rsid w:val="00B70E90"/>
    <w:rsid w:val="00B75354"/>
    <w:rsid w:val="00B81827"/>
    <w:rsid w:val="00B85F74"/>
    <w:rsid w:val="00B87048"/>
    <w:rsid w:val="00B923C2"/>
    <w:rsid w:val="00B94CA9"/>
    <w:rsid w:val="00B94E81"/>
    <w:rsid w:val="00BB44BE"/>
    <w:rsid w:val="00BB58F4"/>
    <w:rsid w:val="00BD3841"/>
    <w:rsid w:val="00BD3A95"/>
    <w:rsid w:val="00BD529E"/>
    <w:rsid w:val="00BD58FC"/>
    <w:rsid w:val="00BE44FC"/>
    <w:rsid w:val="00BF74F8"/>
    <w:rsid w:val="00C001D8"/>
    <w:rsid w:val="00C039A0"/>
    <w:rsid w:val="00C04779"/>
    <w:rsid w:val="00C064F0"/>
    <w:rsid w:val="00C079A9"/>
    <w:rsid w:val="00C178CB"/>
    <w:rsid w:val="00C22387"/>
    <w:rsid w:val="00C24487"/>
    <w:rsid w:val="00C2538A"/>
    <w:rsid w:val="00C26637"/>
    <w:rsid w:val="00C271F3"/>
    <w:rsid w:val="00C33624"/>
    <w:rsid w:val="00C33DCF"/>
    <w:rsid w:val="00C3408C"/>
    <w:rsid w:val="00C35A08"/>
    <w:rsid w:val="00C439F8"/>
    <w:rsid w:val="00C4495E"/>
    <w:rsid w:val="00C47B1C"/>
    <w:rsid w:val="00C55963"/>
    <w:rsid w:val="00C559D6"/>
    <w:rsid w:val="00C55C69"/>
    <w:rsid w:val="00C61C71"/>
    <w:rsid w:val="00C639D5"/>
    <w:rsid w:val="00C6448A"/>
    <w:rsid w:val="00C659A9"/>
    <w:rsid w:val="00C702ED"/>
    <w:rsid w:val="00C73E41"/>
    <w:rsid w:val="00C76D60"/>
    <w:rsid w:val="00C76EF9"/>
    <w:rsid w:val="00C8140B"/>
    <w:rsid w:val="00C82015"/>
    <w:rsid w:val="00C844C9"/>
    <w:rsid w:val="00C8744D"/>
    <w:rsid w:val="00C90590"/>
    <w:rsid w:val="00C927C1"/>
    <w:rsid w:val="00CA4EDC"/>
    <w:rsid w:val="00CB44E9"/>
    <w:rsid w:val="00CD2A1D"/>
    <w:rsid w:val="00CE26A3"/>
    <w:rsid w:val="00CE29AC"/>
    <w:rsid w:val="00CE6428"/>
    <w:rsid w:val="00CF4F3C"/>
    <w:rsid w:val="00D00FE6"/>
    <w:rsid w:val="00D01DFC"/>
    <w:rsid w:val="00D04DD2"/>
    <w:rsid w:val="00D14670"/>
    <w:rsid w:val="00D17F1C"/>
    <w:rsid w:val="00D22274"/>
    <w:rsid w:val="00D25CA2"/>
    <w:rsid w:val="00D273DC"/>
    <w:rsid w:val="00D3342A"/>
    <w:rsid w:val="00D3705A"/>
    <w:rsid w:val="00D43242"/>
    <w:rsid w:val="00D516F5"/>
    <w:rsid w:val="00D55E5A"/>
    <w:rsid w:val="00D56EBA"/>
    <w:rsid w:val="00D64397"/>
    <w:rsid w:val="00D66473"/>
    <w:rsid w:val="00D71CBC"/>
    <w:rsid w:val="00D97B3E"/>
    <w:rsid w:val="00DA30DC"/>
    <w:rsid w:val="00DA3958"/>
    <w:rsid w:val="00DA421A"/>
    <w:rsid w:val="00DA5997"/>
    <w:rsid w:val="00DA78EE"/>
    <w:rsid w:val="00DB09E7"/>
    <w:rsid w:val="00DB0B15"/>
    <w:rsid w:val="00DB13A6"/>
    <w:rsid w:val="00DC0438"/>
    <w:rsid w:val="00DC5AB4"/>
    <w:rsid w:val="00DD1C76"/>
    <w:rsid w:val="00DE19DE"/>
    <w:rsid w:val="00DE690A"/>
    <w:rsid w:val="00DE7943"/>
    <w:rsid w:val="00DF50CD"/>
    <w:rsid w:val="00E10851"/>
    <w:rsid w:val="00E116CC"/>
    <w:rsid w:val="00E21642"/>
    <w:rsid w:val="00E260BE"/>
    <w:rsid w:val="00E2798A"/>
    <w:rsid w:val="00E30988"/>
    <w:rsid w:val="00E32BED"/>
    <w:rsid w:val="00E356D4"/>
    <w:rsid w:val="00E41AD2"/>
    <w:rsid w:val="00E434EF"/>
    <w:rsid w:val="00E456B8"/>
    <w:rsid w:val="00E47460"/>
    <w:rsid w:val="00E54C6C"/>
    <w:rsid w:val="00E62816"/>
    <w:rsid w:val="00E62CBB"/>
    <w:rsid w:val="00E7326D"/>
    <w:rsid w:val="00E73293"/>
    <w:rsid w:val="00E7621C"/>
    <w:rsid w:val="00E84277"/>
    <w:rsid w:val="00E84531"/>
    <w:rsid w:val="00E94372"/>
    <w:rsid w:val="00E97785"/>
    <w:rsid w:val="00EA1F9A"/>
    <w:rsid w:val="00EB5333"/>
    <w:rsid w:val="00EC4E2B"/>
    <w:rsid w:val="00EC7A07"/>
    <w:rsid w:val="00ED1AA9"/>
    <w:rsid w:val="00ED2B32"/>
    <w:rsid w:val="00EE3CE1"/>
    <w:rsid w:val="00F0170C"/>
    <w:rsid w:val="00F037FD"/>
    <w:rsid w:val="00F103A5"/>
    <w:rsid w:val="00F11D78"/>
    <w:rsid w:val="00F14C1D"/>
    <w:rsid w:val="00F17D4F"/>
    <w:rsid w:val="00F2067D"/>
    <w:rsid w:val="00F23788"/>
    <w:rsid w:val="00F32995"/>
    <w:rsid w:val="00F34263"/>
    <w:rsid w:val="00F37169"/>
    <w:rsid w:val="00F42A62"/>
    <w:rsid w:val="00F60446"/>
    <w:rsid w:val="00F7497A"/>
    <w:rsid w:val="00F91892"/>
    <w:rsid w:val="00F95F7A"/>
    <w:rsid w:val="00FA38FA"/>
    <w:rsid w:val="00FA394A"/>
    <w:rsid w:val="00FA45F4"/>
    <w:rsid w:val="00FA4D19"/>
    <w:rsid w:val="00FA62BB"/>
    <w:rsid w:val="00FB1C65"/>
    <w:rsid w:val="00FB51EE"/>
    <w:rsid w:val="00FB5BAE"/>
    <w:rsid w:val="00FB79AD"/>
    <w:rsid w:val="00FC2107"/>
    <w:rsid w:val="00FC4A8C"/>
    <w:rsid w:val="00FD002E"/>
    <w:rsid w:val="00FD3104"/>
    <w:rsid w:val="00FD45D3"/>
    <w:rsid w:val="00FE5055"/>
    <w:rsid w:val="00FF35F5"/>
    <w:rsid w:val="00FF5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B013074-BC3A-41C4-A550-D6151A6C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B2F"/>
    <w:rPr>
      <w:sz w:val="20"/>
      <w:szCs w:val="20"/>
    </w:rPr>
  </w:style>
  <w:style w:type="paragraph" w:styleId="Heading1">
    <w:name w:val="heading 1"/>
    <w:basedOn w:val="Normal"/>
    <w:next w:val="Normal"/>
    <w:link w:val="Heading1Char"/>
    <w:uiPriority w:val="9"/>
    <w:qFormat/>
    <w:rsid w:val="00564B2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64B2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64B2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564B2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F103A5"/>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64B2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64B2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64B2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4B2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B2F"/>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564B2F"/>
    <w:rPr>
      <w:caps/>
      <w:spacing w:val="15"/>
      <w:shd w:val="clear" w:color="auto" w:fill="DBE5F1" w:themeFill="accent1" w:themeFillTint="33"/>
    </w:rPr>
  </w:style>
  <w:style w:type="character" w:customStyle="1" w:styleId="Heading3Char">
    <w:name w:val="Heading 3 Char"/>
    <w:basedOn w:val="DefaultParagraphFont"/>
    <w:link w:val="Heading3"/>
    <w:uiPriority w:val="9"/>
    <w:rsid w:val="00564B2F"/>
    <w:rPr>
      <w:caps/>
      <w:color w:val="243F60" w:themeColor="accent1" w:themeShade="7F"/>
      <w:spacing w:val="15"/>
    </w:rPr>
  </w:style>
  <w:style w:type="character" w:customStyle="1" w:styleId="Heading4Char">
    <w:name w:val="Heading 4 Char"/>
    <w:basedOn w:val="DefaultParagraphFont"/>
    <w:link w:val="Heading4"/>
    <w:uiPriority w:val="9"/>
    <w:rsid w:val="00564B2F"/>
    <w:rPr>
      <w:caps/>
      <w:color w:val="365F91" w:themeColor="accent1" w:themeShade="BF"/>
      <w:spacing w:val="10"/>
    </w:rPr>
  </w:style>
  <w:style w:type="character" w:customStyle="1" w:styleId="Heading5Char">
    <w:name w:val="Heading 5 Char"/>
    <w:basedOn w:val="DefaultParagraphFont"/>
    <w:link w:val="Heading5"/>
    <w:uiPriority w:val="9"/>
    <w:rsid w:val="00F103A5"/>
    <w:rPr>
      <w:caps/>
      <w:color w:val="365F91" w:themeColor="accent1" w:themeShade="BF"/>
      <w:spacing w:val="10"/>
    </w:rPr>
  </w:style>
  <w:style w:type="character" w:styleId="Hyperlink">
    <w:name w:val="Hyperlink"/>
    <w:uiPriority w:val="99"/>
    <w:unhideWhenUsed/>
    <w:rsid w:val="00512FE8"/>
    <w:rPr>
      <w:color w:val="0000FF"/>
      <w:u w:val="single"/>
    </w:rPr>
  </w:style>
  <w:style w:type="character" w:styleId="FollowedHyperlink">
    <w:name w:val="FollowedHyperlink"/>
    <w:uiPriority w:val="99"/>
    <w:semiHidden/>
    <w:unhideWhenUsed/>
    <w:rsid w:val="00512FE8"/>
    <w:rPr>
      <w:color w:val="3EBBF0"/>
      <w:u w:val="single"/>
    </w:rPr>
  </w:style>
  <w:style w:type="paragraph" w:styleId="NormalWeb">
    <w:name w:val="Normal (Web)"/>
    <w:basedOn w:val="Normal"/>
    <w:uiPriority w:val="99"/>
    <w:unhideWhenUsed/>
    <w:rsid w:val="00512FE8"/>
    <w:pPr>
      <w:spacing w:before="100" w:beforeAutospacing="1" w:after="100" w:afterAutospacing="1"/>
    </w:pPr>
    <w:rPr>
      <w:rFonts w:ascii="Times New Roman" w:hAnsi="Times New Roman"/>
    </w:rPr>
  </w:style>
  <w:style w:type="paragraph" w:styleId="TOC1">
    <w:name w:val="toc 1"/>
    <w:basedOn w:val="Normal"/>
    <w:next w:val="Normal"/>
    <w:autoRedefine/>
    <w:uiPriority w:val="39"/>
    <w:unhideWhenUsed/>
    <w:rsid w:val="00512FE8"/>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512FE8"/>
    <w:pPr>
      <w:spacing w:before="240" w:after="0"/>
    </w:pPr>
    <w:rPr>
      <w:b/>
      <w:bCs/>
    </w:rPr>
  </w:style>
  <w:style w:type="paragraph" w:styleId="TOC3">
    <w:name w:val="toc 3"/>
    <w:basedOn w:val="Normal"/>
    <w:next w:val="Normal"/>
    <w:autoRedefine/>
    <w:uiPriority w:val="39"/>
    <w:unhideWhenUsed/>
    <w:rsid w:val="00512FE8"/>
    <w:pPr>
      <w:spacing w:before="0" w:after="0"/>
      <w:ind w:left="200"/>
    </w:pPr>
  </w:style>
  <w:style w:type="paragraph" w:styleId="TOC4">
    <w:name w:val="toc 4"/>
    <w:basedOn w:val="Normal"/>
    <w:next w:val="Normal"/>
    <w:autoRedefine/>
    <w:uiPriority w:val="39"/>
    <w:unhideWhenUsed/>
    <w:rsid w:val="00512FE8"/>
    <w:pPr>
      <w:spacing w:before="0" w:after="0"/>
      <w:ind w:left="400"/>
    </w:pPr>
  </w:style>
  <w:style w:type="paragraph" w:styleId="CommentText">
    <w:name w:val="annotation text"/>
    <w:basedOn w:val="Normal"/>
    <w:link w:val="CommentTextChar"/>
    <w:uiPriority w:val="99"/>
    <w:semiHidden/>
    <w:unhideWhenUsed/>
    <w:rsid w:val="00512FE8"/>
    <w:pPr>
      <w:spacing w:after="160"/>
    </w:pPr>
    <w:rPr>
      <w:rFonts w:eastAsia="Calibri"/>
    </w:rPr>
  </w:style>
  <w:style w:type="character" w:customStyle="1" w:styleId="CommentTextChar">
    <w:name w:val="Comment Text Char"/>
    <w:basedOn w:val="DefaultParagraphFont"/>
    <w:link w:val="CommentText"/>
    <w:uiPriority w:val="99"/>
    <w:semiHidden/>
    <w:rsid w:val="00512FE8"/>
    <w:rPr>
      <w:rFonts w:ascii="Calibri" w:eastAsia="Calibri" w:hAnsi="Calibri" w:cs="Times New Roman"/>
      <w:sz w:val="20"/>
      <w:szCs w:val="20"/>
    </w:rPr>
  </w:style>
  <w:style w:type="paragraph" w:styleId="Header">
    <w:name w:val="header"/>
    <w:basedOn w:val="Normal"/>
    <w:link w:val="HeaderChar"/>
    <w:uiPriority w:val="99"/>
    <w:unhideWhenUsed/>
    <w:rsid w:val="00512FE8"/>
    <w:pPr>
      <w:tabs>
        <w:tab w:val="center" w:pos="4680"/>
        <w:tab w:val="right" w:pos="9360"/>
      </w:tabs>
    </w:pPr>
  </w:style>
  <w:style w:type="character" w:customStyle="1" w:styleId="HeaderChar">
    <w:name w:val="Header Char"/>
    <w:basedOn w:val="DefaultParagraphFont"/>
    <w:link w:val="Header"/>
    <w:uiPriority w:val="99"/>
    <w:rsid w:val="00512FE8"/>
    <w:rPr>
      <w:rFonts w:ascii="Calibri" w:eastAsia="Times New Roman" w:hAnsi="Calibri" w:cs="Times New Roman"/>
      <w:sz w:val="24"/>
      <w:szCs w:val="24"/>
    </w:rPr>
  </w:style>
  <w:style w:type="paragraph" w:styleId="Footer">
    <w:name w:val="footer"/>
    <w:basedOn w:val="Normal"/>
    <w:link w:val="FooterChar"/>
    <w:uiPriority w:val="99"/>
    <w:unhideWhenUsed/>
    <w:rsid w:val="00512FE8"/>
    <w:pPr>
      <w:tabs>
        <w:tab w:val="center" w:pos="4680"/>
        <w:tab w:val="right" w:pos="9360"/>
      </w:tabs>
    </w:pPr>
  </w:style>
  <w:style w:type="character" w:customStyle="1" w:styleId="FooterChar">
    <w:name w:val="Footer Char"/>
    <w:basedOn w:val="DefaultParagraphFont"/>
    <w:link w:val="Footer"/>
    <w:uiPriority w:val="99"/>
    <w:rsid w:val="00512FE8"/>
    <w:rPr>
      <w:rFonts w:ascii="Calibri" w:eastAsia="Times New Roman" w:hAnsi="Calibri" w:cs="Times New Roman"/>
      <w:sz w:val="24"/>
      <w:szCs w:val="24"/>
    </w:rPr>
  </w:style>
  <w:style w:type="paragraph" w:styleId="Title">
    <w:name w:val="Title"/>
    <w:basedOn w:val="Normal"/>
    <w:next w:val="Normal"/>
    <w:link w:val="TitleChar"/>
    <w:uiPriority w:val="10"/>
    <w:qFormat/>
    <w:rsid w:val="00564B2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64B2F"/>
    <w:rPr>
      <w:caps/>
      <w:color w:val="4F81BD" w:themeColor="accent1"/>
      <w:spacing w:val="10"/>
      <w:kern w:val="28"/>
      <w:sz w:val="52"/>
      <w:szCs w:val="52"/>
    </w:rPr>
  </w:style>
  <w:style w:type="paragraph" w:styleId="Subtitle">
    <w:name w:val="Subtitle"/>
    <w:basedOn w:val="Normal"/>
    <w:next w:val="Normal"/>
    <w:link w:val="SubtitleChar"/>
    <w:uiPriority w:val="11"/>
    <w:qFormat/>
    <w:rsid w:val="00564B2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64B2F"/>
    <w:rPr>
      <w:caps/>
      <w:color w:val="595959" w:themeColor="text1" w:themeTint="A6"/>
      <w:spacing w:val="10"/>
      <w:sz w:val="24"/>
      <w:szCs w:val="24"/>
    </w:rPr>
  </w:style>
  <w:style w:type="paragraph" w:styleId="CommentSubject">
    <w:name w:val="annotation subject"/>
    <w:basedOn w:val="CommentText"/>
    <w:next w:val="CommentText"/>
    <w:link w:val="CommentSubjectChar"/>
    <w:uiPriority w:val="99"/>
    <w:semiHidden/>
    <w:unhideWhenUsed/>
    <w:rsid w:val="00512FE8"/>
    <w:rPr>
      <w:b/>
      <w:bCs/>
    </w:rPr>
  </w:style>
  <w:style w:type="character" w:customStyle="1" w:styleId="CommentSubjectChar">
    <w:name w:val="Comment Subject Char"/>
    <w:basedOn w:val="CommentTextChar"/>
    <w:link w:val="CommentSubject"/>
    <w:uiPriority w:val="99"/>
    <w:semiHidden/>
    <w:rsid w:val="00512FE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12F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FE8"/>
    <w:rPr>
      <w:rFonts w:ascii="Segoe UI" w:eastAsiaTheme="minorEastAsia" w:hAnsi="Segoe UI" w:cs="Segoe UI"/>
      <w:sz w:val="18"/>
      <w:szCs w:val="18"/>
    </w:rPr>
  </w:style>
  <w:style w:type="paragraph" w:styleId="ListParagraph">
    <w:name w:val="List Paragraph"/>
    <w:basedOn w:val="Normal"/>
    <w:uiPriority w:val="34"/>
    <w:qFormat/>
    <w:rsid w:val="00564B2F"/>
    <w:pPr>
      <w:ind w:left="720"/>
      <w:contextualSpacing/>
    </w:pPr>
  </w:style>
  <w:style w:type="paragraph" w:styleId="TOCHeading">
    <w:name w:val="TOC Heading"/>
    <w:basedOn w:val="Heading1"/>
    <w:next w:val="Normal"/>
    <w:uiPriority w:val="39"/>
    <w:unhideWhenUsed/>
    <w:qFormat/>
    <w:rsid w:val="00564B2F"/>
    <w:pPr>
      <w:outlineLvl w:val="9"/>
    </w:pPr>
    <w:rPr>
      <w:lang w:bidi="en-US"/>
    </w:rPr>
  </w:style>
  <w:style w:type="paragraph" w:customStyle="1" w:styleId="Default">
    <w:name w:val="Default"/>
    <w:rsid w:val="00512FE8"/>
    <w:pPr>
      <w:autoSpaceDE w:val="0"/>
      <w:autoSpaceDN w:val="0"/>
      <w:adjustRightInd w:val="0"/>
      <w:spacing w:after="0" w:line="240" w:lineRule="auto"/>
    </w:pPr>
    <w:rPr>
      <w:rFonts w:ascii="Calibri" w:eastAsia="Calibri" w:hAnsi="Calibri" w:cs="Calibri"/>
      <w:color w:val="000000"/>
      <w:sz w:val="24"/>
      <w:szCs w:val="24"/>
    </w:rPr>
  </w:style>
  <w:style w:type="paragraph" w:customStyle="1" w:styleId="font5">
    <w:name w:val="font5"/>
    <w:basedOn w:val="Normal"/>
    <w:uiPriority w:val="99"/>
    <w:semiHidden/>
    <w:rsid w:val="00512FE8"/>
    <w:pPr>
      <w:spacing w:before="100" w:beforeAutospacing="1" w:after="100" w:afterAutospacing="1"/>
    </w:pPr>
    <w:rPr>
      <w:b/>
      <w:bCs/>
      <w:color w:val="FFFFFF"/>
    </w:rPr>
  </w:style>
  <w:style w:type="paragraph" w:customStyle="1" w:styleId="font6">
    <w:name w:val="font6"/>
    <w:basedOn w:val="Normal"/>
    <w:uiPriority w:val="99"/>
    <w:semiHidden/>
    <w:rsid w:val="00512FE8"/>
    <w:pPr>
      <w:spacing w:before="100" w:beforeAutospacing="1" w:after="100" w:afterAutospacing="1"/>
    </w:pPr>
    <w:rPr>
      <w:i/>
      <w:iCs/>
      <w:color w:val="000000"/>
      <w:sz w:val="12"/>
      <w:szCs w:val="12"/>
    </w:rPr>
  </w:style>
  <w:style w:type="paragraph" w:customStyle="1" w:styleId="font7">
    <w:name w:val="font7"/>
    <w:basedOn w:val="Normal"/>
    <w:uiPriority w:val="99"/>
    <w:semiHidden/>
    <w:rsid w:val="00512FE8"/>
    <w:pPr>
      <w:spacing w:before="100" w:beforeAutospacing="1" w:after="100" w:afterAutospacing="1"/>
    </w:pPr>
    <w:rPr>
      <w:i/>
      <w:iCs/>
      <w:color w:val="000000"/>
      <w:sz w:val="12"/>
      <w:szCs w:val="12"/>
    </w:rPr>
  </w:style>
  <w:style w:type="paragraph" w:customStyle="1" w:styleId="xl156">
    <w:name w:val="xl156"/>
    <w:basedOn w:val="Normal"/>
    <w:uiPriority w:val="99"/>
    <w:semiHidden/>
    <w:rsid w:val="00512FE8"/>
    <w:pPr>
      <w:shd w:val="clear" w:color="auto" w:fill="FFFFFF"/>
      <w:spacing w:before="100" w:beforeAutospacing="1" w:after="100" w:afterAutospacing="1"/>
    </w:pPr>
    <w:rPr>
      <w:rFonts w:ascii="Times New Roman" w:hAnsi="Times New Roman"/>
    </w:rPr>
  </w:style>
  <w:style w:type="paragraph" w:customStyle="1" w:styleId="xl157">
    <w:name w:val="xl157"/>
    <w:basedOn w:val="Normal"/>
    <w:uiPriority w:val="99"/>
    <w:semiHidden/>
    <w:rsid w:val="00512FE8"/>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Times New Roman" w:hAnsi="Times New Roman"/>
      <w:color w:val="FFFFFF"/>
    </w:rPr>
  </w:style>
  <w:style w:type="paragraph" w:customStyle="1" w:styleId="xl158">
    <w:name w:val="xl158"/>
    <w:basedOn w:val="Normal"/>
    <w:uiPriority w:val="99"/>
    <w:semiHidden/>
    <w:rsid w:val="00512FE8"/>
    <w:pPr>
      <w:pBdr>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hAnsi="Times New Roman"/>
      <w:color w:val="FFFFFF"/>
    </w:rPr>
  </w:style>
  <w:style w:type="paragraph" w:customStyle="1" w:styleId="xl159">
    <w:name w:val="xl159"/>
    <w:basedOn w:val="Normal"/>
    <w:uiPriority w:val="99"/>
    <w:semiHidden/>
    <w:rsid w:val="00512FE8"/>
    <w:pPr>
      <w:pBdr>
        <w:left w:val="single" w:sz="4" w:space="0" w:color="auto"/>
        <w:bottom w:val="single" w:sz="4" w:space="0" w:color="auto"/>
      </w:pBdr>
      <w:shd w:val="clear" w:color="auto" w:fill="4F81BD"/>
      <w:spacing w:before="100" w:beforeAutospacing="1" w:after="100" w:afterAutospacing="1"/>
      <w:jc w:val="center"/>
    </w:pPr>
    <w:rPr>
      <w:rFonts w:ascii="Times New Roman" w:hAnsi="Times New Roman"/>
      <w:b/>
      <w:bCs/>
      <w:color w:val="FFFFFF"/>
    </w:rPr>
  </w:style>
  <w:style w:type="paragraph" w:customStyle="1" w:styleId="xl160">
    <w:name w:val="xl160"/>
    <w:basedOn w:val="Normal"/>
    <w:uiPriority w:val="99"/>
    <w:semiHidden/>
    <w:rsid w:val="00512FE8"/>
    <w:pPr>
      <w:pBdr>
        <w:bottom w:val="single" w:sz="4" w:space="0" w:color="auto"/>
      </w:pBdr>
      <w:shd w:val="clear" w:color="auto" w:fill="4F81BD"/>
      <w:spacing w:before="100" w:beforeAutospacing="1" w:after="100" w:afterAutospacing="1"/>
      <w:jc w:val="center"/>
    </w:pPr>
    <w:rPr>
      <w:rFonts w:ascii="Times New Roman" w:hAnsi="Times New Roman"/>
      <w:b/>
      <w:bCs/>
      <w:color w:val="FFFFFF"/>
    </w:rPr>
  </w:style>
  <w:style w:type="paragraph" w:customStyle="1" w:styleId="xl161">
    <w:name w:val="xl161"/>
    <w:basedOn w:val="Normal"/>
    <w:uiPriority w:val="99"/>
    <w:semiHidden/>
    <w:rsid w:val="00512FE8"/>
    <w:pPr>
      <w:pBdr>
        <w:bottom w:val="single" w:sz="4" w:space="0" w:color="auto"/>
        <w:right w:val="single" w:sz="4" w:space="0" w:color="auto"/>
      </w:pBdr>
      <w:shd w:val="clear" w:color="auto" w:fill="4F81BD"/>
      <w:spacing w:before="100" w:beforeAutospacing="1" w:after="100" w:afterAutospacing="1"/>
      <w:jc w:val="center"/>
    </w:pPr>
    <w:rPr>
      <w:rFonts w:ascii="Times New Roman" w:hAnsi="Times New Roman"/>
      <w:b/>
      <w:bCs/>
      <w:color w:val="FFFFFF"/>
    </w:rPr>
  </w:style>
  <w:style w:type="paragraph" w:customStyle="1" w:styleId="xl162">
    <w:name w:val="xl162"/>
    <w:basedOn w:val="Normal"/>
    <w:uiPriority w:val="99"/>
    <w:semiHidden/>
    <w:rsid w:val="00512FE8"/>
    <w:pPr>
      <w:pBdr>
        <w:top w:val="single" w:sz="4" w:space="0" w:color="auto"/>
        <w:left w:val="single" w:sz="4" w:space="0" w:color="auto"/>
        <w:bottom w:val="single" w:sz="4" w:space="0" w:color="auto"/>
      </w:pBdr>
      <w:shd w:val="clear" w:color="auto" w:fill="D9D9D9"/>
      <w:spacing w:before="100" w:beforeAutospacing="1" w:after="100" w:afterAutospacing="1"/>
    </w:pPr>
    <w:rPr>
      <w:rFonts w:ascii="Times New Roman" w:hAnsi="Times New Roman"/>
      <w:b/>
      <w:bCs/>
    </w:rPr>
  </w:style>
  <w:style w:type="paragraph" w:customStyle="1" w:styleId="xl163">
    <w:name w:val="xl163"/>
    <w:basedOn w:val="Normal"/>
    <w:uiPriority w:val="99"/>
    <w:semiHidden/>
    <w:rsid w:val="00512FE8"/>
    <w:pPr>
      <w:pBdr>
        <w:top w:val="single" w:sz="4" w:space="0" w:color="auto"/>
        <w:bottom w:val="single" w:sz="4" w:space="0" w:color="auto"/>
      </w:pBdr>
      <w:shd w:val="clear" w:color="auto" w:fill="D9D9D9"/>
      <w:spacing w:before="100" w:beforeAutospacing="1" w:after="100" w:afterAutospacing="1"/>
      <w:jc w:val="center"/>
    </w:pPr>
    <w:rPr>
      <w:rFonts w:ascii="Times New Roman" w:hAnsi="Times New Roman"/>
      <w:b/>
      <w:bCs/>
    </w:rPr>
  </w:style>
  <w:style w:type="paragraph" w:customStyle="1" w:styleId="xl164">
    <w:name w:val="xl164"/>
    <w:basedOn w:val="Normal"/>
    <w:uiPriority w:val="99"/>
    <w:semiHidden/>
    <w:rsid w:val="00512FE8"/>
    <w:pPr>
      <w:pBdr>
        <w:top w:val="single" w:sz="4" w:space="0" w:color="auto"/>
        <w:bottom w:val="single" w:sz="4" w:space="0" w:color="auto"/>
        <w:right w:val="single" w:sz="4" w:space="0" w:color="auto"/>
      </w:pBdr>
      <w:shd w:val="clear" w:color="auto" w:fill="D9D9D9"/>
      <w:spacing w:before="100" w:beforeAutospacing="1" w:after="100" w:afterAutospacing="1"/>
      <w:jc w:val="center"/>
    </w:pPr>
    <w:rPr>
      <w:rFonts w:ascii="Times New Roman" w:hAnsi="Times New Roman"/>
      <w:b/>
      <w:bCs/>
    </w:rPr>
  </w:style>
  <w:style w:type="paragraph" w:customStyle="1" w:styleId="xl165">
    <w:name w:val="xl165"/>
    <w:basedOn w:val="Normal"/>
    <w:uiPriority w:val="99"/>
    <w:semiHidden/>
    <w:rsid w:val="00512FE8"/>
    <w:pPr>
      <w:pBdr>
        <w:left w:val="single" w:sz="4" w:space="0" w:color="auto"/>
      </w:pBdr>
      <w:shd w:val="clear" w:color="auto" w:fill="FFFFFF"/>
      <w:spacing w:before="100" w:beforeAutospacing="1" w:after="100" w:afterAutospacing="1"/>
    </w:pPr>
    <w:rPr>
      <w:rFonts w:ascii="Times New Roman" w:hAnsi="Times New Roman"/>
    </w:rPr>
  </w:style>
  <w:style w:type="paragraph" w:customStyle="1" w:styleId="xl166">
    <w:name w:val="xl166"/>
    <w:basedOn w:val="Normal"/>
    <w:uiPriority w:val="99"/>
    <w:semiHidden/>
    <w:rsid w:val="00512FE8"/>
    <w:pPr>
      <w:pBdr>
        <w:lef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67">
    <w:name w:val="xl167"/>
    <w:basedOn w:val="Normal"/>
    <w:uiPriority w:val="99"/>
    <w:semiHidden/>
    <w:rsid w:val="00512FE8"/>
    <w:pPr>
      <w:shd w:val="clear" w:color="auto" w:fill="FFFFFF"/>
      <w:spacing w:before="100" w:beforeAutospacing="1" w:after="100" w:afterAutospacing="1"/>
      <w:jc w:val="right"/>
    </w:pPr>
    <w:rPr>
      <w:rFonts w:ascii="Times New Roman" w:hAnsi="Times New Roman"/>
    </w:rPr>
  </w:style>
  <w:style w:type="paragraph" w:customStyle="1" w:styleId="xl168">
    <w:name w:val="xl168"/>
    <w:basedOn w:val="Normal"/>
    <w:uiPriority w:val="99"/>
    <w:semiHidden/>
    <w:rsid w:val="00512FE8"/>
    <w:pPr>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69">
    <w:name w:val="xl169"/>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pPr>
    <w:rPr>
      <w:rFonts w:ascii="Times New Roman" w:hAnsi="Times New Roman"/>
    </w:rPr>
  </w:style>
  <w:style w:type="paragraph" w:customStyle="1" w:styleId="xl170">
    <w:name w:val="xl170"/>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71">
    <w:name w:val="xl171"/>
    <w:basedOn w:val="Normal"/>
    <w:uiPriority w:val="99"/>
    <w:semiHidden/>
    <w:rsid w:val="00512FE8"/>
    <w:pPr>
      <w:pBdr>
        <w:top w:val="single" w:sz="4" w:space="0" w:color="auto"/>
        <w:bottom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72">
    <w:name w:val="xl172"/>
    <w:basedOn w:val="Normal"/>
    <w:uiPriority w:val="99"/>
    <w:semiHidden/>
    <w:rsid w:val="00512FE8"/>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Times New Roman" w:hAnsi="Times New Roman"/>
      <w:b/>
      <w:bCs/>
    </w:rPr>
  </w:style>
  <w:style w:type="paragraph" w:customStyle="1" w:styleId="xl173">
    <w:name w:val="xl173"/>
    <w:basedOn w:val="Normal"/>
    <w:uiPriority w:val="99"/>
    <w:semiHidden/>
    <w:rsid w:val="00512FE8"/>
    <w:pPr>
      <w:pBdr>
        <w:top w:val="single" w:sz="4" w:space="0" w:color="auto"/>
        <w:bottom w:val="single" w:sz="4" w:space="0" w:color="auto"/>
      </w:pBdr>
      <w:shd w:val="clear" w:color="auto" w:fill="D9D9D9"/>
      <w:spacing w:before="100" w:beforeAutospacing="1" w:after="100" w:afterAutospacing="1"/>
      <w:jc w:val="right"/>
    </w:pPr>
    <w:rPr>
      <w:rFonts w:ascii="Times New Roman" w:hAnsi="Times New Roman"/>
      <w:b/>
      <w:bCs/>
    </w:rPr>
  </w:style>
  <w:style w:type="paragraph" w:customStyle="1" w:styleId="xl174">
    <w:name w:val="xl174"/>
    <w:basedOn w:val="Normal"/>
    <w:uiPriority w:val="99"/>
    <w:semiHidden/>
    <w:rsid w:val="00512FE8"/>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Times New Roman" w:hAnsi="Times New Roman"/>
      <w:b/>
      <w:bCs/>
    </w:rPr>
  </w:style>
  <w:style w:type="paragraph" w:customStyle="1" w:styleId="xl175">
    <w:name w:val="xl175"/>
    <w:basedOn w:val="Normal"/>
    <w:uiPriority w:val="99"/>
    <w:semiHidden/>
    <w:rsid w:val="00512FE8"/>
    <w:pPr>
      <w:pBdr>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76">
    <w:name w:val="xl176"/>
    <w:basedOn w:val="Normal"/>
    <w:uiPriority w:val="99"/>
    <w:semiHidden/>
    <w:rsid w:val="00512FE8"/>
    <w:pPr>
      <w:pBdr>
        <w:top w:val="single" w:sz="4" w:space="0" w:color="auto"/>
        <w:left w:val="single" w:sz="4" w:space="0" w:color="auto"/>
        <w:bottom w:val="single" w:sz="4" w:space="0" w:color="auto"/>
      </w:pBdr>
      <w:shd w:val="clear" w:color="auto" w:fill="D9D9D9"/>
      <w:spacing w:before="100" w:beforeAutospacing="1" w:after="100" w:afterAutospacing="1"/>
    </w:pPr>
    <w:rPr>
      <w:rFonts w:ascii="Times New Roman" w:hAnsi="Times New Roman"/>
      <w:b/>
      <w:bCs/>
    </w:rPr>
  </w:style>
  <w:style w:type="paragraph" w:customStyle="1" w:styleId="xl177">
    <w:name w:val="xl177"/>
    <w:basedOn w:val="Normal"/>
    <w:uiPriority w:val="99"/>
    <w:semiHidden/>
    <w:rsid w:val="00512FE8"/>
    <w:pPr>
      <w:pBdr>
        <w:top w:val="single" w:sz="4" w:space="0" w:color="auto"/>
      </w:pBdr>
      <w:shd w:val="clear" w:color="auto" w:fill="D9D9D9"/>
      <w:spacing w:before="100" w:beforeAutospacing="1" w:after="100" w:afterAutospacing="1"/>
      <w:jc w:val="right"/>
    </w:pPr>
    <w:rPr>
      <w:rFonts w:ascii="Times New Roman" w:hAnsi="Times New Roman"/>
    </w:rPr>
  </w:style>
  <w:style w:type="paragraph" w:customStyle="1" w:styleId="xl178">
    <w:name w:val="xl178"/>
    <w:basedOn w:val="Normal"/>
    <w:uiPriority w:val="99"/>
    <w:semiHidden/>
    <w:rsid w:val="00512FE8"/>
    <w:pPr>
      <w:pBdr>
        <w:top w:val="single" w:sz="4" w:space="0" w:color="auto"/>
        <w:right w:val="single" w:sz="4" w:space="0" w:color="auto"/>
      </w:pBdr>
      <w:shd w:val="clear" w:color="auto" w:fill="D9D9D9"/>
      <w:spacing w:before="100" w:beforeAutospacing="1" w:after="100" w:afterAutospacing="1"/>
      <w:jc w:val="right"/>
    </w:pPr>
    <w:rPr>
      <w:rFonts w:ascii="Times New Roman" w:hAnsi="Times New Roman"/>
    </w:rPr>
  </w:style>
  <w:style w:type="paragraph" w:customStyle="1" w:styleId="xl179">
    <w:name w:val="xl179"/>
    <w:basedOn w:val="Normal"/>
    <w:uiPriority w:val="99"/>
    <w:semiHidden/>
    <w:rsid w:val="00512FE8"/>
    <w:pPr>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80">
    <w:name w:val="xl180"/>
    <w:basedOn w:val="Normal"/>
    <w:uiPriority w:val="99"/>
    <w:semiHidden/>
    <w:rsid w:val="00512FE8"/>
    <w:pPr>
      <w:pBdr>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81">
    <w:name w:val="xl181"/>
    <w:basedOn w:val="Normal"/>
    <w:uiPriority w:val="99"/>
    <w:semiHidden/>
    <w:rsid w:val="00512FE8"/>
    <w:pPr>
      <w:pBdr>
        <w:top w:val="single" w:sz="4" w:space="0" w:color="auto"/>
        <w:bottom w:val="single" w:sz="4" w:space="0" w:color="auto"/>
      </w:pBdr>
      <w:shd w:val="clear" w:color="auto" w:fill="D9D9D9"/>
      <w:spacing w:before="100" w:beforeAutospacing="1" w:after="100" w:afterAutospacing="1"/>
      <w:jc w:val="right"/>
    </w:pPr>
    <w:rPr>
      <w:rFonts w:ascii="Times New Roman" w:hAnsi="Times New Roman"/>
      <w:b/>
      <w:bCs/>
    </w:rPr>
  </w:style>
  <w:style w:type="paragraph" w:customStyle="1" w:styleId="xl182">
    <w:name w:val="xl182"/>
    <w:basedOn w:val="Normal"/>
    <w:uiPriority w:val="99"/>
    <w:semiHidden/>
    <w:rsid w:val="00512FE8"/>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Times New Roman" w:hAnsi="Times New Roman"/>
      <w:b/>
      <w:bCs/>
    </w:rPr>
  </w:style>
  <w:style w:type="paragraph" w:customStyle="1" w:styleId="xl183">
    <w:name w:val="xl183"/>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84">
    <w:name w:val="xl184"/>
    <w:basedOn w:val="Normal"/>
    <w:uiPriority w:val="99"/>
    <w:semiHidden/>
    <w:rsid w:val="00512FE8"/>
    <w:pPr>
      <w:pBdr>
        <w:top w:val="single" w:sz="4" w:space="0" w:color="auto"/>
        <w:bottom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85">
    <w:name w:val="xl185"/>
    <w:basedOn w:val="Normal"/>
    <w:uiPriority w:val="99"/>
    <w:semiHidden/>
    <w:rsid w:val="00512FE8"/>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Times New Roman" w:hAnsi="Times New Roman"/>
      <w:b/>
      <w:bCs/>
      <w:color w:val="FFFFFF"/>
    </w:rPr>
  </w:style>
  <w:style w:type="paragraph" w:customStyle="1" w:styleId="xl186">
    <w:name w:val="xl186"/>
    <w:basedOn w:val="Normal"/>
    <w:uiPriority w:val="99"/>
    <w:semiHidden/>
    <w:rsid w:val="00512FE8"/>
    <w:pPr>
      <w:pBdr>
        <w:left w:val="single" w:sz="4" w:space="0" w:color="auto"/>
        <w:bottom w:val="single" w:sz="4" w:space="0" w:color="auto"/>
        <w:right w:val="single" w:sz="4" w:space="0" w:color="auto"/>
      </w:pBdr>
      <w:shd w:val="clear" w:color="auto" w:fill="4F81BD"/>
      <w:spacing w:before="100" w:beforeAutospacing="1" w:after="100" w:afterAutospacing="1"/>
      <w:jc w:val="center"/>
    </w:pPr>
    <w:rPr>
      <w:rFonts w:ascii="Times New Roman" w:hAnsi="Times New Roman"/>
      <w:b/>
      <w:bCs/>
      <w:color w:val="FFFFFF"/>
    </w:rPr>
  </w:style>
  <w:style w:type="paragraph" w:customStyle="1" w:styleId="xl187">
    <w:name w:val="xl187"/>
    <w:basedOn w:val="Normal"/>
    <w:uiPriority w:val="99"/>
    <w:semiHidden/>
    <w:rsid w:val="00512FE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Times New Roman" w:hAnsi="Times New Roman"/>
      <w:b/>
      <w:bCs/>
    </w:rPr>
  </w:style>
  <w:style w:type="paragraph" w:customStyle="1" w:styleId="xl188">
    <w:name w:val="xl188"/>
    <w:basedOn w:val="Normal"/>
    <w:uiPriority w:val="99"/>
    <w:semiHidden/>
    <w:rsid w:val="00512F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89">
    <w:name w:val="xl189"/>
    <w:basedOn w:val="Normal"/>
    <w:uiPriority w:val="99"/>
    <w:semiHidden/>
    <w:rsid w:val="00512FE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Times New Roman" w:hAnsi="Times New Roman"/>
      <w:b/>
      <w:bCs/>
    </w:rPr>
  </w:style>
  <w:style w:type="paragraph" w:customStyle="1" w:styleId="xl190">
    <w:name w:val="xl190"/>
    <w:basedOn w:val="Normal"/>
    <w:uiPriority w:val="99"/>
    <w:semiHidden/>
    <w:rsid w:val="00512FE8"/>
    <w:pPr>
      <w:pBdr>
        <w:left w:val="single" w:sz="4" w:space="0" w:color="auto"/>
      </w:pBdr>
      <w:shd w:val="clear" w:color="auto" w:fill="FFFFFF"/>
      <w:spacing w:before="100" w:beforeAutospacing="1" w:after="100" w:afterAutospacing="1"/>
    </w:pPr>
    <w:rPr>
      <w:rFonts w:ascii="Times New Roman" w:hAnsi="Times New Roman"/>
    </w:rPr>
  </w:style>
  <w:style w:type="paragraph" w:customStyle="1" w:styleId="xl191">
    <w:name w:val="xl191"/>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pPr>
    <w:rPr>
      <w:rFonts w:ascii="Times New Roman" w:hAnsi="Times New Roman"/>
    </w:rPr>
  </w:style>
  <w:style w:type="paragraph" w:customStyle="1" w:styleId="xl192">
    <w:name w:val="xl192"/>
    <w:basedOn w:val="Normal"/>
    <w:uiPriority w:val="99"/>
    <w:semiHidden/>
    <w:rsid w:val="00512FE8"/>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93">
    <w:name w:val="xl193"/>
    <w:basedOn w:val="Normal"/>
    <w:uiPriority w:val="99"/>
    <w:semiHidden/>
    <w:rsid w:val="00512FE8"/>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Times New Roman" w:hAnsi="Times New Roman"/>
      <w:b/>
      <w:bCs/>
    </w:rPr>
  </w:style>
  <w:style w:type="paragraph" w:customStyle="1" w:styleId="xl194">
    <w:name w:val="xl194"/>
    <w:basedOn w:val="Normal"/>
    <w:uiPriority w:val="99"/>
    <w:semiHidden/>
    <w:rsid w:val="00512FE8"/>
    <w:pPr>
      <w:pBdr>
        <w:top w:val="single" w:sz="4" w:space="0" w:color="auto"/>
        <w:left w:val="single" w:sz="4" w:space="0" w:color="auto"/>
        <w:right w:val="single" w:sz="4" w:space="0" w:color="auto"/>
      </w:pBdr>
      <w:shd w:val="clear" w:color="auto" w:fill="D9D9D9"/>
      <w:spacing w:before="100" w:beforeAutospacing="1" w:after="100" w:afterAutospacing="1"/>
      <w:jc w:val="right"/>
    </w:pPr>
    <w:rPr>
      <w:rFonts w:ascii="Times New Roman" w:hAnsi="Times New Roman"/>
    </w:rPr>
  </w:style>
  <w:style w:type="paragraph" w:customStyle="1" w:styleId="xl195">
    <w:name w:val="xl195"/>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pPr>
    <w:rPr>
      <w:rFonts w:ascii="Times New Roman" w:hAnsi="Times New Roman"/>
      <w:b/>
      <w:bCs/>
    </w:rPr>
  </w:style>
  <w:style w:type="paragraph" w:customStyle="1" w:styleId="xl196">
    <w:name w:val="xl196"/>
    <w:basedOn w:val="Normal"/>
    <w:uiPriority w:val="99"/>
    <w:semiHidden/>
    <w:rsid w:val="00512FE8"/>
    <w:pPr>
      <w:pBdr>
        <w:top w:val="single" w:sz="4" w:space="0" w:color="auto"/>
        <w:lef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97">
    <w:name w:val="xl197"/>
    <w:basedOn w:val="Normal"/>
    <w:uiPriority w:val="99"/>
    <w:semiHidden/>
    <w:rsid w:val="00512FE8"/>
    <w:pPr>
      <w:pBdr>
        <w:top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98">
    <w:name w:val="xl198"/>
    <w:basedOn w:val="Normal"/>
    <w:uiPriority w:val="99"/>
    <w:semiHidden/>
    <w:rsid w:val="00512FE8"/>
    <w:pPr>
      <w:pBdr>
        <w:top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199">
    <w:name w:val="xl199"/>
    <w:basedOn w:val="Normal"/>
    <w:uiPriority w:val="99"/>
    <w:semiHidden/>
    <w:rsid w:val="00512FE8"/>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00">
    <w:name w:val="xl200"/>
    <w:basedOn w:val="Normal"/>
    <w:uiPriority w:val="99"/>
    <w:semiHidden/>
    <w:rsid w:val="00512FE8"/>
    <w:pPr>
      <w:pBdr>
        <w:top w:val="single" w:sz="4" w:space="0" w:color="auto"/>
        <w:left w:val="single" w:sz="4" w:space="7" w:color="auto"/>
        <w:bottom w:val="single" w:sz="4" w:space="0" w:color="auto"/>
      </w:pBdr>
      <w:shd w:val="clear" w:color="auto" w:fill="FFFFFF"/>
      <w:spacing w:before="100" w:beforeAutospacing="1" w:after="100" w:afterAutospacing="1"/>
      <w:ind w:firstLineChars="100" w:firstLine="100"/>
    </w:pPr>
    <w:rPr>
      <w:rFonts w:ascii="Times New Roman" w:hAnsi="Times New Roman"/>
    </w:rPr>
  </w:style>
  <w:style w:type="paragraph" w:customStyle="1" w:styleId="xl201">
    <w:name w:val="xl201"/>
    <w:basedOn w:val="Normal"/>
    <w:uiPriority w:val="99"/>
    <w:semiHidden/>
    <w:rsid w:val="00512FE8"/>
    <w:pPr>
      <w:pBdr>
        <w:top w:val="single" w:sz="4" w:space="0" w:color="auto"/>
        <w:left w:val="single" w:sz="4" w:space="7" w:color="auto"/>
        <w:bottom w:val="single" w:sz="4" w:space="0" w:color="auto"/>
        <w:right w:val="single" w:sz="4" w:space="0" w:color="auto"/>
      </w:pBdr>
      <w:shd w:val="clear" w:color="auto" w:fill="FFFFFF"/>
      <w:spacing w:before="100" w:beforeAutospacing="1" w:after="100" w:afterAutospacing="1"/>
      <w:ind w:firstLineChars="100" w:firstLine="100"/>
    </w:pPr>
    <w:rPr>
      <w:rFonts w:ascii="Times New Roman" w:hAnsi="Times New Roman"/>
    </w:rPr>
  </w:style>
  <w:style w:type="paragraph" w:customStyle="1" w:styleId="xl202">
    <w:name w:val="xl202"/>
    <w:basedOn w:val="Normal"/>
    <w:uiPriority w:val="99"/>
    <w:semiHidden/>
    <w:rsid w:val="00512FE8"/>
    <w:pPr>
      <w:pBdr>
        <w:top w:val="single" w:sz="4" w:space="0" w:color="auto"/>
        <w:left w:val="single" w:sz="4" w:space="7" w:color="auto"/>
        <w:bottom w:val="single" w:sz="4" w:space="0" w:color="auto"/>
      </w:pBdr>
      <w:shd w:val="clear" w:color="auto" w:fill="FFFFFF"/>
      <w:spacing w:before="100" w:beforeAutospacing="1" w:after="100" w:afterAutospacing="1"/>
      <w:ind w:firstLineChars="100" w:firstLine="100"/>
    </w:pPr>
    <w:rPr>
      <w:rFonts w:ascii="Times New Roman" w:hAnsi="Times New Roman"/>
      <w:b/>
      <w:bCs/>
    </w:rPr>
  </w:style>
  <w:style w:type="paragraph" w:customStyle="1" w:styleId="xl203">
    <w:name w:val="xl203"/>
    <w:basedOn w:val="Normal"/>
    <w:uiPriority w:val="99"/>
    <w:semiHidden/>
    <w:rsid w:val="00512FE8"/>
    <w:pPr>
      <w:pBdr>
        <w:top w:val="single" w:sz="4" w:space="0" w:color="auto"/>
        <w:bottom w:val="single" w:sz="4" w:space="0" w:color="auto"/>
      </w:pBdr>
      <w:shd w:val="clear" w:color="auto" w:fill="FFFFFF"/>
      <w:spacing w:before="100" w:beforeAutospacing="1" w:after="100" w:afterAutospacing="1"/>
      <w:jc w:val="right"/>
    </w:pPr>
    <w:rPr>
      <w:rFonts w:ascii="Times New Roman" w:hAnsi="Times New Roman"/>
      <w:b/>
      <w:bCs/>
    </w:rPr>
  </w:style>
  <w:style w:type="paragraph" w:customStyle="1" w:styleId="xl204">
    <w:name w:val="xl204"/>
    <w:basedOn w:val="Normal"/>
    <w:uiPriority w:val="99"/>
    <w:semiHidden/>
    <w:rsid w:val="00512FE8"/>
    <w:pPr>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b/>
      <w:bCs/>
    </w:rPr>
  </w:style>
  <w:style w:type="paragraph" w:customStyle="1" w:styleId="xl205">
    <w:name w:val="xl205"/>
    <w:basedOn w:val="Normal"/>
    <w:uiPriority w:val="99"/>
    <w:semiHidden/>
    <w:rsid w:val="00512FE8"/>
    <w:pPr>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b/>
      <w:bCs/>
    </w:rPr>
  </w:style>
  <w:style w:type="paragraph" w:customStyle="1" w:styleId="xl206">
    <w:name w:val="xl206"/>
    <w:basedOn w:val="Normal"/>
    <w:uiPriority w:val="99"/>
    <w:semiHidden/>
    <w:rsid w:val="00512F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b/>
      <w:bCs/>
    </w:rPr>
  </w:style>
  <w:style w:type="paragraph" w:customStyle="1" w:styleId="xl207">
    <w:name w:val="xl207"/>
    <w:basedOn w:val="Normal"/>
    <w:uiPriority w:val="99"/>
    <w:semiHidden/>
    <w:rsid w:val="00512FE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08">
    <w:name w:val="xl208"/>
    <w:basedOn w:val="Normal"/>
    <w:uiPriority w:val="99"/>
    <w:semiHidden/>
    <w:rsid w:val="00512FE8"/>
    <w:pPr>
      <w:pBdr>
        <w:left w:val="single" w:sz="4" w:space="7" w:color="auto"/>
        <w:bottom w:val="single" w:sz="4" w:space="0" w:color="auto"/>
      </w:pBdr>
      <w:shd w:val="clear" w:color="auto" w:fill="FFFFFF"/>
      <w:spacing w:before="100" w:beforeAutospacing="1" w:after="100" w:afterAutospacing="1"/>
      <w:ind w:firstLineChars="100" w:firstLine="100"/>
    </w:pPr>
    <w:rPr>
      <w:rFonts w:ascii="Times New Roman" w:hAnsi="Times New Roman"/>
      <w:b/>
      <w:bCs/>
    </w:rPr>
  </w:style>
  <w:style w:type="paragraph" w:customStyle="1" w:styleId="xl209">
    <w:name w:val="xl209"/>
    <w:basedOn w:val="Normal"/>
    <w:uiPriority w:val="99"/>
    <w:semiHidden/>
    <w:rsid w:val="00512FE8"/>
    <w:pPr>
      <w:pBdr>
        <w:left w:val="single" w:sz="4" w:space="0" w:color="auto"/>
        <w:bottom w:val="single" w:sz="4" w:space="0" w:color="auto"/>
      </w:pBdr>
      <w:shd w:val="clear" w:color="auto" w:fill="D9D9D9"/>
      <w:spacing w:before="100" w:beforeAutospacing="1" w:after="100" w:afterAutospacing="1"/>
    </w:pPr>
    <w:rPr>
      <w:rFonts w:ascii="Times New Roman" w:hAnsi="Times New Roman"/>
      <w:b/>
      <w:bCs/>
    </w:rPr>
  </w:style>
  <w:style w:type="paragraph" w:customStyle="1" w:styleId="xl210">
    <w:name w:val="xl210"/>
    <w:basedOn w:val="Normal"/>
    <w:uiPriority w:val="99"/>
    <w:semiHidden/>
    <w:rsid w:val="00512FE8"/>
    <w:pPr>
      <w:pBdr>
        <w:left w:val="single" w:sz="4" w:space="0" w:color="auto"/>
        <w:bottom w:val="single" w:sz="4" w:space="0" w:color="auto"/>
      </w:pBdr>
      <w:shd w:val="clear" w:color="auto" w:fill="D9D9D9"/>
      <w:spacing w:before="100" w:beforeAutospacing="1" w:after="100" w:afterAutospacing="1"/>
      <w:jc w:val="center"/>
    </w:pPr>
    <w:rPr>
      <w:rFonts w:ascii="Times New Roman" w:hAnsi="Times New Roman"/>
      <w:b/>
      <w:bCs/>
      <w:color w:val="FFFFFF"/>
    </w:rPr>
  </w:style>
  <w:style w:type="paragraph" w:customStyle="1" w:styleId="xl211">
    <w:name w:val="xl211"/>
    <w:basedOn w:val="Normal"/>
    <w:uiPriority w:val="99"/>
    <w:semiHidden/>
    <w:rsid w:val="00512FE8"/>
    <w:pPr>
      <w:pBdr>
        <w:bottom w:val="single" w:sz="4" w:space="0" w:color="auto"/>
      </w:pBdr>
      <w:shd w:val="clear" w:color="auto" w:fill="D9D9D9"/>
      <w:spacing w:before="100" w:beforeAutospacing="1" w:after="100" w:afterAutospacing="1"/>
      <w:jc w:val="center"/>
    </w:pPr>
    <w:rPr>
      <w:rFonts w:ascii="Times New Roman" w:hAnsi="Times New Roman"/>
      <w:b/>
      <w:bCs/>
      <w:color w:val="FFFFFF"/>
    </w:rPr>
  </w:style>
  <w:style w:type="paragraph" w:customStyle="1" w:styleId="xl212">
    <w:name w:val="xl212"/>
    <w:basedOn w:val="Normal"/>
    <w:uiPriority w:val="99"/>
    <w:semiHidden/>
    <w:rsid w:val="00512FE8"/>
    <w:pPr>
      <w:pBdr>
        <w:bottom w:val="single" w:sz="4" w:space="0" w:color="auto"/>
        <w:right w:val="single" w:sz="4" w:space="0" w:color="auto"/>
      </w:pBdr>
      <w:shd w:val="clear" w:color="auto" w:fill="D9D9D9"/>
      <w:spacing w:before="100" w:beforeAutospacing="1" w:after="100" w:afterAutospacing="1"/>
      <w:jc w:val="center"/>
    </w:pPr>
    <w:rPr>
      <w:rFonts w:ascii="Times New Roman" w:hAnsi="Times New Roman"/>
      <w:b/>
      <w:bCs/>
      <w:color w:val="FFFFFF"/>
    </w:rPr>
  </w:style>
  <w:style w:type="paragraph" w:customStyle="1" w:styleId="xl213">
    <w:name w:val="xl213"/>
    <w:basedOn w:val="Normal"/>
    <w:uiPriority w:val="99"/>
    <w:semiHidden/>
    <w:rsid w:val="00512FE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Times New Roman" w:hAnsi="Times New Roman"/>
      <w:b/>
      <w:bCs/>
      <w:color w:val="FFFFFF"/>
    </w:rPr>
  </w:style>
  <w:style w:type="paragraph" w:customStyle="1" w:styleId="xl214">
    <w:name w:val="xl214"/>
    <w:basedOn w:val="Normal"/>
    <w:uiPriority w:val="99"/>
    <w:semiHidden/>
    <w:rsid w:val="00512FE8"/>
    <w:pPr>
      <w:pBdr>
        <w:left w:val="single" w:sz="4" w:space="0" w:color="auto"/>
        <w:bottom w:val="single" w:sz="4" w:space="0" w:color="auto"/>
      </w:pBdr>
      <w:shd w:val="clear" w:color="auto" w:fill="FFFFFF"/>
      <w:spacing w:before="100" w:beforeAutospacing="1" w:after="100" w:afterAutospacing="1"/>
    </w:pPr>
    <w:rPr>
      <w:rFonts w:ascii="Times New Roman" w:hAnsi="Times New Roman"/>
    </w:rPr>
  </w:style>
  <w:style w:type="paragraph" w:customStyle="1" w:styleId="xl215">
    <w:name w:val="xl215"/>
    <w:basedOn w:val="Normal"/>
    <w:uiPriority w:val="99"/>
    <w:semiHidden/>
    <w:rsid w:val="00512FE8"/>
    <w:pPr>
      <w:pBdr>
        <w:top w:val="single" w:sz="4" w:space="0" w:color="auto"/>
        <w:left w:val="single" w:sz="4" w:space="0" w:color="auto"/>
        <w:bottom w:val="single" w:sz="4" w:space="0" w:color="auto"/>
      </w:pBdr>
      <w:shd w:val="clear" w:color="auto" w:fill="D9D9D9"/>
      <w:spacing w:before="100" w:beforeAutospacing="1" w:after="100" w:afterAutospacing="1"/>
      <w:jc w:val="center"/>
    </w:pPr>
    <w:rPr>
      <w:rFonts w:ascii="Times New Roman" w:hAnsi="Times New Roman"/>
      <w:b/>
      <w:bCs/>
    </w:rPr>
  </w:style>
  <w:style w:type="paragraph" w:customStyle="1" w:styleId="xl216">
    <w:name w:val="xl216"/>
    <w:basedOn w:val="Normal"/>
    <w:uiPriority w:val="99"/>
    <w:semiHidden/>
    <w:rsid w:val="00512FE8"/>
    <w:pPr>
      <w:pBdr>
        <w:bottom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17">
    <w:name w:val="xl217"/>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pPr>
    <w:rPr>
      <w:rFonts w:ascii="Times New Roman" w:hAnsi="Times New Roman"/>
    </w:rPr>
  </w:style>
  <w:style w:type="paragraph" w:customStyle="1" w:styleId="xl218">
    <w:name w:val="xl218"/>
    <w:basedOn w:val="Normal"/>
    <w:uiPriority w:val="99"/>
    <w:semiHidden/>
    <w:rsid w:val="00512FE8"/>
    <w:pPr>
      <w:pBdr>
        <w:top w:val="single" w:sz="4" w:space="0" w:color="auto"/>
        <w:left w:val="single" w:sz="4" w:space="0" w:color="auto"/>
      </w:pBdr>
      <w:shd w:val="clear" w:color="auto" w:fill="D9D9D9"/>
      <w:spacing w:before="100" w:beforeAutospacing="1" w:after="100" w:afterAutospacing="1"/>
      <w:jc w:val="right"/>
    </w:pPr>
    <w:rPr>
      <w:rFonts w:ascii="Times New Roman" w:hAnsi="Times New Roman"/>
    </w:rPr>
  </w:style>
  <w:style w:type="paragraph" w:customStyle="1" w:styleId="xl219">
    <w:name w:val="xl219"/>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20">
    <w:name w:val="xl220"/>
    <w:basedOn w:val="Normal"/>
    <w:uiPriority w:val="99"/>
    <w:semiHidden/>
    <w:rsid w:val="00512FE8"/>
    <w:pPr>
      <w:pBdr>
        <w:lef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21">
    <w:name w:val="xl221"/>
    <w:basedOn w:val="Normal"/>
    <w:uiPriority w:val="99"/>
    <w:semiHidden/>
    <w:rsid w:val="00512FE8"/>
    <w:pPr>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Times New Roman" w:hAnsi="Times New Roman"/>
      <w:b/>
      <w:bCs/>
    </w:rPr>
  </w:style>
  <w:style w:type="paragraph" w:customStyle="1" w:styleId="xl222">
    <w:name w:val="xl222"/>
    <w:basedOn w:val="Normal"/>
    <w:uiPriority w:val="99"/>
    <w:semiHidden/>
    <w:rsid w:val="00512FE8"/>
    <w:pPr>
      <w:pBdr>
        <w:left w:val="single" w:sz="4" w:space="0" w:color="auto"/>
      </w:pBdr>
      <w:shd w:val="clear" w:color="auto" w:fill="FFFFFF"/>
      <w:spacing w:before="100" w:beforeAutospacing="1" w:after="100" w:afterAutospacing="1"/>
      <w:jc w:val="right"/>
    </w:pPr>
    <w:rPr>
      <w:rFonts w:ascii="Times New Roman" w:hAnsi="Times New Roman"/>
      <w:b/>
      <w:bCs/>
    </w:rPr>
  </w:style>
  <w:style w:type="paragraph" w:customStyle="1" w:styleId="xl223">
    <w:name w:val="xl223"/>
    <w:basedOn w:val="Normal"/>
    <w:uiPriority w:val="99"/>
    <w:semiHidden/>
    <w:rsid w:val="00512FE8"/>
    <w:pPr>
      <w:pBdr>
        <w:top w:val="single" w:sz="4" w:space="0" w:color="auto"/>
        <w:left w:val="single" w:sz="4" w:space="0" w:color="auto"/>
      </w:pBdr>
      <w:shd w:val="clear" w:color="auto" w:fill="4F81BD"/>
      <w:spacing w:before="100" w:beforeAutospacing="1" w:after="100" w:afterAutospacing="1"/>
      <w:jc w:val="center"/>
    </w:pPr>
    <w:rPr>
      <w:rFonts w:ascii="Times New Roman" w:hAnsi="Times New Roman"/>
      <w:b/>
      <w:bCs/>
      <w:color w:val="FFFFFF"/>
    </w:rPr>
  </w:style>
  <w:style w:type="paragraph" w:customStyle="1" w:styleId="xl224">
    <w:name w:val="xl224"/>
    <w:basedOn w:val="Normal"/>
    <w:uiPriority w:val="99"/>
    <w:semiHidden/>
    <w:rsid w:val="00512FE8"/>
    <w:pPr>
      <w:pBdr>
        <w:top w:val="single" w:sz="4" w:space="0" w:color="auto"/>
      </w:pBdr>
      <w:shd w:val="clear" w:color="auto" w:fill="4F81BD"/>
      <w:spacing w:before="100" w:beforeAutospacing="1" w:after="100" w:afterAutospacing="1"/>
      <w:jc w:val="center"/>
    </w:pPr>
    <w:rPr>
      <w:rFonts w:ascii="Times New Roman" w:hAnsi="Times New Roman"/>
      <w:color w:val="FFFFFF"/>
    </w:rPr>
  </w:style>
  <w:style w:type="paragraph" w:customStyle="1" w:styleId="xl225">
    <w:name w:val="xl225"/>
    <w:basedOn w:val="Normal"/>
    <w:uiPriority w:val="99"/>
    <w:semiHidden/>
    <w:rsid w:val="00512FE8"/>
    <w:pPr>
      <w:pBdr>
        <w:top w:val="single" w:sz="4" w:space="0" w:color="auto"/>
        <w:right w:val="single" w:sz="4" w:space="0" w:color="auto"/>
      </w:pBdr>
      <w:shd w:val="clear" w:color="auto" w:fill="4F81BD"/>
      <w:spacing w:before="100" w:beforeAutospacing="1" w:after="100" w:afterAutospacing="1"/>
      <w:jc w:val="center"/>
    </w:pPr>
    <w:rPr>
      <w:rFonts w:ascii="Times New Roman" w:hAnsi="Times New Roman"/>
      <w:color w:val="FFFFFF"/>
    </w:rPr>
  </w:style>
  <w:style w:type="paragraph" w:customStyle="1" w:styleId="xl226">
    <w:name w:val="xl226"/>
    <w:basedOn w:val="Normal"/>
    <w:uiPriority w:val="99"/>
    <w:semiHidden/>
    <w:rsid w:val="00512FE8"/>
    <w:pPr>
      <w:shd w:val="clear" w:color="auto" w:fill="FFFFFF"/>
      <w:spacing w:before="100" w:beforeAutospacing="1" w:after="100" w:afterAutospacing="1"/>
    </w:pPr>
    <w:rPr>
      <w:rFonts w:ascii="Times New Roman" w:hAnsi="Times New Roman"/>
      <w:i/>
      <w:iCs/>
      <w:color w:val="000000"/>
      <w:sz w:val="12"/>
      <w:szCs w:val="12"/>
    </w:rPr>
  </w:style>
  <w:style w:type="paragraph" w:customStyle="1" w:styleId="xl227">
    <w:name w:val="xl227"/>
    <w:basedOn w:val="Normal"/>
    <w:uiPriority w:val="99"/>
    <w:semiHidden/>
    <w:rsid w:val="00512FE8"/>
    <w:pPr>
      <w:pBdr>
        <w:top w:val="single" w:sz="4" w:space="0" w:color="auto"/>
      </w:pBdr>
      <w:shd w:val="clear" w:color="auto" w:fill="FFFFFF"/>
      <w:spacing w:before="100" w:beforeAutospacing="1" w:after="100" w:afterAutospacing="1"/>
    </w:pPr>
    <w:rPr>
      <w:rFonts w:ascii="Times New Roman" w:hAnsi="Times New Roman"/>
      <w:i/>
      <w:iCs/>
      <w:sz w:val="12"/>
      <w:szCs w:val="12"/>
    </w:rPr>
  </w:style>
  <w:style w:type="paragraph" w:customStyle="1" w:styleId="xl228">
    <w:name w:val="xl228"/>
    <w:basedOn w:val="Normal"/>
    <w:uiPriority w:val="99"/>
    <w:semiHidden/>
    <w:rsid w:val="00512FE8"/>
    <w:pPr>
      <w:pBdr>
        <w:left w:val="single" w:sz="4" w:space="0" w:color="auto"/>
        <w:bottom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29">
    <w:name w:val="xl229"/>
    <w:basedOn w:val="Normal"/>
    <w:uiPriority w:val="99"/>
    <w:semiHidden/>
    <w:rsid w:val="00512FE8"/>
    <w:pPr>
      <w:pBdr>
        <w:bottom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30">
    <w:name w:val="xl230"/>
    <w:basedOn w:val="Normal"/>
    <w:uiPriority w:val="99"/>
    <w:semiHidden/>
    <w:rsid w:val="00512FE8"/>
    <w:pPr>
      <w:pBdr>
        <w:bottom w:val="single" w:sz="4" w:space="0" w:color="auto"/>
        <w:right w:val="single" w:sz="4" w:space="0" w:color="auto"/>
      </w:pBdr>
      <w:shd w:val="clear" w:color="auto" w:fill="FFFFFF"/>
      <w:spacing w:before="100" w:beforeAutospacing="1" w:after="100" w:afterAutospacing="1"/>
      <w:jc w:val="right"/>
    </w:pPr>
    <w:rPr>
      <w:rFonts w:ascii="Times New Roman" w:hAnsi="Times New Roman"/>
    </w:rPr>
  </w:style>
  <w:style w:type="paragraph" w:customStyle="1" w:styleId="xl231">
    <w:name w:val="xl231"/>
    <w:basedOn w:val="Normal"/>
    <w:uiPriority w:val="99"/>
    <w:semiHidden/>
    <w:rsid w:val="00512FE8"/>
    <w:pPr>
      <w:pBdr>
        <w:top w:val="single" w:sz="4" w:space="0" w:color="000000"/>
        <w:left w:val="single" w:sz="4" w:space="0" w:color="000000"/>
        <w:bottom w:val="single" w:sz="4" w:space="0" w:color="000000"/>
      </w:pBdr>
      <w:shd w:val="clear" w:color="auto" w:fill="FFFFFF"/>
      <w:spacing w:before="100" w:beforeAutospacing="1" w:after="100" w:afterAutospacing="1"/>
    </w:pPr>
    <w:rPr>
      <w:rFonts w:ascii="Times New Roman" w:hAnsi="Times New Roman"/>
    </w:rPr>
  </w:style>
  <w:style w:type="character" w:styleId="CommentReference">
    <w:name w:val="annotation reference"/>
    <w:uiPriority w:val="99"/>
    <w:semiHidden/>
    <w:unhideWhenUsed/>
    <w:rsid w:val="00512FE8"/>
    <w:rPr>
      <w:sz w:val="16"/>
      <w:szCs w:val="16"/>
    </w:rPr>
  </w:style>
  <w:style w:type="character" w:styleId="PlaceholderText">
    <w:name w:val="Placeholder Text"/>
    <w:uiPriority w:val="99"/>
    <w:semiHidden/>
    <w:rsid w:val="00512FE8"/>
    <w:rPr>
      <w:color w:val="808080"/>
    </w:rPr>
  </w:style>
  <w:style w:type="character" w:styleId="SubtleEmphasis">
    <w:name w:val="Subtle Emphasis"/>
    <w:uiPriority w:val="19"/>
    <w:qFormat/>
    <w:rsid w:val="00564B2F"/>
    <w:rPr>
      <w:i/>
      <w:iCs/>
      <w:color w:val="243F60" w:themeColor="accent1" w:themeShade="7F"/>
    </w:rPr>
  </w:style>
  <w:style w:type="character" w:customStyle="1" w:styleId="apple-converted-space">
    <w:name w:val="apple-converted-space"/>
    <w:basedOn w:val="DefaultParagraphFont"/>
    <w:rsid w:val="00512FE8"/>
  </w:style>
  <w:style w:type="table" w:styleId="TableGrid">
    <w:name w:val="Table Grid"/>
    <w:basedOn w:val="TableNormal"/>
    <w:uiPriority w:val="39"/>
    <w:rsid w:val="00512F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512FE8"/>
    <w:pPr>
      <w:spacing w:after="0" w:line="240" w:lineRule="auto"/>
    </w:pPr>
    <w:rPr>
      <w:rFonts w:ascii="Calibri" w:eastAsia="Calibri" w:hAnsi="Calibri" w:cs="Times New Roman"/>
      <w:sz w:val="20"/>
      <w:szCs w:val="20"/>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character" w:customStyle="1" w:styleId="Heading6Char">
    <w:name w:val="Heading 6 Char"/>
    <w:basedOn w:val="DefaultParagraphFont"/>
    <w:link w:val="Heading6"/>
    <w:uiPriority w:val="9"/>
    <w:semiHidden/>
    <w:rsid w:val="00564B2F"/>
    <w:rPr>
      <w:caps/>
      <w:color w:val="365F91" w:themeColor="accent1" w:themeShade="BF"/>
      <w:spacing w:val="10"/>
    </w:rPr>
  </w:style>
  <w:style w:type="character" w:customStyle="1" w:styleId="Heading7Char">
    <w:name w:val="Heading 7 Char"/>
    <w:basedOn w:val="DefaultParagraphFont"/>
    <w:link w:val="Heading7"/>
    <w:uiPriority w:val="9"/>
    <w:semiHidden/>
    <w:rsid w:val="00564B2F"/>
    <w:rPr>
      <w:caps/>
      <w:color w:val="365F91" w:themeColor="accent1" w:themeShade="BF"/>
      <w:spacing w:val="10"/>
    </w:rPr>
  </w:style>
  <w:style w:type="character" w:customStyle="1" w:styleId="Heading8Char">
    <w:name w:val="Heading 8 Char"/>
    <w:basedOn w:val="DefaultParagraphFont"/>
    <w:link w:val="Heading8"/>
    <w:uiPriority w:val="9"/>
    <w:semiHidden/>
    <w:rsid w:val="00564B2F"/>
    <w:rPr>
      <w:caps/>
      <w:spacing w:val="10"/>
      <w:sz w:val="18"/>
      <w:szCs w:val="18"/>
    </w:rPr>
  </w:style>
  <w:style w:type="character" w:customStyle="1" w:styleId="Heading9Char">
    <w:name w:val="Heading 9 Char"/>
    <w:basedOn w:val="DefaultParagraphFont"/>
    <w:link w:val="Heading9"/>
    <w:uiPriority w:val="9"/>
    <w:semiHidden/>
    <w:rsid w:val="00564B2F"/>
    <w:rPr>
      <w:i/>
      <w:caps/>
      <w:spacing w:val="10"/>
      <w:sz w:val="18"/>
      <w:szCs w:val="18"/>
    </w:rPr>
  </w:style>
  <w:style w:type="paragraph" w:styleId="Caption">
    <w:name w:val="caption"/>
    <w:basedOn w:val="Normal"/>
    <w:next w:val="Normal"/>
    <w:uiPriority w:val="35"/>
    <w:semiHidden/>
    <w:unhideWhenUsed/>
    <w:qFormat/>
    <w:rsid w:val="00564B2F"/>
    <w:rPr>
      <w:b/>
      <w:bCs/>
      <w:color w:val="365F91" w:themeColor="accent1" w:themeShade="BF"/>
      <w:sz w:val="16"/>
      <w:szCs w:val="16"/>
    </w:rPr>
  </w:style>
  <w:style w:type="character" w:styleId="Strong">
    <w:name w:val="Strong"/>
    <w:uiPriority w:val="22"/>
    <w:qFormat/>
    <w:rsid w:val="00564B2F"/>
    <w:rPr>
      <w:b/>
      <w:bCs/>
    </w:rPr>
  </w:style>
  <w:style w:type="character" w:styleId="Emphasis">
    <w:name w:val="Emphasis"/>
    <w:uiPriority w:val="20"/>
    <w:qFormat/>
    <w:rsid w:val="00564B2F"/>
    <w:rPr>
      <w:caps/>
      <w:color w:val="243F60" w:themeColor="accent1" w:themeShade="7F"/>
      <w:spacing w:val="5"/>
    </w:rPr>
  </w:style>
  <w:style w:type="paragraph" w:styleId="NoSpacing">
    <w:name w:val="No Spacing"/>
    <w:basedOn w:val="Normal"/>
    <w:link w:val="NoSpacingChar"/>
    <w:uiPriority w:val="1"/>
    <w:qFormat/>
    <w:rsid w:val="00564B2F"/>
    <w:pPr>
      <w:spacing w:before="0" w:after="0" w:line="240" w:lineRule="auto"/>
    </w:pPr>
  </w:style>
  <w:style w:type="character" w:customStyle="1" w:styleId="NoSpacingChar">
    <w:name w:val="No Spacing Char"/>
    <w:basedOn w:val="DefaultParagraphFont"/>
    <w:link w:val="NoSpacing"/>
    <w:uiPriority w:val="1"/>
    <w:rsid w:val="00564B2F"/>
    <w:rPr>
      <w:sz w:val="20"/>
      <w:szCs w:val="20"/>
    </w:rPr>
  </w:style>
  <w:style w:type="paragraph" w:styleId="Quote">
    <w:name w:val="Quote"/>
    <w:basedOn w:val="Normal"/>
    <w:next w:val="Normal"/>
    <w:link w:val="QuoteChar"/>
    <w:uiPriority w:val="29"/>
    <w:qFormat/>
    <w:rsid w:val="00564B2F"/>
    <w:rPr>
      <w:i/>
      <w:iCs/>
    </w:rPr>
  </w:style>
  <w:style w:type="character" w:customStyle="1" w:styleId="QuoteChar">
    <w:name w:val="Quote Char"/>
    <w:basedOn w:val="DefaultParagraphFont"/>
    <w:link w:val="Quote"/>
    <w:uiPriority w:val="29"/>
    <w:rsid w:val="00564B2F"/>
    <w:rPr>
      <w:i/>
      <w:iCs/>
      <w:sz w:val="20"/>
      <w:szCs w:val="20"/>
    </w:rPr>
  </w:style>
  <w:style w:type="paragraph" w:styleId="IntenseQuote">
    <w:name w:val="Intense Quote"/>
    <w:basedOn w:val="Normal"/>
    <w:next w:val="Normal"/>
    <w:link w:val="IntenseQuoteChar"/>
    <w:uiPriority w:val="30"/>
    <w:qFormat/>
    <w:rsid w:val="00564B2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64B2F"/>
    <w:rPr>
      <w:i/>
      <w:iCs/>
      <w:color w:val="4F81BD" w:themeColor="accent1"/>
      <w:sz w:val="20"/>
      <w:szCs w:val="20"/>
    </w:rPr>
  </w:style>
  <w:style w:type="character" w:styleId="IntenseEmphasis">
    <w:name w:val="Intense Emphasis"/>
    <w:uiPriority w:val="21"/>
    <w:qFormat/>
    <w:rsid w:val="00564B2F"/>
    <w:rPr>
      <w:b/>
      <w:bCs/>
      <w:caps/>
      <w:color w:val="243F60" w:themeColor="accent1" w:themeShade="7F"/>
      <w:spacing w:val="10"/>
    </w:rPr>
  </w:style>
  <w:style w:type="character" w:styleId="SubtleReference">
    <w:name w:val="Subtle Reference"/>
    <w:uiPriority w:val="31"/>
    <w:qFormat/>
    <w:rsid w:val="00564B2F"/>
    <w:rPr>
      <w:b/>
      <w:bCs/>
      <w:color w:val="4F81BD" w:themeColor="accent1"/>
    </w:rPr>
  </w:style>
  <w:style w:type="character" w:styleId="IntenseReference">
    <w:name w:val="Intense Reference"/>
    <w:uiPriority w:val="32"/>
    <w:qFormat/>
    <w:rsid w:val="00564B2F"/>
    <w:rPr>
      <w:b/>
      <w:bCs/>
      <w:i/>
      <w:iCs/>
      <w:caps/>
      <w:color w:val="4F81BD" w:themeColor="accent1"/>
    </w:rPr>
  </w:style>
  <w:style w:type="character" w:styleId="BookTitle">
    <w:name w:val="Book Title"/>
    <w:uiPriority w:val="33"/>
    <w:qFormat/>
    <w:rsid w:val="00564B2F"/>
    <w:rPr>
      <w:b/>
      <w:bCs/>
      <w:i/>
      <w:iCs/>
      <w:spacing w:val="9"/>
    </w:rPr>
  </w:style>
  <w:style w:type="paragraph" w:styleId="FootnoteText">
    <w:name w:val="footnote text"/>
    <w:basedOn w:val="Normal"/>
    <w:link w:val="FootnoteTextChar"/>
    <w:uiPriority w:val="99"/>
    <w:semiHidden/>
    <w:unhideWhenUsed/>
    <w:rsid w:val="00B75354"/>
    <w:pPr>
      <w:spacing w:before="0" w:after="0" w:line="240" w:lineRule="auto"/>
    </w:pPr>
  </w:style>
  <w:style w:type="character" w:customStyle="1" w:styleId="FootnoteTextChar">
    <w:name w:val="Footnote Text Char"/>
    <w:basedOn w:val="DefaultParagraphFont"/>
    <w:link w:val="FootnoteText"/>
    <w:uiPriority w:val="99"/>
    <w:semiHidden/>
    <w:rsid w:val="00B75354"/>
    <w:rPr>
      <w:sz w:val="20"/>
      <w:szCs w:val="20"/>
    </w:rPr>
  </w:style>
  <w:style w:type="character" w:styleId="FootnoteReference">
    <w:name w:val="footnote reference"/>
    <w:basedOn w:val="DefaultParagraphFont"/>
    <w:uiPriority w:val="99"/>
    <w:semiHidden/>
    <w:unhideWhenUsed/>
    <w:rsid w:val="00B75354"/>
    <w:rPr>
      <w:vertAlign w:val="superscript"/>
    </w:rPr>
  </w:style>
  <w:style w:type="table" w:customStyle="1" w:styleId="GridTable4-Accent11">
    <w:name w:val="Grid Table 4 - Accent 11"/>
    <w:basedOn w:val="TableNormal"/>
    <w:uiPriority w:val="49"/>
    <w:rsid w:val="00637E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2">
    <w:name w:val="List Table 4 - Accent 12"/>
    <w:basedOn w:val="TableNormal"/>
    <w:uiPriority w:val="49"/>
    <w:rsid w:val="00445A1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445A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B413DF"/>
    <w:pPr>
      <w:spacing w:before="0"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OC9">
    <w:name w:val="toc 9"/>
    <w:basedOn w:val="Normal"/>
    <w:next w:val="Normal"/>
    <w:autoRedefine/>
    <w:uiPriority w:val="39"/>
    <w:unhideWhenUsed/>
    <w:rsid w:val="003C4C6E"/>
    <w:pPr>
      <w:spacing w:before="0" w:after="0"/>
      <w:ind w:left="1400"/>
    </w:pPr>
  </w:style>
  <w:style w:type="paragraph" w:styleId="EndnoteText">
    <w:name w:val="endnote text"/>
    <w:basedOn w:val="Normal"/>
    <w:link w:val="EndnoteTextChar"/>
    <w:uiPriority w:val="99"/>
    <w:semiHidden/>
    <w:unhideWhenUsed/>
    <w:rsid w:val="003C3AD0"/>
    <w:pPr>
      <w:spacing w:before="0" w:after="0" w:line="240" w:lineRule="auto"/>
    </w:pPr>
  </w:style>
  <w:style w:type="character" w:customStyle="1" w:styleId="EndnoteTextChar">
    <w:name w:val="Endnote Text Char"/>
    <w:basedOn w:val="DefaultParagraphFont"/>
    <w:link w:val="EndnoteText"/>
    <w:uiPriority w:val="99"/>
    <w:semiHidden/>
    <w:rsid w:val="003C3AD0"/>
    <w:rPr>
      <w:sz w:val="20"/>
      <w:szCs w:val="20"/>
    </w:rPr>
  </w:style>
  <w:style w:type="character" w:styleId="EndnoteReference">
    <w:name w:val="endnote reference"/>
    <w:basedOn w:val="DefaultParagraphFont"/>
    <w:uiPriority w:val="99"/>
    <w:semiHidden/>
    <w:unhideWhenUsed/>
    <w:rsid w:val="003C3AD0"/>
    <w:rPr>
      <w:vertAlign w:val="superscript"/>
    </w:rPr>
  </w:style>
  <w:style w:type="table" w:styleId="GridTable4-Accent1">
    <w:name w:val="Grid Table 4 Accent 1"/>
    <w:basedOn w:val="TableNormal"/>
    <w:uiPriority w:val="49"/>
    <w:rsid w:val="004F1C9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4">
    <w:name w:val="Grid Table 4 Accent 4"/>
    <w:basedOn w:val="TableNormal"/>
    <w:uiPriority w:val="49"/>
    <w:rsid w:val="00DB13A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2">
    <w:name w:val="Grid Table 4 Accent 2"/>
    <w:basedOn w:val="TableNormal"/>
    <w:uiPriority w:val="49"/>
    <w:rsid w:val="00DB13A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A33BB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52">
    <w:name w:val="Grid Table 5 Dark - Accent 52"/>
    <w:basedOn w:val="TableNormal"/>
    <w:uiPriority w:val="50"/>
    <w:rsid w:val="008A385E"/>
    <w:pPr>
      <w:spacing w:before="0"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MediumShading1-Accent4">
    <w:name w:val="Medium Shading 1 Accent 4"/>
    <w:basedOn w:val="TableNormal"/>
    <w:uiPriority w:val="63"/>
    <w:rsid w:val="008A385E"/>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A385E"/>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5">
    <w:name w:val="toc 5"/>
    <w:basedOn w:val="Normal"/>
    <w:next w:val="Normal"/>
    <w:autoRedefine/>
    <w:uiPriority w:val="39"/>
    <w:unhideWhenUsed/>
    <w:rsid w:val="00C47B1C"/>
    <w:pPr>
      <w:spacing w:before="0" w:after="0"/>
      <w:ind w:left="600"/>
    </w:pPr>
  </w:style>
  <w:style w:type="paragraph" w:styleId="TOC6">
    <w:name w:val="toc 6"/>
    <w:basedOn w:val="Normal"/>
    <w:next w:val="Normal"/>
    <w:autoRedefine/>
    <w:uiPriority w:val="39"/>
    <w:unhideWhenUsed/>
    <w:rsid w:val="00C47B1C"/>
    <w:pPr>
      <w:spacing w:before="0" w:after="0"/>
      <w:ind w:left="800"/>
    </w:pPr>
  </w:style>
  <w:style w:type="paragraph" w:styleId="TOC7">
    <w:name w:val="toc 7"/>
    <w:basedOn w:val="Normal"/>
    <w:next w:val="Normal"/>
    <w:autoRedefine/>
    <w:uiPriority w:val="39"/>
    <w:unhideWhenUsed/>
    <w:rsid w:val="00C47B1C"/>
    <w:pPr>
      <w:spacing w:before="0" w:after="0"/>
      <w:ind w:left="1000"/>
    </w:pPr>
  </w:style>
  <w:style w:type="paragraph" w:styleId="TOC8">
    <w:name w:val="toc 8"/>
    <w:basedOn w:val="Normal"/>
    <w:next w:val="Normal"/>
    <w:autoRedefine/>
    <w:uiPriority w:val="39"/>
    <w:unhideWhenUsed/>
    <w:rsid w:val="00C47B1C"/>
    <w:pPr>
      <w:spacing w:before="0" w:after="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242">
      <w:bodyDiv w:val="1"/>
      <w:marLeft w:val="0"/>
      <w:marRight w:val="0"/>
      <w:marTop w:val="0"/>
      <w:marBottom w:val="0"/>
      <w:divBdr>
        <w:top w:val="none" w:sz="0" w:space="0" w:color="auto"/>
        <w:left w:val="none" w:sz="0" w:space="0" w:color="auto"/>
        <w:bottom w:val="none" w:sz="0" w:space="0" w:color="auto"/>
        <w:right w:val="none" w:sz="0" w:space="0" w:color="auto"/>
      </w:divBdr>
    </w:div>
    <w:div w:id="221331867">
      <w:bodyDiv w:val="1"/>
      <w:marLeft w:val="0"/>
      <w:marRight w:val="0"/>
      <w:marTop w:val="0"/>
      <w:marBottom w:val="0"/>
      <w:divBdr>
        <w:top w:val="none" w:sz="0" w:space="0" w:color="auto"/>
        <w:left w:val="none" w:sz="0" w:space="0" w:color="auto"/>
        <w:bottom w:val="none" w:sz="0" w:space="0" w:color="auto"/>
        <w:right w:val="none" w:sz="0" w:space="0" w:color="auto"/>
      </w:divBdr>
    </w:div>
    <w:div w:id="299573881">
      <w:bodyDiv w:val="1"/>
      <w:marLeft w:val="0"/>
      <w:marRight w:val="0"/>
      <w:marTop w:val="0"/>
      <w:marBottom w:val="0"/>
      <w:divBdr>
        <w:top w:val="none" w:sz="0" w:space="0" w:color="auto"/>
        <w:left w:val="none" w:sz="0" w:space="0" w:color="auto"/>
        <w:bottom w:val="none" w:sz="0" w:space="0" w:color="auto"/>
        <w:right w:val="none" w:sz="0" w:space="0" w:color="auto"/>
      </w:divBdr>
    </w:div>
    <w:div w:id="720636977">
      <w:bodyDiv w:val="1"/>
      <w:marLeft w:val="0"/>
      <w:marRight w:val="0"/>
      <w:marTop w:val="0"/>
      <w:marBottom w:val="0"/>
      <w:divBdr>
        <w:top w:val="none" w:sz="0" w:space="0" w:color="auto"/>
        <w:left w:val="none" w:sz="0" w:space="0" w:color="auto"/>
        <w:bottom w:val="none" w:sz="0" w:space="0" w:color="auto"/>
        <w:right w:val="none" w:sz="0" w:space="0" w:color="auto"/>
      </w:divBdr>
    </w:div>
    <w:div w:id="928468724">
      <w:bodyDiv w:val="1"/>
      <w:marLeft w:val="0"/>
      <w:marRight w:val="0"/>
      <w:marTop w:val="0"/>
      <w:marBottom w:val="0"/>
      <w:divBdr>
        <w:top w:val="none" w:sz="0" w:space="0" w:color="auto"/>
        <w:left w:val="none" w:sz="0" w:space="0" w:color="auto"/>
        <w:bottom w:val="none" w:sz="0" w:space="0" w:color="auto"/>
        <w:right w:val="none" w:sz="0" w:space="0" w:color="auto"/>
      </w:divBdr>
    </w:div>
    <w:div w:id="980497953">
      <w:bodyDiv w:val="1"/>
      <w:marLeft w:val="0"/>
      <w:marRight w:val="0"/>
      <w:marTop w:val="0"/>
      <w:marBottom w:val="0"/>
      <w:divBdr>
        <w:top w:val="none" w:sz="0" w:space="0" w:color="auto"/>
        <w:left w:val="none" w:sz="0" w:space="0" w:color="auto"/>
        <w:bottom w:val="none" w:sz="0" w:space="0" w:color="auto"/>
        <w:right w:val="none" w:sz="0" w:space="0" w:color="auto"/>
      </w:divBdr>
    </w:div>
    <w:div w:id="1090154822">
      <w:bodyDiv w:val="1"/>
      <w:marLeft w:val="0"/>
      <w:marRight w:val="0"/>
      <w:marTop w:val="0"/>
      <w:marBottom w:val="0"/>
      <w:divBdr>
        <w:top w:val="none" w:sz="0" w:space="0" w:color="auto"/>
        <w:left w:val="none" w:sz="0" w:space="0" w:color="auto"/>
        <w:bottom w:val="none" w:sz="0" w:space="0" w:color="auto"/>
        <w:right w:val="none" w:sz="0" w:space="0" w:color="auto"/>
      </w:divBdr>
    </w:div>
    <w:div w:id="1138955862">
      <w:bodyDiv w:val="1"/>
      <w:marLeft w:val="0"/>
      <w:marRight w:val="0"/>
      <w:marTop w:val="0"/>
      <w:marBottom w:val="0"/>
      <w:divBdr>
        <w:top w:val="none" w:sz="0" w:space="0" w:color="auto"/>
        <w:left w:val="none" w:sz="0" w:space="0" w:color="auto"/>
        <w:bottom w:val="none" w:sz="0" w:space="0" w:color="auto"/>
        <w:right w:val="none" w:sz="0" w:space="0" w:color="auto"/>
      </w:divBdr>
    </w:div>
    <w:div w:id="1191917665">
      <w:bodyDiv w:val="1"/>
      <w:marLeft w:val="0"/>
      <w:marRight w:val="0"/>
      <w:marTop w:val="0"/>
      <w:marBottom w:val="0"/>
      <w:divBdr>
        <w:top w:val="none" w:sz="0" w:space="0" w:color="auto"/>
        <w:left w:val="none" w:sz="0" w:space="0" w:color="auto"/>
        <w:bottom w:val="none" w:sz="0" w:space="0" w:color="auto"/>
        <w:right w:val="none" w:sz="0" w:space="0" w:color="auto"/>
      </w:divBdr>
    </w:div>
    <w:div w:id="1386873367">
      <w:bodyDiv w:val="1"/>
      <w:marLeft w:val="0"/>
      <w:marRight w:val="0"/>
      <w:marTop w:val="0"/>
      <w:marBottom w:val="0"/>
      <w:divBdr>
        <w:top w:val="none" w:sz="0" w:space="0" w:color="auto"/>
        <w:left w:val="none" w:sz="0" w:space="0" w:color="auto"/>
        <w:bottom w:val="none" w:sz="0" w:space="0" w:color="auto"/>
        <w:right w:val="none" w:sz="0" w:space="0" w:color="auto"/>
      </w:divBdr>
    </w:div>
    <w:div w:id="1387215548">
      <w:bodyDiv w:val="1"/>
      <w:marLeft w:val="0"/>
      <w:marRight w:val="0"/>
      <w:marTop w:val="0"/>
      <w:marBottom w:val="0"/>
      <w:divBdr>
        <w:top w:val="none" w:sz="0" w:space="0" w:color="auto"/>
        <w:left w:val="none" w:sz="0" w:space="0" w:color="auto"/>
        <w:bottom w:val="none" w:sz="0" w:space="0" w:color="auto"/>
        <w:right w:val="none" w:sz="0" w:space="0" w:color="auto"/>
      </w:divBdr>
    </w:div>
    <w:div w:id="1579510706">
      <w:bodyDiv w:val="1"/>
      <w:marLeft w:val="0"/>
      <w:marRight w:val="0"/>
      <w:marTop w:val="0"/>
      <w:marBottom w:val="0"/>
      <w:divBdr>
        <w:top w:val="none" w:sz="0" w:space="0" w:color="auto"/>
        <w:left w:val="none" w:sz="0" w:space="0" w:color="auto"/>
        <w:bottom w:val="none" w:sz="0" w:space="0" w:color="auto"/>
        <w:right w:val="none" w:sz="0" w:space="0" w:color="auto"/>
      </w:divBdr>
    </w:div>
    <w:div w:id="1607611682">
      <w:bodyDiv w:val="1"/>
      <w:marLeft w:val="0"/>
      <w:marRight w:val="0"/>
      <w:marTop w:val="0"/>
      <w:marBottom w:val="0"/>
      <w:divBdr>
        <w:top w:val="none" w:sz="0" w:space="0" w:color="auto"/>
        <w:left w:val="none" w:sz="0" w:space="0" w:color="auto"/>
        <w:bottom w:val="none" w:sz="0" w:space="0" w:color="auto"/>
        <w:right w:val="none" w:sz="0" w:space="0" w:color="auto"/>
      </w:divBdr>
    </w:div>
    <w:div w:id="1652950447">
      <w:bodyDiv w:val="1"/>
      <w:marLeft w:val="0"/>
      <w:marRight w:val="0"/>
      <w:marTop w:val="0"/>
      <w:marBottom w:val="0"/>
      <w:divBdr>
        <w:top w:val="none" w:sz="0" w:space="0" w:color="auto"/>
        <w:left w:val="none" w:sz="0" w:space="0" w:color="auto"/>
        <w:bottom w:val="none" w:sz="0" w:space="0" w:color="auto"/>
        <w:right w:val="none" w:sz="0" w:space="0" w:color="auto"/>
      </w:divBdr>
    </w:div>
    <w:div w:id="1745568163">
      <w:bodyDiv w:val="1"/>
      <w:marLeft w:val="0"/>
      <w:marRight w:val="0"/>
      <w:marTop w:val="0"/>
      <w:marBottom w:val="0"/>
      <w:divBdr>
        <w:top w:val="none" w:sz="0" w:space="0" w:color="auto"/>
        <w:left w:val="none" w:sz="0" w:space="0" w:color="auto"/>
        <w:bottom w:val="none" w:sz="0" w:space="0" w:color="auto"/>
        <w:right w:val="none" w:sz="0" w:space="0" w:color="auto"/>
      </w:divBdr>
    </w:div>
    <w:div w:id="1863474659">
      <w:bodyDiv w:val="1"/>
      <w:marLeft w:val="0"/>
      <w:marRight w:val="0"/>
      <w:marTop w:val="0"/>
      <w:marBottom w:val="0"/>
      <w:divBdr>
        <w:top w:val="none" w:sz="0" w:space="0" w:color="auto"/>
        <w:left w:val="none" w:sz="0" w:space="0" w:color="auto"/>
        <w:bottom w:val="none" w:sz="0" w:space="0" w:color="auto"/>
        <w:right w:val="none" w:sz="0" w:space="0" w:color="auto"/>
      </w:divBdr>
    </w:div>
    <w:div w:id="1954167415">
      <w:bodyDiv w:val="1"/>
      <w:marLeft w:val="0"/>
      <w:marRight w:val="0"/>
      <w:marTop w:val="0"/>
      <w:marBottom w:val="0"/>
      <w:divBdr>
        <w:top w:val="none" w:sz="0" w:space="0" w:color="auto"/>
        <w:left w:val="none" w:sz="0" w:space="0" w:color="auto"/>
        <w:bottom w:val="none" w:sz="0" w:space="0" w:color="auto"/>
        <w:right w:val="none" w:sz="0" w:space="0" w:color="auto"/>
      </w:divBdr>
    </w:div>
    <w:div w:id="2045522794">
      <w:bodyDiv w:val="1"/>
      <w:marLeft w:val="0"/>
      <w:marRight w:val="0"/>
      <w:marTop w:val="0"/>
      <w:marBottom w:val="0"/>
      <w:divBdr>
        <w:top w:val="none" w:sz="0" w:space="0" w:color="auto"/>
        <w:left w:val="none" w:sz="0" w:space="0" w:color="auto"/>
        <w:bottom w:val="none" w:sz="0" w:space="0" w:color="auto"/>
        <w:right w:val="none" w:sz="0" w:space="0" w:color="auto"/>
      </w:divBdr>
    </w:div>
    <w:div w:id="2070423993">
      <w:bodyDiv w:val="1"/>
      <w:marLeft w:val="0"/>
      <w:marRight w:val="0"/>
      <w:marTop w:val="0"/>
      <w:marBottom w:val="0"/>
      <w:divBdr>
        <w:top w:val="none" w:sz="0" w:space="0" w:color="auto"/>
        <w:left w:val="none" w:sz="0" w:space="0" w:color="auto"/>
        <w:bottom w:val="none" w:sz="0" w:space="0" w:color="auto"/>
        <w:right w:val="none" w:sz="0" w:space="0" w:color="auto"/>
      </w:divBdr>
    </w:div>
    <w:div w:id="2088385042">
      <w:bodyDiv w:val="1"/>
      <w:marLeft w:val="0"/>
      <w:marRight w:val="0"/>
      <w:marTop w:val="0"/>
      <w:marBottom w:val="0"/>
      <w:divBdr>
        <w:top w:val="none" w:sz="0" w:space="0" w:color="auto"/>
        <w:left w:val="none" w:sz="0" w:space="0" w:color="auto"/>
        <w:bottom w:val="none" w:sz="0" w:space="0" w:color="auto"/>
        <w:right w:val="none" w:sz="0" w:space="0" w:color="auto"/>
      </w:divBdr>
    </w:div>
    <w:div w:id="213768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footer" Target="footer2.xml"/><Relationship Id="rId47" Type="http://schemas.openxmlformats.org/officeDocument/2006/relationships/chart" Target="charts/chart26.xml"/><Relationship Id="rId63" Type="http://schemas.openxmlformats.org/officeDocument/2006/relationships/hyperlink" Target="http://lasvegasema.org/assets/consumer-satisfaction-survey-report-2014-2015.pdf" TargetMode="External"/><Relationship Id="rId68" Type="http://schemas.openxmlformats.org/officeDocument/2006/relationships/chart" Target="charts/chart34.xml"/><Relationship Id="rId84" Type="http://schemas.openxmlformats.org/officeDocument/2006/relationships/chart" Target="charts/chart50.xml"/><Relationship Id="rId89" Type="http://schemas.openxmlformats.org/officeDocument/2006/relationships/chart" Target="charts/chart52.xml"/><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chart" Target="charts/chart69.xml"/><Relationship Id="rId11" Type="http://schemas.openxmlformats.org/officeDocument/2006/relationships/image" Target="media/image3.gif"/><Relationship Id="rId32" Type="http://schemas.openxmlformats.org/officeDocument/2006/relationships/chart" Target="charts/chart18.xml"/><Relationship Id="rId37" Type="http://schemas.openxmlformats.org/officeDocument/2006/relationships/image" Target="media/image7.emf"/><Relationship Id="rId53" Type="http://schemas.openxmlformats.org/officeDocument/2006/relationships/footer" Target="footer5.xml"/><Relationship Id="rId58" Type="http://schemas.openxmlformats.org/officeDocument/2006/relationships/chart" Target="charts/chart29.xml"/><Relationship Id="rId74" Type="http://schemas.openxmlformats.org/officeDocument/2006/relationships/chart" Target="charts/chart40.xml"/><Relationship Id="rId79" Type="http://schemas.openxmlformats.org/officeDocument/2006/relationships/chart" Target="charts/chart45.xml"/><Relationship Id="rId102" Type="http://schemas.openxmlformats.org/officeDocument/2006/relationships/chart" Target="charts/chart64.xml"/><Relationship Id="rId5" Type="http://schemas.openxmlformats.org/officeDocument/2006/relationships/webSettings" Target="webSettings.xml"/><Relationship Id="rId90" Type="http://schemas.openxmlformats.org/officeDocument/2006/relationships/chart" Target="charts/chart53.xml"/><Relationship Id="rId95" Type="http://schemas.openxmlformats.org/officeDocument/2006/relationships/chart" Target="charts/chart58.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image" Target="media/image9.png"/><Relationship Id="rId48" Type="http://schemas.openxmlformats.org/officeDocument/2006/relationships/header" Target="header1.xml"/><Relationship Id="rId64" Type="http://schemas.openxmlformats.org/officeDocument/2006/relationships/hyperlink" Target="http://lasvegasema.org/assets/targeted-needs-assessment-report-2015.pdf" TargetMode="External"/><Relationship Id="rId69" Type="http://schemas.openxmlformats.org/officeDocument/2006/relationships/chart" Target="charts/chart35.xml"/><Relationship Id="rId113" Type="http://schemas.openxmlformats.org/officeDocument/2006/relationships/theme" Target="theme/theme1.xml"/><Relationship Id="rId80" Type="http://schemas.openxmlformats.org/officeDocument/2006/relationships/chart" Target="charts/chart46.xml"/><Relationship Id="rId85" Type="http://schemas.openxmlformats.org/officeDocument/2006/relationships/image" Target="media/image16.jpg"/><Relationship Id="rId12" Type="http://schemas.openxmlformats.org/officeDocument/2006/relationships/chart" Target="charts/chart1.xml"/><Relationship Id="rId17" Type="http://schemas.openxmlformats.org/officeDocument/2006/relationships/chart" Target="charts/chart5.xml"/><Relationship Id="rId33" Type="http://schemas.openxmlformats.org/officeDocument/2006/relationships/chart" Target="charts/chart19.xml"/><Relationship Id="rId38" Type="http://schemas.openxmlformats.org/officeDocument/2006/relationships/image" Target="media/image8.emf"/><Relationship Id="rId59" Type="http://schemas.openxmlformats.org/officeDocument/2006/relationships/chart" Target="charts/chart30.xml"/><Relationship Id="rId103" Type="http://schemas.openxmlformats.org/officeDocument/2006/relationships/chart" Target="charts/chart65.xml"/><Relationship Id="rId108" Type="http://schemas.openxmlformats.org/officeDocument/2006/relationships/chart" Target="charts/chart70.xml"/><Relationship Id="rId54" Type="http://schemas.openxmlformats.org/officeDocument/2006/relationships/image" Target="media/image12.emf"/><Relationship Id="rId70" Type="http://schemas.openxmlformats.org/officeDocument/2006/relationships/chart" Target="charts/chart36.xml"/><Relationship Id="rId75" Type="http://schemas.openxmlformats.org/officeDocument/2006/relationships/chart" Target="charts/chart41.xml"/><Relationship Id="rId91" Type="http://schemas.openxmlformats.org/officeDocument/2006/relationships/chart" Target="charts/chart54.xml"/><Relationship Id="rId96" Type="http://schemas.openxmlformats.org/officeDocument/2006/relationships/chart" Target="charts/chart5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image" Target="media/image5.emf"/><Relationship Id="rId36" Type="http://schemas.openxmlformats.org/officeDocument/2006/relationships/chart" Target="charts/chart22.xml"/><Relationship Id="rId49" Type="http://schemas.openxmlformats.org/officeDocument/2006/relationships/header" Target="header2.xml"/><Relationship Id="rId57" Type="http://schemas.openxmlformats.org/officeDocument/2006/relationships/chart" Target="charts/chart28.xml"/><Relationship Id="rId106" Type="http://schemas.openxmlformats.org/officeDocument/2006/relationships/chart" Target="charts/chart68.xml"/><Relationship Id="rId10" Type="http://schemas.openxmlformats.org/officeDocument/2006/relationships/image" Target="media/image2.png"/><Relationship Id="rId31" Type="http://schemas.openxmlformats.org/officeDocument/2006/relationships/chart" Target="charts/chart17.xml"/><Relationship Id="rId44" Type="http://schemas.openxmlformats.org/officeDocument/2006/relationships/image" Target="media/image10.png"/><Relationship Id="rId52" Type="http://schemas.openxmlformats.org/officeDocument/2006/relationships/header" Target="header3.xml"/><Relationship Id="rId60" Type="http://schemas.openxmlformats.org/officeDocument/2006/relationships/chart" Target="charts/chart31.xml"/><Relationship Id="rId65" Type="http://schemas.openxmlformats.org/officeDocument/2006/relationships/image" Target="media/image14.jpg"/><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image" Target="media/image17.jpg"/><Relationship Id="rId94" Type="http://schemas.openxmlformats.org/officeDocument/2006/relationships/chart" Target="charts/chart57.xml"/><Relationship Id="rId99" Type="http://schemas.openxmlformats.org/officeDocument/2006/relationships/chart" Target="charts/chart62.xml"/><Relationship Id="rId10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www.lasvegashivaidscare.org/" TargetMode="Externa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chart" Target="charts/chart23.xml"/><Relationship Id="rId109" Type="http://schemas.openxmlformats.org/officeDocument/2006/relationships/image" Target="media/image20.jpg"/><Relationship Id="rId34" Type="http://schemas.openxmlformats.org/officeDocument/2006/relationships/chart" Target="charts/chart20.xml"/><Relationship Id="rId50" Type="http://schemas.openxmlformats.org/officeDocument/2006/relationships/footer" Target="footer3.xml"/><Relationship Id="rId55" Type="http://schemas.openxmlformats.org/officeDocument/2006/relationships/image" Target="media/image13.png"/><Relationship Id="rId76" Type="http://schemas.openxmlformats.org/officeDocument/2006/relationships/chart" Target="charts/chart42.xml"/><Relationship Id="rId97" Type="http://schemas.openxmlformats.org/officeDocument/2006/relationships/chart" Target="charts/chart60.xml"/><Relationship Id="rId104"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chart" Target="charts/chart55.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chart" Target="charts/chart12.xml"/><Relationship Id="rId40" Type="http://schemas.openxmlformats.org/officeDocument/2006/relationships/chart" Target="charts/chart24.xml"/><Relationship Id="rId45" Type="http://schemas.openxmlformats.org/officeDocument/2006/relationships/image" Target="media/image11.png"/><Relationship Id="rId66" Type="http://schemas.openxmlformats.org/officeDocument/2006/relationships/image" Target="media/image15.jpg"/><Relationship Id="rId87" Type="http://schemas.openxmlformats.org/officeDocument/2006/relationships/image" Target="media/image18.jpg"/><Relationship Id="rId110" Type="http://schemas.openxmlformats.org/officeDocument/2006/relationships/image" Target="media/image21.jpg"/><Relationship Id="rId61" Type="http://schemas.openxmlformats.org/officeDocument/2006/relationships/chart" Target="charts/chart32.xml"/><Relationship Id="rId82" Type="http://schemas.openxmlformats.org/officeDocument/2006/relationships/chart" Target="charts/chart48.xml"/><Relationship Id="rId19" Type="http://schemas.openxmlformats.org/officeDocument/2006/relationships/chart" Target="charts/chart7.xml"/><Relationship Id="rId14" Type="http://schemas.openxmlformats.org/officeDocument/2006/relationships/chart" Target="charts/chart3.xm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27.xml"/><Relationship Id="rId77" Type="http://schemas.openxmlformats.org/officeDocument/2006/relationships/chart" Target="charts/chart43.xml"/><Relationship Id="rId100" Type="http://schemas.openxmlformats.org/officeDocument/2006/relationships/chart" Target="charts/chart63.xml"/><Relationship Id="rId105" Type="http://schemas.openxmlformats.org/officeDocument/2006/relationships/chart" Target="charts/chart67.xm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chart" Target="charts/chart38.xml"/><Relationship Id="rId93" Type="http://schemas.openxmlformats.org/officeDocument/2006/relationships/chart" Target="charts/chart56.xml"/><Relationship Id="rId98" Type="http://schemas.openxmlformats.org/officeDocument/2006/relationships/chart" Target="charts/chart61.xm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chart" Target="charts/chart8.xml"/><Relationship Id="rId41" Type="http://schemas.openxmlformats.org/officeDocument/2006/relationships/footer" Target="footer1.xml"/><Relationship Id="rId62" Type="http://schemas.openxmlformats.org/officeDocument/2006/relationships/hyperlink" Target="http://www.lasvegasema.org/assets/lvtgarwpartacomprehensiveneedsassessment2014.pdf" TargetMode="External"/><Relationship Id="rId83" Type="http://schemas.openxmlformats.org/officeDocument/2006/relationships/chart" Target="charts/chart49.xml"/><Relationship Id="rId88" Type="http://schemas.openxmlformats.org/officeDocument/2006/relationships/chart" Target="charts/chart51.xml"/><Relationship Id="rId111" Type="http://schemas.openxmlformats.org/officeDocument/2006/relationships/image" Target="media/image22.jpeg"/></Relationships>
</file>

<file path=word/_rels/endnotes.xml.rels><?xml version="1.0" encoding="UTF-8" standalone="yes"?>
<Relationships xmlns="http://schemas.openxmlformats.org/package/2006/relationships"><Relationship Id="rId3" Type="http://schemas.openxmlformats.org/officeDocument/2006/relationships/hyperlink" Target="javascript:NavigateLink2('http://wwwdev.cdc.gov/brfss/brfssprevalence/?','_blank','false','','',null)" TargetMode="External"/><Relationship Id="rId2" Type="http://schemas.openxmlformats.org/officeDocument/2006/relationships/hyperlink" Target="http://transhealth.ucsf.edu/pdf/data-recommendation.pdf" TargetMode="External"/><Relationship Id="rId1" Type="http://schemas.openxmlformats.org/officeDocument/2006/relationships/hyperlink" Target="http://www.cdc.gov/hiv/transgender/pdf/transgender.pdf" TargetMode="External"/><Relationship Id="rId5" Type="http://schemas.openxmlformats.org/officeDocument/2006/relationships/hyperlink" Target="https://thenounproject.com/" TargetMode="External"/><Relationship Id="rId4" Type="http://schemas.openxmlformats.org/officeDocument/2006/relationships/hyperlink" Target="https://thenounproject.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18.xml.rels><?xml version="1.0" encoding="UTF-8" standalone="yes"?>
<Relationships xmlns="http://schemas.openxmlformats.org/package/2006/relationships"><Relationship Id="rId3" Type="http://schemas.openxmlformats.org/officeDocument/2006/relationships/oleObject" Target="file:///\\storage.unr.edu\cpepds\HIV\Plan%20Sections\Copy%20of%20Continuum%20of%20Care%202015%20NV%20(Demographics).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storage.unr.edu\cpepds\HIV\Plan%20Sections\Copy%20of%20Continuum%20of%20Care%202015%20NV%20(Demographic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storage.unr.edu\cpepds\HIV\Plan%20Sections\Copy%20of%20Continuum%20of%20Care%202015%20NV%20(Demographics).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file:///\\storage.unr.edu\cpepds\HIV\Plan%20Sections\Copy%20of%20Continuum%20of%20Care%202015%20NV%20(Demographics).xlsx"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file:///\\storage.unr.edu\cpepds\HIV\Plan%20Sections\Copy%20of%20Continuum%20of%20Care%202015%20NV%20(Demographics).xlsx" TargetMode="External"/><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0.xml"/><Relationship Id="rId1" Type="http://schemas.microsoft.com/office/2011/relationships/chartStyle" Target="style20.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69.xml.rels><?xml version="1.0" encoding="UTF-8" standalone="yes"?>
<Relationships xmlns="http://schemas.openxmlformats.org/package/2006/relationships"><Relationship Id="rId3" Type="http://schemas.openxmlformats.org/officeDocument/2006/relationships/oleObject" Target="file:///E:\HIV\data\Results\Providersummary\SurveySummary_03012016.xls" TargetMode="External"/><Relationship Id="rId2" Type="http://schemas.microsoft.com/office/2011/relationships/chartColorStyle" Target="colors21.xml"/><Relationship Id="rId1" Type="http://schemas.microsoft.com/office/2011/relationships/chartStyle" Target="style21.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3" Type="http://schemas.openxmlformats.org/officeDocument/2006/relationships/oleObject" Target="file:///E:\HIV\data\Results\Providersummary\SurveySummary_03012016.xls" TargetMode="External"/><Relationship Id="rId2" Type="http://schemas.microsoft.com/office/2011/relationships/chartColorStyle" Target="colors22.xml"/><Relationship Id="rId1" Type="http://schemas.microsoft.com/office/2011/relationships/chartStyle" Target="style22.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26888317938731E-2"/>
          <c:y val="4.6826311659496168E-2"/>
          <c:w val="0.82381794975975065"/>
          <c:h val="0.75994820575706723"/>
        </c:manualLayout>
      </c:layout>
      <c:barChart>
        <c:barDir val="col"/>
        <c:grouping val="stacked"/>
        <c:varyColors val="0"/>
        <c:ser>
          <c:idx val="2"/>
          <c:order val="0"/>
          <c:tx>
            <c:strRef>
              <c:f>Intro!$G$4</c:f>
              <c:strCache>
                <c:ptCount val="1"/>
                <c:pt idx="0">
                  <c:v>Persons Living with      HIV (not HIV Stage 3 (AIDS))</c:v>
                </c:pt>
              </c:strCache>
            </c:strRef>
          </c:tx>
          <c:spPr>
            <a:solidFill>
              <a:schemeClr val="accent3">
                <a:lumMod val="50000"/>
              </a:schemeClr>
            </a:solidFill>
          </c:spPr>
          <c:invertIfNegative val="0"/>
          <c:cat>
            <c:numRef>
              <c:f>Intro!$B$6:$B$38</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Intro!$G$6:$G$38</c:f>
              <c:numCache>
                <c:formatCode>#,##0</c:formatCode>
                <c:ptCount val="33"/>
                <c:pt idx="0">
                  <c:v>0</c:v>
                </c:pt>
                <c:pt idx="1">
                  <c:v>1</c:v>
                </c:pt>
                <c:pt idx="2">
                  <c:v>3</c:v>
                </c:pt>
                <c:pt idx="3">
                  <c:v>7</c:v>
                </c:pt>
                <c:pt idx="4">
                  <c:v>39</c:v>
                </c:pt>
                <c:pt idx="5">
                  <c:v>85</c:v>
                </c:pt>
                <c:pt idx="6">
                  <c:v>146</c:v>
                </c:pt>
                <c:pt idx="7">
                  <c:v>237</c:v>
                </c:pt>
                <c:pt idx="8">
                  <c:v>372</c:v>
                </c:pt>
                <c:pt idx="9">
                  <c:v>616</c:v>
                </c:pt>
                <c:pt idx="10">
                  <c:v>828</c:v>
                </c:pt>
                <c:pt idx="11">
                  <c:v>1080</c:v>
                </c:pt>
                <c:pt idx="12">
                  <c:v>1273</c:v>
                </c:pt>
                <c:pt idx="13">
                  <c:v>1505</c:v>
                </c:pt>
                <c:pt idx="14">
                  <c:v>1682</c:v>
                </c:pt>
                <c:pt idx="15">
                  <c:v>1924</c:v>
                </c:pt>
                <c:pt idx="16">
                  <c:v>2158</c:v>
                </c:pt>
                <c:pt idx="17">
                  <c:v>2383</c:v>
                </c:pt>
                <c:pt idx="18">
                  <c:v>2598</c:v>
                </c:pt>
                <c:pt idx="19">
                  <c:v>2812</c:v>
                </c:pt>
                <c:pt idx="20">
                  <c:v>3033</c:v>
                </c:pt>
                <c:pt idx="21">
                  <c:v>3245</c:v>
                </c:pt>
                <c:pt idx="22">
                  <c:v>3458</c:v>
                </c:pt>
                <c:pt idx="23">
                  <c:v>3104</c:v>
                </c:pt>
                <c:pt idx="24">
                  <c:v>3303</c:v>
                </c:pt>
                <c:pt idx="25">
                  <c:v>3779</c:v>
                </c:pt>
                <c:pt idx="26">
                  <c:v>3780</c:v>
                </c:pt>
                <c:pt idx="27">
                  <c:v>3834</c:v>
                </c:pt>
                <c:pt idx="28">
                  <c:v>3910</c:v>
                </c:pt>
                <c:pt idx="29">
                  <c:v>4014</c:v>
                </c:pt>
                <c:pt idx="30">
                  <c:v>4120</c:v>
                </c:pt>
                <c:pt idx="31">
                  <c:v>4341</c:v>
                </c:pt>
                <c:pt idx="32">
                  <c:v>4689</c:v>
                </c:pt>
              </c:numCache>
            </c:numRef>
          </c:val>
          <c:extLst xmlns:c16r2="http://schemas.microsoft.com/office/drawing/2015/06/chart">
            <c:ext xmlns:c16="http://schemas.microsoft.com/office/drawing/2014/chart" uri="{C3380CC4-5D6E-409C-BE32-E72D297353CC}">
              <c16:uniqueId val="{00000000-E5A8-4581-8210-6B6D1F0271A8}"/>
            </c:ext>
          </c:extLst>
        </c:ser>
        <c:ser>
          <c:idx val="3"/>
          <c:order val="1"/>
          <c:tx>
            <c:strRef>
              <c:f>Intro!$I$4</c:f>
              <c:strCache>
                <c:ptCount val="1"/>
                <c:pt idx="0">
                  <c:v>Persons Living with HIV Stage 3 (AIDS)</c:v>
                </c:pt>
              </c:strCache>
            </c:strRef>
          </c:tx>
          <c:spPr>
            <a:solidFill>
              <a:srgbClr val="9BBB59">
                <a:lumMod val="75000"/>
                <a:alpha val="78000"/>
              </a:srgbClr>
            </a:solidFill>
          </c:spPr>
          <c:invertIfNegative val="0"/>
          <c:cat>
            <c:numRef>
              <c:f>Intro!$B$6:$B$38</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Intro!$I$6:$I$38</c:f>
              <c:numCache>
                <c:formatCode>#,##0</c:formatCode>
                <c:ptCount val="33"/>
                <c:pt idx="0">
                  <c:v>0</c:v>
                </c:pt>
                <c:pt idx="1">
                  <c:v>0</c:v>
                </c:pt>
                <c:pt idx="2">
                  <c:v>0</c:v>
                </c:pt>
                <c:pt idx="3">
                  <c:v>2</c:v>
                </c:pt>
                <c:pt idx="4">
                  <c:v>5</c:v>
                </c:pt>
                <c:pt idx="5">
                  <c:v>8</c:v>
                </c:pt>
                <c:pt idx="6">
                  <c:v>20</c:v>
                </c:pt>
                <c:pt idx="7">
                  <c:v>38</c:v>
                </c:pt>
                <c:pt idx="8">
                  <c:v>68</c:v>
                </c:pt>
                <c:pt idx="9">
                  <c:v>104</c:v>
                </c:pt>
                <c:pt idx="10">
                  <c:v>186</c:v>
                </c:pt>
                <c:pt idx="11">
                  <c:v>302</c:v>
                </c:pt>
                <c:pt idx="12">
                  <c:v>470</c:v>
                </c:pt>
                <c:pt idx="13">
                  <c:v>671</c:v>
                </c:pt>
                <c:pt idx="14">
                  <c:v>1008</c:v>
                </c:pt>
                <c:pt idx="15">
                  <c:v>1379</c:v>
                </c:pt>
                <c:pt idx="16">
                  <c:v>1712</c:v>
                </c:pt>
                <c:pt idx="17">
                  <c:v>1971</c:v>
                </c:pt>
                <c:pt idx="18">
                  <c:v>2232</c:v>
                </c:pt>
                <c:pt idx="19">
                  <c:v>2493</c:v>
                </c:pt>
                <c:pt idx="20">
                  <c:v>2724</c:v>
                </c:pt>
                <c:pt idx="21">
                  <c:v>2962</c:v>
                </c:pt>
                <c:pt idx="22">
                  <c:v>3194</c:v>
                </c:pt>
                <c:pt idx="23">
                  <c:v>3594</c:v>
                </c:pt>
                <c:pt idx="24">
                  <c:v>3693</c:v>
                </c:pt>
                <c:pt idx="25">
                  <c:v>3537</c:v>
                </c:pt>
                <c:pt idx="26">
                  <c:v>3943</c:v>
                </c:pt>
                <c:pt idx="27">
                  <c:v>4104</c:v>
                </c:pt>
                <c:pt idx="28">
                  <c:v>4281</c:v>
                </c:pt>
                <c:pt idx="29">
                  <c:v>4425</c:v>
                </c:pt>
                <c:pt idx="30">
                  <c:v>4543</c:v>
                </c:pt>
                <c:pt idx="31">
                  <c:v>4737</c:v>
                </c:pt>
                <c:pt idx="32">
                  <c:v>5044</c:v>
                </c:pt>
              </c:numCache>
            </c:numRef>
          </c:val>
          <c:extLst xmlns:c16r2="http://schemas.microsoft.com/office/drawing/2015/06/chart">
            <c:ext xmlns:c16="http://schemas.microsoft.com/office/drawing/2014/chart" uri="{C3380CC4-5D6E-409C-BE32-E72D297353CC}">
              <c16:uniqueId val="{00000001-E5A8-4581-8210-6B6D1F0271A8}"/>
            </c:ext>
          </c:extLst>
        </c:ser>
        <c:dLbls>
          <c:showLegendKey val="0"/>
          <c:showVal val="0"/>
          <c:showCatName val="0"/>
          <c:showSerName val="0"/>
          <c:showPercent val="0"/>
          <c:showBubbleSize val="0"/>
        </c:dLbls>
        <c:gapWidth val="75"/>
        <c:overlap val="100"/>
        <c:axId val="-837726800"/>
        <c:axId val="-837722992"/>
      </c:barChart>
      <c:lineChart>
        <c:grouping val="standard"/>
        <c:varyColors val="0"/>
        <c:ser>
          <c:idx val="0"/>
          <c:order val="2"/>
          <c:tx>
            <c:strRef>
              <c:f>Intro!$C$4</c:f>
              <c:strCache>
                <c:ptCount val="1"/>
                <c:pt idx="0">
                  <c:v>New HIV Diagnoses</c:v>
                </c:pt>
              </c:strCache>
            </c:strRef>
          </c:tx>
          <c:spPr>
            <a:ln w="38100">
              <a:solidFill>
                <a:schemeClr val="tx2">
                  <a:lumMod val="60000"/>
                  <a:lumOff val="40000"/>
                </a:schemeClr>
              </a:solidFill>
            </a:ln>
          </c:spPr>
          <c:marker>
            <c:symbol val="diamond"/>
            <c:size val="8"/>
            <c:spPr>
              <a:solidFill>
                <a:schemeClr val="tx2">
                  <a:lumMod val="60000"/>
                  <a:lumOff val="40000"/>
                </a:schemeClr>
              </a:solidFill>
              <a:ln>
                <a:solidFill>
                  <a:schemeClr val="tx2">
                    <a:lumMod val="60000"/>
                    <a:lumOff val="40000"/>
                  </a:schemeClr>
                </a:solidFill>
              </a:ln>
            </c:spPr>
          </c:marker>
          <c:cat>
            <c:numRef>
              <c:f>Intro!$B$6:$B$38</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Intro!$C$6:$C$38</c:f>
              <c:numCache>
                <c:formatCode>0</c:formatCode>
                <c:ptCount val="33"/>
                <c:pt idx="0">
                  <c:v>3</c:v>
                </c:pt>
                <c:pt idx="1">
                  <c:v>7</c:v>
                </c:pt>
                <c:pt idx="2">
                  <c:v>18</c:v>
                </c:pt>
                <c:pt idx="3">
                  <c:v>136</c:v>
                </c:pt>
                <c:pt idx="4">
                  <c:v>156</c:v>
                </c:pt>
                <c:pt idx="5">
                  <c:v>251</c:v>
                </c:pt>
                <c:pt idx="6">
                  <c:v>368</c:v>
                </c:pt>
                <c:pt idx="7">
                  <c:v>493</c:v>
                </c:pt>
                <c:pt idx="8">
                  <c:v>751</c:v>
                </c:pt>
                <c:pt idx="9">
                  <c:v>654</c:v>
                </c:pt>
                <c:pt idx="10">
                  <c:v>647</c:v>
                </c:pt>
                <c:pt idx="11">
                  <c:v>537</c:v>
                </c:pt>
                <c:pt idx="12">
                  <c:v>539</c:v>
                </c:pt>
                <c:pt idx="13">
                  <c:v>482</c:v>
                </c:pt>
                <c:pt idx="14">
                  <c:v>528</c:v>
                </c:pt>
                <c:pt idx="15">
                  <c:v>481</c:v>
                </c:pt>
                <c:pt idx="16">
                  <c:v>436</c:v>
                </c:pt>
                <c:pt idx="17">
                  <c:v>402</c:v>
                </c:pt>
                <c:pt idx="18">
                  <c:v>396</c:v>
                </c:pt>
                <c:pt idx="19">
                  <c:v>349</c:v>
                </c:pt>
                <c:pt idx="20">
                  <c:v>348</c:v>
                </c:pt>
                <c:pt idx="21">
                  <c:v>335</c:v>
                </c:pt>
                <c:pt idx="22">
                  <c:v>401</c:v>
                </c:pt>
                <c:pt idx="23">
                  <c:v>451</c:v>
                </c:pt>
                <c:pt idx="24">
                  <c:v>406</c:v>
                </c:pt>
                <c:pt idx="25">
                  <c:v>432</c:v>
                </c:pt>
                <c:pt idx="26">
                  <c:v>401</c:v>
                </c:pt>
                <c:pt idx="27">
                  <c:v>369</c:v>
                </c:pt>
                <c:pt idx="28">
                  <c:v>373</c:v>
                </c:pt>
                <c:pt idx="29">
                  <c:v>380</c:v>
                </c:pt>
                <c:pt idx="30">
                  <c:v>363</c:v>
                </c:pt>
                <c:pt idx="31">
                  <c:v>434</c:v>
                </c:pt>
                <c:pt idx="32">
                  <c:v>438</c:v>
                </c:pt>
              </c:numCache>
            </c:numRef>
          </c:val>
          <c:smooth val="0"/>
          <c:extLst xmlns:c16r2="http://schemas.microsoft.com/office/drawing/2015/06/chart">
            <c:ext xmlns:c16="http://schemas.microsoft.com/office/drawing/2014/chart" uri="{C3380CC4-5D6E-409C-BE32-E72D297353CC}">
              <c16:uniqueId val="{00000002-E5A8-4581-8210-6B6D1F0271A8}"/>
            </c:ext>
          </c:extLst>
        </c:ser>
        <c:ser>
          <c:idx val="1"/>
          <c:order val="3"/>
          <c:tx>
            <c:strRef>
              <c:f>Intro!$E$4</c:f>
              <c:strCache>
                <c:ptCount val="1"/>
                <c:pt idx="0">
                  <c:v>New HIV Stage 3 (AIDS) Diagnoses</c:v>
                </c:pt>
              </c:strCache>
            </c:strRef>
          </c:tx>
          <c:spPr>
            <a:ln w="60325">
              <a:solidFill>
                <a:schemeClr val="accent5">
                  <a:lumMod val="50000"/>
                </a:schemeClr>
              </a:solidFill>
            </a:ln>
          </c:spPr>
          <c:marker>
            <c:symbol val="circle"/>
            <c:size val="8"/>
            <c:spPr>
              <a:solidFill>
                <a:schemeClr val="accent5">
                  <a:lumMod val="50000"/>
                </a:schemeClr>
              </a:solidFill>
              <a:ln>
                <a:solidFill>
                  <a:schemeClr val="tx2">
                    <a:lumMod val="50000"/>
                  </a:schemeClr>
                </a:solidFill>
              </a:ln>
            </c:spPr>
          </c:marker>
          <c:cat>
            <c:numRef>
              <c:f>Intro!$B$6:$B$38</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Intro!$E$6:$E$38</c:f>
              <c:numCache>
                <c:formatCode>General</c:formatCode>
                <c:ptCount val="33"/>
                <c:pt idx="0">
                  <c:v>2</c:v>
                </c:pt>
                <c:pt idx="1">
                  <c:v>4</c:v>
                </c:pt>
                <c:pt idx="2">
                  <c:v>10</c:v>
                </c:pt>
                <c:pt idx="3">
                  <c:v>17</c:v>
                </c:pt>
                <c:pt idx="4">
                  <c:v>51</c:v>
                </c:pt>
                <c:pt idx="5">
                  <c:v>84</c:v>
                </c:pt>
                <c:pt idx="6">
                  <c:v>131</c:v>
                </c:pt>
                <c:pt idx="7">
                  <c:v>161</c:v>
                </c:pt>
                <c:pt idx="8">
                  <c:v>206</c:v>
                </c:pt>
                <c:pt idx="9">
                  <c:v>301</c:v>
                </c:pt>
                <c:pt idx="10">
                  <c:v>418</c:v>
                </c:pt>
                <c:pt idx="11">
                  <c:v>402</c:v>
                </c:pt>
                <c:pt idx="12">
                  <c:v>394</c:v>
                </c:pt>
                <c:pt idx="13">
                  <c:v>454</c:v>
                </c:pt>
                <c:pt idx="14">
                  <c:v>387</c:v>
                </c:pt>
                <c:pt idx="15">
                  <c:v>342</c:v>
                </c:pt>
                <c:pt idx="16">
                  <c:v>262</c:v>
                </c:pt>
                <c:pt idx="17">
                  <c:v>256</c:v>
                </c:pt>
                <c:pt idx="18">
                  <c:v>268</c:v>
                </c:pt>
                <c:pt idx="19">
                  <c:v>218</c:v>
                </c:pt>
                <c:pt idx="20">
                  <c:v>272</c:v>
                </c:pt>
                <c:pt idx="21">
                  <c:v>244</c:v>
                </c:pt>
                <c:pt idx="22">
                  <c:v>279</c:v>
                </c:pt>
                <c:pt idx="23">
                  <c:v>286</c:v>
                </c:pt>
                <c:pt idx="24">
                  <c:v>254</c:v>
                </c:pt>
                <c:pt idx="25">
                  <c:v>283</c:v>
                </c:pt>
                <c:pt idx="26">
                  <c:v>280</c:v>
                </c:pt>
                <c:pt idx="27">
                  <c:v>225</c:v>
                </c:pt>
                <c:pt idx="28">
                  <c:v>228</c:v>
                </c:pt>
                <c:pt idx="29">
                  <c:v>215</c:v>
                </c:pt>
                <c:pt idx="30">
                  <c:v>226</c:v>
                </c:pt>
                <c:pt idx="31">
                  <c:v>250</c:v>
                </c:pt>
                <c:pt idx="32">
                  <c:v>215</c:v>
                </c:pt>
              </c:numCache>
            </c:numRef>
          </c:val>
          <c:smooth val="0"/>
          <c:extLst xmlns:c16r2="http://schemas.microsoft.com/office/drawing/2015/06/chart">
            <c:ext xmlns:c16="http://schemas.microsoft.com/office/drawing/2014/chart" uri="{C3380CC4-5D6E-409C-BE32-E72D297353CC}">
              <c16:uniqueId val="{00000003-E5A8-4581-8210-6B6D1F0271A8}"/>
            </c:ext>
          </c:extLst>
        </c:ser>
        <c:ser>
          <c:idx val="4"/>
          <c:order val="4"/>
          <c:tx>
            <c:strRef>
              <c:f>Intro!$M$4</c:f>
              <c:strCache>
                <c:ptCount val="1"/>
                <c:pt idx="0">
                  <c:v>Deaths</c:v>
                </c:pt>
              </c:strCache>
            </c:strRef>
          </c:tx>
          <c:spPr>
            <a:ln w="38100">
              <a:solidFill>
                <a:schemeClr val="accent2">
                  <a:lumMod val="50000"/>
                </a:schemeClr>
              </a:solidFill>
            </a:ln>
          </c:spPr>
          <c:marker>
            <c:symbol val="triangle"/>
            <c:size val="6"/>
            <c:spPr>
              <a:solidFill>
                <a:schemeClr val="accent2">
                  <a:lumMod val="50000"/>
                </a:schemeClr>
              </a:solidFill>
              <a:ln>
                <a:solidFill>
                  <a:schemeClr val="accent2">
                    <a:lumMod val="50000"/>
                  </a:schemeClr>
                </a:solidFill>
              </a:ln>
            </c:spPr>
          </c:marker>
          <c:cat>
            <c:numRef>
              <c:f>Intro!$B$6:$B$38</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Intro!$M$6:$M$38</c:f>
              <c:numCache>
                <c:formatCode>#,##0</c:formatCode>
                <c:ptCount val="33"/>
                <c:pt idx="0">
                  <c:v>1</c:v>
                </c:pt>
                <c:pt idx="1">
                  <c:v>3</c:v>
                </c:pt>
                <c:pt idx="2">
                  <c:v>6</c:v>
                </c:pt>
                <c:pt idx="3">
                  <c:v>14</c:v>
                </c:pt>
                <c:pt idx="4">
                  <c:v>29</c:v>
                </c:pt>
                <c:pt idx="5">
                  <c:v>61</c:v>
                </c:pt>
                <c:pt idx="6">
                  <c:v>86</c:v>
                </c:pt>
                <c:pt idx="7">
                  <c:v>118</c:v>
                </c:pt>
                <c:pt idx="8">
                  <c:v>128</c:v>
                </c:pt>
                <c:pt idx="9">
                  <c:v>195</c:v>
                </c:pt>
                <c:pt idx="10">
                  <c:v>237</c:v>
                </c:pt>
                <c:pt idx="11">
                  <c:v>276</c:v>
                </c:pt>
                <c:pt idx="12">
                  <c:v>361</c:v>
                </c:pt>
                <c:pt idx="13">
                  <c:v>357</c:v>
                </c:pt>
                <c:pt idx="14">
                  <c:v>260</c:v>
                </c:pt>
                <c:pt idx="15">
                  <c:v>186</c:v>
                </c:pt>
                <c:pt idx="16">
                  <c:v>178</c:v>
                </c:pt>
                <c:pt idx="17">
                  <c:v>179</c:v>
                </c:pt>
                <c:pt idx="18">
                  <c:v>173</c:v>
                </c:pt>
                <c:pt idx="19">
                  <c:v>146</c:v>
                </c:pt>
                <c:pt idx="20">
                  <c:v>170</c:v>
                </c:pt>
                <c:pt idx="21">
                  <c:v>176</c:v>
                </c:pt>
                <c:pt idx="22">
                  <c:v>198</c:v>
                </c:pt>
                <c:pt idx="23">
                  <c:v>208</c:v>
                </c:pt>
                <c:pt idx="24">
                  <c:v>191</c:v>
                </c:pt>
                <c:pt idx="25">
                  <c:v>207</c:v>
                </c:pt>
                <c:pt idx="26">
                  <c:v>199</c:v>
                </c:pt>
                <c:pt idx="27">
                  <c:v>138</c:v>
                </c:pt>
                <c:pt idx="28">
                  <c:v>160</c:v>
                </c:pt>
                <c:pt idx="29">
                  <c:v>172</c:v>
                </c:pt>
                <c:pt idx="30">
                  <c:v>187</c:v>
                </c:pt>
                <c:pt idx="31">
                  <c:v>120</c:v>
                </c:pt>
                <c:pt idx="32">
                  <c:v>143</c:v>
                </c:pt>
              </c:numCache>
            </c:numRef>
          </c:val>
          <c:smooth val="0"/>
          <c:extLst xmlns:c16r2="http://schemas.microsoft.com/office/drawing/2015/06/chart">
            <c:ext xmlns:c16="http://schemas.microsoft.com/office/drawing/2014/chart" uri="{C3380CC4-5D6E-409C-BE32-E72D297353CC}">
              <c16:uniqueId val="{00000004-E5A8-4581-8210-6B6D1F0271A8}"/>
            </c:ext>
          </c:extLst>
        </c:ser>
        <c:dLbls>
          <c:showLegendKey val="0"/>
          <c:showVal val="0"/>
          <c:showCatName val="0"/>
          <c:showSerName val="0"/>
          <c:showPercent val="0"/>
          <c:showBubbleSize val="0"/>
        </c:dLbls>
        <c:marker val="1"/>
        <c:smooth val="0"/>
        <c:axId val="-837722448"/>
        <c:axId val="-837721904"/>
      </c:lineChart>
      <c:catAx>
        <c:axId val="-837726800"/>
        <c:scaling>
          <c:orientation val="minMax"/>
        </c:scaling>
        <c:delete val="0"/>
        <c:axPos val="b"/>
        <c:numFmt formatCode="General" sourceLinked="1"/>
        <c:majorTickMark val="none"/>
        <c:minorTickMark val="none"/>
        <c:tickLblPos val="nextTo"/>
        <c:txPr>
          <a:bodyPr rot="-1920000"/>
          <a:lstStyle/>
          <a:p>
            <a:pPr>
              <a:defRPr sz="800"/>
            </a:pPr>
            <a:endParaRPr lang="en-US"/>
          </a:p>
        </c:txPr>
        <c:crossAx val="-837722992"/>
        <c:crosses val="autoZero"/>
        <c:auto val="1"/>
        <c:lblAlgn val="ctr"/>
        <c:lblOffset val="100"/>
        <c:noMultiLvlLbl val="0"/>
      </c:catAx>
      <c:valAx>
        <c:axId val="-837722992"/>
        <c:scaling>
          <c:orientation val="minMax"/>
          <c:max val="10000"/>
        </c:scaling>
        <c:delete val="0"/>
        <c:axPos val="l"/>
        <c:majorGridlines/>
        <c:title>
          <c:tx>
            <c:rich>
              <a:bodyPr rot="-5400000" vert="horz"/>
              <a:lstStyle/>
              <a:p>
                <a:pPr>
                  <a:defRPr sz="800"/>
                </a:pPr>
                <a:r>
                  <a:rPr lang="en-US" sz="800"/>
                  <a:t># Persons Living with HIV</a:t>
                </a:r>
              </a:p>
            </c:rich>
          </c:tx>
          <c:layout>
            <c:manualLayout>
              <c:xMode val="edge"/>
              <c:yMode val="edge"/>
              <c:x val="9.8297817302453912E-3"/>
              <c:y val="0.26503314484715479"/>
            </c:manualLayout>
          </c:layout>
          <c:overlay val="0"/>
        </c:title>
        <c:numFmt formatCode="#,##0" sourceLinked="0"/>
        <c:majorTickMark val="none"/>
        <c:minorTickMark val="none"/>
        <c:tickLblPos val="nextTo"/>
        <c:spPr>
          <a:ln w="9525">
            <a:noFill/>
          </a:ln>
        </c:spPr>
        <c:txPr>
          <a:bodyPr/>
          <a:lstStyle/>
          <a:p>
            <a:pPr>
              <a:defRPr sz="800"/>
            </a:pPr>
            <a:endParaRPr lang="en-US"/>
          </a:p>
        </c:txPr>
        <c:crossAx val="-837726800"/>
        <c:crosses val="autoZero"/>
        <c:crossBetween val="between"/>
      </c:valAx>
      <c:catAx>
        <c:axId val="-837722448"/>
        <c:scaling>
          <c:orientation val="minMax"/>
        </c:scaling>
        <c:delete val="1"/>
        <c:axPos val="b"/>
        <c:numFmt formatCode="General" sourceLinked="1"/>
        <c:majorTickMark val="out"/>
        <c:minorTickMark val="none"/>
        <c:tickLblPos val="none"/>
        <c:crossAx val="-837721904"/>
        <c:crosses val="autoZero"/>
        <c:auto val="1"/>
        <c:lblAlgn val="ctr"/>
        <c:lblOffset val="100"/>
        <c:noMultiLvlLbl val="0"/>
      </c:catAx>
      <c:valAx>
        <c:axId val="-837721904"/>
        <c:scaling>
          <c:orientation val="minMax"/>
          <c:max val="1000"/>
        </c:scaling>
        <c:delete val="0"/>
        <c:axPos val="r"/>
        <c:title>
          <c:tx>
            <c:rich>
              <a:bodyPr rot="-5400000" vert="horz"/>
              <a:lstStyle/>
              <a:p>
                <a:pPr>
                  <a:defRPr sz="800"/>
                </a:pPr>
                <a:r>
                  <a:rPr lang="en-US" sz="800"/>
                  <a:t># New Cases or Deaths</a:t>
                </a:r>
              </a:p>
            </c:rich>
          </c:tx>
          <c:layout>
            <c:manualLayout>
              <c:xMode val="edge"/>
              <c:yMode val="edge"/>
              <c:x val="0.96094856609822732"/>
              <c:y val="0.2965373854109486"/>
            </c:manualLayout>
          </c:layout>
          <c:overlay val="0"/>
          <c:spPr>
            <a:noFill/>
            <a:ln w="25400">
              <a:noFill/>
            </a:ln>
          </c:spPr>
        </c:title>
        <c:numFmt formatCode="#,##0" sourceLinked="0"/>
        <c:majorTickMark val="out"/>
        <c:minorTickMark val="none"/>
        <c:tickLblPos val="nextTo"/>
        <c:txPr>
          <a:bodyPr/>
          <a:lstStyle/>
          <a:p>
            <a:pPr>
              <a:defRPr sz="800"/>
            </a:pPr>
            <a:endParaRPr lang="en-US"/>
          </a:p>
        </c:txPr>
        <c:crossAx val="-837722448"/>
        <c:crosses val="max"/>
        <c:crossBetween val="between"/>
      </c:valAx>
      <c:spPr>
        <a:noFill/>
        <a:ln w="25400">
          <a:noFill/>
        </a:ln>
      </c:spPr>
    </c:plotArea>
    <c:legend>
      <c:legendPos val="b"/>
      <c:layout>
        <c:manualLayout>
          <c:xMode val="edge"/>
          <c:yMode val="edge"/>
          <c:x val="5.1685983321312357E-3"/>
          <c:y val="0.89808017081881153"/>
          <c:w val="0.99308163402651595"/>
          <c:h val="0.10191968006368872"/>
        </c:manualLayout>
      </c:layout>
      <c:overlay val="0"/>
      <c:txPr>
        <a:bodyPr/>
        <a:lstStyle/>
        <a:p>
          <a:pPr>
            <a:defRPr sz="800"/>
          </a:pPr>
          <a:endParaRPr lang="en-US"/>
        </a:p>
      </c:txPr>
    </c:legend>
    <c:plotVisOnly val="1"/>
    <c:dispBlanksAs val="gap"/>
    <c:showDLblsOverMax val="0"/>
  </c:chart>
  <c:spPr>
    <a:noFill/>
    <a:ln w="9525">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100" b="1" i="0" u="none" strike="noStrike" baseline="0">
                <a:effectLst/>
              </a:rPr>
              <a:t>Figure 12. Annual Rate of New HIV Diagnoses among Males in Nevada by Race/Ethnicity, 2010– 2014*</a:t>
            </a:r>
            <a:endParaRPr lang="en-US" sz="1100"/>
          </a:p>
        </c:rich>
      </c:tx>
      <c:layout>
        <c:manualLayout>
          <c:xMode val="edge"/>
          <c:yMode val="edge"/>
          <c:x val="0.12367128459319786"/>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22653471351329127"/>
          <c:y val="0.17484800060219519"/>
          <c:w val="0.73103708805328838"/>
          <c:h val="0.3654722605999684"/>
        </c:manualLayout>
      </c:layout>
      <c:lineChart>
        <c:grouping val="standard"/>
        <c:varyColors val="0"/>
        <c:ser>
          <c:idx val="1"/>
          <c:order val="0"/>
          <c:tx>
            <c:strRef>
              <c:f>Race!$A$39</c:f>
              <c:strCache>
                <c:ptCount val="1"/>
                <c:pt idx="0">
                  <c:v>White</c:v>
                </c:pt>
              </c:strCache>
            </c:strRef>
          </c:tx>
          <c:spPr>
            <a:ln w="28575" cap="rnd" cmpd="sng" algn="ctr">
              <a:solidFill>
                <a:schemeClr val="accent3">
                  <a:shade val="95000"/>
                  <a:satMod val="105000"/>
                </a:schemeClr>
              </a:solidFill>
              <a:prstDash val="solid"/>
              <a:round/>
            </a:ln>
            <a:effectLst/>
          </c:spPr>
          <c:marker>
            <c:symbol val="diamond"/>
            <c:size val="7"/>
            <c:spPr>
              <a:solidFill>
                <a:schemeClr val="accent3"/>
              </a:solidFill>
              <a:ln w="9525" cap="flat" cmpd="sng" algn="ctr">
                <a:solidFill>
                  <a:schemeClr val="accent3">
                    <a:shade val="95000"/>
                    <a:satMod val="105000"/>
                  </a:schemeClr>
                </a:solidFill>
                <a:prstDash val="solid"/>
                <a:round/>
              </a:ln>
              <a:effectLst/>
            </c:spPr>
          </c:marker>
          <c:cat>
            <c:numRef>
              <c:f>Race!$B$38:$F$38</c:f>
              <c:numCache>
                <c:formatCode>General</c:formatCode>
                <c:ptCount val="5"/>
                <c:pt idx="0">
                  <c:v>2010</c:v>
                </c:pt>
                <c:pt idx="1">
                  <c:v>2011</c:v>
                </c:pt>
                <c:pt idx="2">
                  <c:v>2012</c:v>
                </c:pt>
                <c:pt idx="3">
                  <c:v>2013</c:v>
                </c:pt>
                <c:pt idx="4">
                  <c:v>2014</c:v>
                </c:pt>
              </c:numCache>
            </c:numRef>
          </c:cat>
          <c:val>
            <c:numRef>
              <c:f>Race!$B$39:$F$39</c:f>
              <c:numCache>
                <c:formatCode>0.0</c:formatCode>
                <c:ptCount val="5"/>
                <c:pt idx="0">
                  <c:v>15.4</c:v>
                </c:pt>
                <c:pt idx="1">
                  <c:v>15</c:v>
                </c:pt>
                <c:pt idx="2">
                  <c:v>16</c:v>
                </c:pt>
                <c:pt idx="3">
                  <c:v>19.7</c:v>
                </c:pt>
                <c:pt idx="4">
                  <c:v>18.5</c:v>
                </c:pt>
              </c:numCache>
            </c:numRef>
          </c:val>
          <c:smooth val="0"/>
          <c:extLst xmlns:c16r2="http://schemas.microsoft.com/office/drawing/2015/06/chart">
            <c:ext xmlns:c16="http://schemas.microsoft.com/office/drawing/2014/chart" uri="{C3380CC4-5D6E-409C-BE32-E72D297353CC}">
              <c16:uniqueId val="{00000000-9D6C-49CC-A3C6-4654AFD3D5DA}"/>
            </c:ext>
          </c:extLst>
        </c:ser>
        <c:ser>
          <c:idx val="2"/>
          <c:order val="1"/>
          <c:tx>
            <c:strRef>
              <c:f>Race!$A$40</c:f>
              <c:strCache>
                <c:ptCount val="1"/>
                <c:pt idx="0">
                  <c:v>Black</c:v>
                </c:pt>
              </c:strCache>
            </c:strRef>
          </c:tx>
          <c:spPr>
            <a:ln w="28575" cap="rnd" cmpd="sng" algn="ctr">
              <a:solidFill>
                <a:schemeClr val="accent5">
                  <a:shade val="95000"/>
                  <a:satMod val="105000"/>
                </a:schemeClr>
              </a:solidFill>
              <a:prstDash val="solid"/>
              <a:round/>
            </a:ln>
            <a:effectLst/>
          </c:spPr>
          <c:marker>
            <c:symbol val="square"/>
            <c:size val="7"/>
            <c:spPr>
              <a:solidFill>
                <a:schemeClr val="accent5"/>
              </a:solidFill>
              <a:ln w="9525" cap="flat" cmpd="sng" algn="ctr">
                <a:solidFill>
                  <a:schemeClr val="accent5">
                    <a:shade val="95000"/>
                    <a:satMod val="105000"/>
                  </a:schemeClr>
                </a:solidFill>
                <a:prstDash val="solid"/>
                <a:round/>
              </a:ln>
              <a:effectLst/>
            </c:spPr>
          </c:marker>
          <c:cat>
            <c:numRef>
              <c:f>Race!$B$38:$F$38</c:f>
              <c:numCache>
                <c:formatCode>General</c:formatCode>
                <c:ptCount val="5"/>
                <c:pt idx="0">
                  <c:v>2010</c:v>
                </c:pt>
                <c:pt idx="1">
                  <c:v>2011</c:v>
                </c:pt>
                <c:pt idx="2">
                  <c:v>2012</c:v>
                </c:pt>
                <c:pt idx="3">
                  <c:v>2013</c:v>
                </c:pt>
                <c:pt idx="4">
                  <c:v>2014</c:v>
                </c:pt>
              </c:numCache>
            </c:numRef>
          </c:cat>
          <c:val>
            <c:numRef>
              <c:f>Race!$B$40:$F$40</c:f>
              <c:numCache>
                <c:formatCode>0.0</c:formatCode>
                <c:ptCount val="5"/>
                <c:pt idx="0">
                  <c:v>62.1</c:v>
                </c:pt>
                <c:pt idx="1">
                  <c:v>66.8</c:v>
                </c:pt>
                <c:pt idx="2">
                  <c:v>47.4</c:v>
                </c:pt>
                <c:pt idx="3">
                  <c:v>63.9</c:v>
                </c:pt>
                <c:pt idx="4">
                  <c:v>66.5</c:v>
                </c:pt>
              </c:numCache>
            </c:numRef>
          </c:val>
          <c:smooth val="0"/>
          <c:extLst xmlns:c16r2="http://schemas.microsoft.com/office/drawing/2015/06/chart">
            <c:ext xmlns:c16="http://schemas.microsoft.com/office/drawing/2014/chart" uri="{C3380CC4-5D6E-409C-BE32-E72D297353CC}">
              <c16:uniqueId val="{00000001-9D6C-49CC-A3C6-4654AFD3D5DA}"/>
            </c:ext>
          </c:extLst>
        </c:ser>
        <c:ser>
          <c:idx val="3"/>
          <c:order val="2"/>
          <c:tx>
            <c:strRef>
              <c:f>Race!$A$41</c:f>
              <c:strCache>
                <c:ptCount val="1"/>
                <c:pt idx="0">
                  <c:v>Hispanic</c:v>
                </c:pt>
              </c:strCache>
            </c:strRef>
          </c:tx>
          <c:spPr>
            <a:ln w="28575" cap="rnd" cmpd="sng" algn="ctr">
              <a:solidFill>
                <a:schemeClr val="accent1">
                  <a:lumMod val="60000"/>
                  <a:shade val="95000"/>
                  <a:satMod val="105000"/>
                </a:schemeClr>
              </a:solidFill>
              <a:prstDash val="solid"/>
              <a:round/>
            </a:ln>
            <a:effectLst/>
          </c:spPr>
          <c:marker>
            <c:symbol val="triangle"/>
            <c:size val="7"/>
            <c:spPr>
              <a:solidFill>
                <a:schemeClr val="accent1">
                  <a:lumMod val="60000"/>
                </a:schemeClr>
              </a:solidFill>
              <a:ln w="9525" cap="flat" cmpd="sng" algn="ctr">
                <a:solidFill>
                  <a:schemeClr val="accent1">
                    <a:lumMod val="60000"/>
                    <a:shade val="95000"/>
                    <a:satMod val="105000"/>
                  </a:schemeClr>
                </a:solidFill>
                <a:prstDash val="solid"/>
                <a:round/>
              </a:ln>
              <a:effectLst/>
            </c:spPr>
          </c:marker>
          <c:cat>
            <c:numRef>
              <c:f>Race!$B$38:$F$38</c:f>
              <c:numCache>
                <c:formatCode>General</c:formatCode>
                <c:ptCount val="5"/>
                <c:pt idx="0">
                  <c:v>2010</c:v>
                </c:pt>
                <c:pt idx="1">
                  <c:v>2011</c:v>
                </c:pt>
                <c:pt idx="2">
                  <c:v>2012</c:v>
                </c:pt>
                <c:pt idx="3">
                  <c:v>2013</c:v>
                </c:pt>
                <c:pt idx="4">
                  <c:v>2014</c:v>
                </c:pt>
              </c:numCache>
            </c:numRef>
          </c:cat>
          <c:val>
            <c:numRef>
              <c:f>Race!$B$41:$F$41</c:f>
              <c:numCache>
                <c:formatCode>0.0</c:formatCode>
                <c:ptCount val="5"/>
                <c:pt idx="0">
                  <c:v>26.6</c:v>
                </c:pt>
                <c:pt idx="1">
                  <c:v>26.7</c:v>
                </c:pt>
                <c:pt idx="2">
                  <c:v>28.3</c:v>
                </c:pt>
                <c:pt idx="3">
                  <c:v>30.7</c:v>
                </c:pt>
                <c:pt idx="4">
                  <c:v>31.9</c:v>
                </c:pt>
              </c:numCache>
            </c:numRef>
          </c:val>
          <c:smooth val="0"/>
          <c:extLst xmlns:c16r2="http://schemas.microsoft.com/office/drawing/2015/06/chart">
            <c:ext xmlns:c16="http://schemas.microsoft.com/office/drawing/2014/chart" uri="{C3380CC4-5D6E-409C-BE32-E72D297353CC}">
              <c16:uniqueId val="{00000002-9D6C-49CC-A3C6-4654AFD3D5DA}"/>
            </c:ext>
          </c:extLst>
        </c:ser>
        <c:ser>
          <c:idx val="4"/>
          <c:order val="3"/>
          <c:tx>
            <c:strRef>
              <c:f>Race!$A$42</c:f>
              <c:strCache>
                <c:ptCount val="1"/>
                <c:pt idx="0">
                  <c:v>API</c:v>
                </c:pt>
              </c:strCache>
            </c:strRef>
          </c:tx>
          <c:spPr>
            <a:ln w="28575" cap="rnd" cmpd="sng" algn="ctr">
              <a:solidFill>
                <a:schemeClr val="accent3">
                  <a:lumMod val="60000"/>
                  <a:shade val="95000"/>
                  <a:satMod val="105000"/>
                </a:schemeClr>
              </a:solidFill>
              <a:prstDash val="solid"/>
              <a:round/>
            </a:ln>
            <a:effectLst/>
          </c:spPr>
          <c:marker>
            <c:symbol val="x"/>
            <c:size val="7"/>
            <c:spPr>
              <a:noFill/>
              <a:ln w="9525" cap="flat" cmpd="sng" algn="ctr">
                <a:solidFill>
                  <a:schemeClr val="accent3">
                    <a:lumMod val="60000"/>
                    <a:shade val="95000"/>
                    <a:satMod val="105000"/>
                  </a:schemeClr>
                </a:solidFill>
                <a:prstDash val="solid"/>
                <a:round/>
              </a:ln>
              <a:effectLst/>
            </c:spPr>
          </c:marker>
          <c:cat>
            <c:numRef>
              <c:f>Race!$B$38:$F$38</c:f>
              <c:numCache>
                <c:formatCode>General</c:formatCode>
                <c:ptCount val="5"/>
                <c:pt idx="0">
                  <c:v>2010</c:v>
                </c:pt>
                <c:pt idx="1">
                  <c:v>2011</c:v>
                </c:pt>
                <c:pt idx="2">
                  <c:v>2012</c:v>
                </c:pt>
                <c:pt idx="3">
                  <c:v>2013</c:v>
                </c:pt>
                <c:pt idx="4">
                  <c:v>2014</c:v>
                </c:pt>
              </c:numCache>
            </c:numRef>
          </c:cat>
          <c:val>
            <c:numRef>
              <c:f>Race!$B$42:$F$42</c:f>
              <c:numCache>
                <c:formatCode>0.0</c:formatCode>
                <c:ptCount val="5"/>
                <c:pt idx="0">
                  <c:v>18</c:v>
                </c:pt>
                <c:pt idx="1">
                  <c:v>29.2</c:v>
                </c:pt>
                <c:pt idx="2">
                  <c:v>20.3</c:v>
                </c:pt>
                <c:pt idx="3">
                  <c:v>12.4</c:v>
                </c:pt>
                <c:pt idx="4">
                  <c:v>14.6</c:v>
                </c:pt>
              </c:numCache>
            </c:numRef>
          </c:val>
          <c:smooth val="0"/>
          <c:extLst xmlns:c16r2="http://schemas.microsoft.com/office/drawing/2015/06/chart">
            <c:ext xmlns:c16="http://schemas.microsoft.com/office/drawing/2014/chart" uri="{C3380CC4-5D6E-409C-BE32-E72D297353CC}">
              <c16:uniqueId val="{00000003-9D6C-49CC-A3C6-4654AFD3D5DA}"/>
            </c:ext>
          </c:extLst>
        </c:ser>
        <c:ser>
          <c:idx val="0"/>
          <c:order val="4"/>
          <c:tx>
            <c:strRef>
              <c:f>Race!$A$43</c:f>
              <c:strCache>
                <c:ptCount val="1"/>
                <c:pt idx="0">
                  <c:v>AI/AN</c:v>
                </c:pt>
              </c:strCache>
            </c:strRef>
          </c:tx>
          <c:spPr>
            <a:ln w="28575" cap="rnd" cmpd="sng" algn="ctr">
              <a:solidFill>
                <a:schemeClr val="accent1">
                  <a:shade val="95000"/>
                  <a:satMod val="105000"/>
                </a:schemeClr>
              </a:solidFill>
              <a:prstDash val="solid"/>
              <a:round/>
            </a:ln>
            <a:effectLst/>
          </c:spPr>
          <c:marker>
            <c:symbol val="star"/>
            <c:size val="7"/>
            <c:spPr>
              <a:noFill/>
              <a:ln w="9525" cap="flat" cmpd="sng" algn="ctr">
                <a:solidFill>
                  <a:schemeClr val="accent1">
                    <a:shade val="95000"/>
                    <a:satMod val="105000"/>
                  </a:schemeClr>
                </a:solidFill>
                <a:prstDash val="solid"/>
                <a:round/>
              </a:ln>
              <a:effectLst/>
            </c:spPr>
          </c:marker>
          <c:val>
            <c:numRef>
              <c:f>Race!$B$43:$F$43</c:f>
              <c:numCache>
                <c:formatCode>0.0</c:formatCode>
                <c:ptCount val="5"/>
                <c:pt idx="0">
                  <c:v>6.4</c:v>
                </c:pt>
                <c:pt idx="1">
                  <c:v>12.6</c:v>
                </c:pt>
                <c:pt idx="2">
                  <c:v>12.5</c:v>
                </c:pt>
                <c:pt idx="3">
                  <c:v>6.2</c:v>
                </c:pt>
                <c:pt idx="4">
                  <c:v>18.5</c:v>
                </c:pt>
              </c:numCache>
            </c:numRef>
          </c:val>
          <c:smooth val="0"/>
          <c:extLst xmlns:c16r2="http://schemas.microsoft.com/office/drawing/2015/06/chart">
            <c:ext xmlns:c16="http://schemas.microsoft.com/office/drawing/2014/chart" uri="{C3380CC4-5D6E-409C-BE32-E72D297353CC}">
              <c16:uniqueId val="{00000004-9D6C-49CC-A3C6-4654AFD3D5DA}"/>
            </c:ext>
          </c:extLst>
        </c:ser>
        <c:dLbls>
          <c:showLegendKey val="0"/>
          <c:showVal val="0"/>
          <c:showCatName val="0"/>
          <c:showSerName val="0"/>
          <c:showPercent val="0"/>
          <c:showBubbleSize val="0"/>
        </c:dLbls>
        <c:marker val="1"/>
        <c:smooth val="0"/>
        <c:axId val="-786870640"/>
        <c:axId val="-786883152"/>
      </c:lineChart>
      <c:catAx>
        <c:axId val="-7868706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700" b="0" i="1" u="none" strike="noStrike" baseline="0">
                    <a:effectLst/>
                  </a:rPr>
                  <a:t>*The number of males who identified as multi-racial was 5 in 2010; 4 in 2011; 9 in 2012; 14 in 2013; and 10 in 2014. Data for these persons were not included in this figure. </a:t>
                </a:r>
                <a:endParaRPr lang="en-US" sz="700" b="0"/>
              </a:p>
            </c:rich>
          </c:tx>
          <c:layout>
            <c:manualLayout>
              <c:xMode val="edge"/>
              <c:yMode val="edge"/>
              <c:x val="0.14941832606213409"/>
              <c:y val="0.8680722069669591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6883152"/>
        <c:crosses val="autoZero"/>
        <c:auto val="1"/>
        <c:lblAlgn val="ctr"/>
        <c:lblOffset val="100"/>
        <c:noMultiLvlLbl val="0"/>
      </c:catAx>
      <c:valAx>
        <c:axId val="-786883152"/>
        <c:scaling>
          <c:orientation val="minMax"/>
          <c:max val="10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t>Rate per 100,000</a:t>
                </a:r>
              </a:p>
            </c:rich>
          </c:tx>
          <c:layout>
            <c:manualLayout>
              <c:xMode val="edge"/>
              <c:yMode val="edge"/>
              <c:x val="6.8693098190890423E-2"/>
              <c:y val="0.24691023865072417"/>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687064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100" b="1" i="0" u="none" strike="noStrike" baseline="0">
                <a:effectLst/>
              </a:rPr>
              <a:t>Figure 11. Annual Rate of New HIV Diagnoses in Nevada by Race/Ethnicity, 2010– 2014*</a:t>
            </a:r>
            <a:endParaRPr lang="en-US" sz="1100"/>
          </a:p>
        </c:rich>
      </c:tx>
      <c:layout>
        <c:manualLayout>
          <c:xMode val="edge"/>
          <c:yMode val="edge"/>
          <c:x val="0.1517674454975235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21614397468013813"/>
          <c:y val="0.15427960239323352"/>
          <c:w val="0.7317811677120506"/>
          <c:h val="0.37947681783170706"/>
        </c:manualLayout>
      </c:layout>
      <c:lineChart>
        <c:grouping val="standard"/>
        <c:varyColors val="0"/>
        <c:ser>
          <c:idx val="0"/>
          <c:order val="0"/>
          <c:tx>
            <c:strRef>
              <c:f>Race!$A$18</c:f>
              <c:strCache>
                <c:ptCount val="1"/>
                <c:pt idx="0">
                  <c:v>White</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cat>
            <c:numRef>
              <c:f>Race!$B$17:$F$17</c:f>
              <c:numCache>
                <c:formatCode>General</c:formatCode>
                <c:ptCount val="5"/>
                <c:pt idx="0">
                  <c:v>2010</c:v>
                </c:pt>
                <c:pt idx="1">
                  <c:v>2011</c:v>
                </c:pt>
                <c:pt idx="2">
                  <c:v>2012</c:v>
                </c:pt>
                <c:pt idx="3">
                  <c:v>2013</c:v>
                </c:pt>
                <c:pt idx="4">
                  <c:v>2014</c:v>
                </c:pt>
              </c:numCache>
            </c:numRef>
          </c:cat>
          <c:val>
            <c:numRef>
              <c:f>Race!$B$18:$F$18</c:f>
              <c:numCache>
                <c:formatCode>0.0</c:formatCode>
                <c:ptCount val="5"/>
                <c:pt idx="0">
                  <c:v>9.1</c:v>
                </c:pt>
                <c:pt idx="1">
                  <c:v>8.5</c:v>
                </c:pt>
                <c:pt idx="2">
                  <c:v>9</c:v>
                </c:pt>
                <c:pt idx="3">
                  <c:v>11.2</c:v>
                </c:pt>
                <c:pt idx="4">
                  <c:v>10.5</c:v>
                </c:pt>
              </c:numCache>
            </c:numRef>
          </c:val>
          <c:smooth val="0"/>
          <c:extLst xmlns:c16r2="http://schemas.microsoft.com/office/drawing/2015/06/chart">
            <c:ext xmlns:c16="http://schemas.microsoft.com/office/drawing/2014/chart" uri="{C3380CC4-5D6E-409C-BE32-E72D297353CC}">
              <c16:uniqueId val="{00000000-D366-4EE7-B8A6-B0E2B92280CC}"/>
            </c:ext>
          </c:extLst>
        </c:ser>
        <c:ser>
          <c:idx val="1"/>
          <c:order val="1"/>
          <c:tx>
            <c:strRef>
              <c:f>Race!$A$19</c:f>
              <c:strCache>
                <c:ptCount val="1"/>
                <c:pt idx="0">
                  <c:v>Black</c:v>
                </c:pt>
              </c:strCache>
            </c:strRef>
          </c:tx>
          <c:spPr>
            <a:ln w="2857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c:spPr>
          </c:marker>
          <c:cat>
            <c:numRef>
              <c:f>Race!$B$17:$F$17</c:f>
              <c:numCache>
                <c:formatCode>General</c:formatCode>
                <c:ptCount val="5"/>
                <c:pt idx="0">
                  <c:v>2010</c:v>
                </c:pt>
                <c:pt idx="1">
                  <c:v>2011</c:v>
                </c:pt>
                <c:pt idx="2">
                  <c:v>2012</c:v>
                </c:pt>
                <c:pt idx="3">
                  <c:v>2013</c:v>
                </c:pt>
                <c:pt idx="4">
                  <c:v>2014</c:v>
                </c:pt>
              </c:numCache>
            </c:numRef>
          </c:cat>
          <c:val>
            <c:numRef>
              <c:f>Race!$B$19:$F$19</c:f>
              <c:numCache>
                <c:formatCode>0.0</c:formatCode>
                <c:ptCount val="5"/>
                <c:pt idx="0">
                  <c:v>46.7</c:v>
                </c:pt>
                <c:pt idx="1">
                  <c:v>47.3</c:v>
                </c:pt>
                <c:pt idx="2">
                  <c:v>34.1</c:v>
                </c:pt>
                <c:pt idx="3">
                  <c:v>43.4</c:v>
                </c:pt>
                <c:pt idx="4">
                  <c:v>43.6</c:v>
                </c:pt>
              </c:numCache>
            </c:numRef>
          </c:val>
          <c:smooth val="0"/>
          <c:extLst xmlns:c16r2="http://schemas.microsoft.com/office/drawing/2015/06/chart">
            <c:ext xmlns:c16="http://schemas.microsoft.com/office/drawing/2014/chart" uri="{C3380CC4-5D6E-409C-BE32-E72D297353CC}">
              <c16:uniqueId val="{00000001-D366-4EE7-B8A6-B0E2B92280CC}"/>
            </c:ext>
          </c:extLst>
        </c:ser>
        <c:ser>
          <c:idx val="2"/>
          <c:order val="2"/>
          <c:tx>
            <c:strRef>
              <c:f>Race!$A$20</c:f>
              <c:strCache>
                <c:ptCount val="1"/>
                <c:pt idx="0">
                  <c:v>Hispanic</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Race!$B$17:$F$17</c:f>
              <c:numCache>
                <c:formatCode>General</c:formatCode>
                <c:ptCount val="5"/>
                <c:pt idx="0">
                  <c:v>2010</c:v>
                </c:pt>
                <c:pt idx="1">
                  <c:v>2011</c:v>
                </c:pt>
                <c:pt idx="2">
                  <c:v>2012</c:v>
                </c:pt>
                <c:pt idx="3">
                  <c:v>2013</c:v>
                </c:pt>
                <c:pt idx="4">
                  <c:v>2014</c:v>
                </c:pt>
              </c:numCache>
            </c:numRef>
          </c:cat>
          <c:val>
            <c:numRef>
              <c:f>Race!$B$20:$F$20</c:f>
              <c:numCache>
                <c:formatCode>0.0</c:formatCode>
                <c:ptCount val="5"/>
                <c:pt idx="0">
                  <c:v>14.3</c:v>
                </c:pt>
                <c:pt idx="1">
                  <c:v>14.7</c:v>
                </c:pt>
                <c:pt idx="2">
                  <c:v>15.6</c:v>
                </c:pt>
                <c:pt idx="3">
                  <c:v>17</c:v>
                </c:pt>
                <c:pt idx="4">
                  <c:v>17.3</c:v>
                </c:pt>
              </c:numCache>
            </c:numRef>
          </c:val>
          <c:smooth val="0"/>
          <c:extLst xmlns:c16r2="http://schemas.microsoft.com/office/drawing/2015/06/chart">
            <c:ext xmlns:c16="http://schemas.microsoft.com/office/drawing/2014/chart" uri="{C3380CC4-5D6E-409C-BE32-E72D297353CC}">
              <c16:uniqueId val="{00000002-D366-4EE7-B8A6-B0E2B92280CC}"/>
            </c:ext>
          </c:extLst>
        </c:ser>
        <c:ser>
          <c:idx val="3"/>
          <c:order val="3"/>
          <c:tx>
            <c:strRef>
              <c:f>Race!$A$21</c:f>
              <c:strCache>
                <c:ptCount val="1"/>
                <c:pt idx="0">
                  <c:v>API</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Race!$B$17:$F$17</c:f>
              <c:numCache>
                <c:formatCode>General</c:formatCode>
                <c:ptCount val="5"/>
                <c:pt idx="0">
                  <c:v>2010</c:v>
                </c:pt>
                <c:pt idx="1">
                  <c:v>2011</c:v>
                </c:pt>
                <c:pt idx="2">
                  <c:v>2012</c:v>
                </c:pt>
                <c:pt idx="3">
                  <c:v>2013</c:v>
                </c:pt>
                <c:pt idx="4">
                  <c:v>2014</c:v>
                </c:pt>
              </c:numCache>
            </c:numRef>
          </c:cat>
          <c:val>
            <c:numRef>
              <c:f>Race!$B$21:$F$21</c:f>
              <c:numCache>
                <c:formatCode>0.0</c:formatCode>
                <c:ptCount val="5"/>
                <c:pt idx="0">
                  <c:v>9.6999999999999993</c:v>
                </c:pt>
                <c:pt idx="1">
                  <c:v>14.5</c:v>
                </c:pt>
                <c:pt idx="2">
                  <c:v>9.9</c:v>
                </c:pt>
                <c:pt idx="3">
                  <c:v>7</c:v>
                </c:pt>
                <c:pt idx="4">
                  <c:v>9.1999999999999993</c:v>
                </c:pt>
              </c:numCache>
            </c:numRef>
          </c:val>
          <c:smooth val="0"/>
          <c:extLst xmlns:c16r2="http://schemas.microsoft.com/office/drawing/2015/06/chart">
            <c:ext xmlns:c16="http://schemas.microsoft.com/office/drawing/2014/chart" uri="{C3380CC4-5D6E-409C-BE32-E72D297353CC}">
              <c16:uniqueId val="{00000003-D366-4EE7-B8A6-B0E2B92280CC}"/>
            </c:ext>
          </c:extLst>
        </c:ser>
        <c:ser>
          <c:idx val="4"/>
          <c:order val="4"/>
          <c:tx>
            <c:strRef>
              <c:f>Race!$A$22</c:f>
              <c:strCache>
                <c:ptCount val="1"/>
                <c:pt idx="0">
                  <c:v>AI/AN</c:v>
                </c:pt>
              </c:strCache>
            </c:strRef>
          </c:tx>
          <c:spPr>
            <a:ln w="28575" cap="rnd" cmpd="sng" algn="ctr">
              <a:solidFill>
                <a:schemeClr val="accent3">
                  <a:lumMod val="60000"/>
                  <a:shade val="95000"/>
                  <a:satMod val="105000"/>
                </a:schemeClr>
              </a:solidFill>
              <a:prstDash val="solid"/>
              <a:round/>
            </a:ln>
            <a:effectLst/>
          </c:spPr>
          <c:marker>
            <c:spPr>
              <a:noFill/>
              <a:ln w="9525" cap="flat" cmpd="sng" algn="ctr">
                <a:solidFill>
                  <a:schemeClr val="accent3">
                    <a:lumMod val="60000"/>
                    <a:shade val="95000"/>
                    <a:satMod val="105000"/>
                  </a:schemeClr>
                </a:solidFill>
                <a:prstDash val="solid"/>
                <a:round/>
              </a:ln>
              <a:effectLst/>
            </c:spPr>
          </c:marker>
          <c:cat>
            <c:numRef>
              <c:f>Race!$B$17:$F$17</c:f>
              <c:numCache>
                <c:formatCode>General</c:formatCode>
                <c:ptCount val="5"/>
                <c:pt idx="0">
                  <c:v>2010</c:v>
                </c:pt>
                <c:pt idx="1">
                  <c:v>2011</c:v>
                </c:pt>
                <c:pt idx="2">
                  <c:v>2012</c:v>
                </c:pt>
                <c:pt idx="3">
                  <c:v>2013</c:v>
                </c:pt>
                <c:pt idx="4">
                  <c:v>2014</c:v>
                </c:pt>
              </c:numCache>
            </c:numRef>
          </c:cat>
          <c:val>
            <c:numRef>
              <c:f>Race!$B$22:$F$22</c:f>
              <c:numCache>
                <c:formatCode>0.0</c:formatCode>
                <c:ptCount val="5"/>
                <c:pt idx="0">
                  <c:v>3.2</c:v>
                </c:pt>
                <c:pt idx="1">
                  <c:v>6.3</c:v>
                </c:pt>
                <c:pt idx="2">
                  <c:v>6.3</c:v>
                </c:pt>
                <c:pt idx="3">
                  <c:v>3.1</c:v>
                </c:pt>
                <c:pt idx="4">
                  <c:v>9.3000000000000007</c:v>
                </c:pt>
              </c:numCache>
            </c:numRef>
          </c:val>
          <c:smooth val="0"/>
          <c:extLst xmlns:c16r2="http://schemas.microsoft.com/office/drawing/2015/06/chart">
            <c:ext xmlns:c16="http://schemas.microsoft.com/office/drawing/2014/chart" uri="{C3380CC4-5D6E-409C-BE32-E72D297353CC}">
              <c16:uniqueId val="{00000004-D366-4EE7-B8A6-B0E2B92280CC}"/>
            </c:ext>
          </c:extLst>
        </c:ser>
        <c:dLbls>
          <c:showLegendKey val="0"/>
          <c:showVal val="0"/>
          <c:showCatName val="0"/>
          <c:showSerName val="0"/>
          <c:showPercent val="0"/>
          <c:showBubbleSize val="0"/>
        </c:dLbls>
        <c:marker val="1"/>
        <c:smooth val="0"/>
        <c:axId val="-786869008"/>
        <c:axId val="-786877168"/>
      </c:lineChart>
      <c:catAx>
        <c:axId val="-7868690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600" b="0" i="1">
                    <a:effectLst/>
                  </a:rPr>
                  <a:t>*The number of persons who identified as multi-racial was 7 in 2010; 5 in 2011; 9 in 2012; 14 in 2013; and 10 in 2014. Data for these persons were not included in this figure. </a:t>
                </a:r>
                <a:endParaRPr lang="en-US" sz="600" b="0">
                  <a:effectLst/>
                </a:endParaRPr>
              </a:p>
            </c:rich>
          </c:tx>
          <c:layout>
            <c:manualLayout>
              <c:xMode val="edge"/>
              <c:yMode val="edge"/>
              <c:x val="0.16912977613196431"/>
              <c:y val="0.9151829421878591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6877168"/>
        <c:crosses val="autoZero"/>
        <c:auto val="1"/>
        <c:lblAlgn val="ctr"/>
        <c:lblOffset val="100"/>
        <c:noMultiLvlLbl val="0"/>
      </c:catAx>
      <c:valAx>
        <c:axId val="-78687716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t>Rate per 100,000</a:t>
                </a:r>
              </a:p>
            </c:rich>
          </c:tx>
          <c:layout>
            <c:manualLayout>
              <c:xMode val="edge"/>
              <c:yMode val="edge"/>
              <c:x val="5.2615331847024521E-2"/>
              <c:y val="0.12358670683405953"/>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6869008"/>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100"/>
              <a:t>Figure 13. </a:t>
            </a:r>
            <a:r>
              <a:rPr lang="en-US" sz="1100" b="1" i="0" u="none" strike="noStrike" baseline="0">
                <a:effectLst/>
              </a:rPr>
              <a:t>Annual Rate of New HIV Diagnoses among Females in Nevada by Race/Ethnicity, 2010—2014*</a:t>
            </a:r>
            <a:endParaRPr lang="en-US" sz="1100"/>
          </a:p>
        </c:rich>
      </c:tx>
      <c:layout>
        <c:manualLayout>
          <c:xMode val="edge"/>
          <c:yMode val="edge"/>
          <c:x val="0.12181818181818181"/>
          <c:y val="5.2287581699346402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2191395354577543"/>
          <c:y val="0.18319346026447156"/>
          <c:w val="0.72806389631918023"/>
          <c:h val="0.40862530432543859"/>
        </c:manualLayout>
      </c:layout>
      <c:lineChart>
        <c:grouping val="standard"/>
        <c:varyColors val="0"/>
        <c:ser>
          <c:idx val="1"/>
          <c:order val="0"/>
          <c:tx>
            <c:strRef>
              <c:f>Race!$A$61</c:f>
              <c:strCache>
                <c:ptCount val="1"/>
                <c:pt idx="0">
                  <c:v>White</c:v>
                </c:pt>
              </c:strCache>
            </c:strRef>
          </c:tx>
          <c:spPr>
            <a:ln w="28575" cap="rnd" cmpd="sng" algn="ctr">
              <a:solidFill>
                <a:schemeClr val="accent3">
                  <a:shade val="95000"/>
                  <a:satMod val="105000"/>
                </a:schemeClr>
              </a:solidFill>
              <a:prstDash val="solid"/>
              <a:round/>
            </a:ln>
            <a:effectLst/>
          </c:spPr>
          <c:marker>
            <c:symbol val="diamond"/>
            <c:size val="7"/>
            <c:spPr>
              <a:solidFill>
                <a:schemeClr val="accent3"/>
              </a:solidFill>
              <a:ln w="9525" cap="flat" cmpd="sng" algn="ctr">
                <a:solidFill>
                  <a:schemeClr val="accent3">
                    <a:shade val="95000"/>
                    <a:satMod val="105000"/>
                  </a:schemeClr>
                </a:solidFill>
                <a:prstDash val="solid"/>
                <a:round/>
              </a:ln>
              <a:effectLst/>
            </c:spPr>
          </c:marker>
          <c:cat>
            <c:numRef>
              <c:f>Race!$B$60:$F$60</c:f>
              <c:numCache>
                <c:formatCode>General</c:formatCode>
                <c:ptCount val="5"/>
                <c:pt idx="0">
                  <c:v>2010</c:v>
                </c:pt>
                <c:pt idx="1">
                  <c:v>2011</c:v>
                </c:pt>
                <c:pt idx="2">
                  <c:v>2012</c:v>
                </c:pt>
                <c:pt idx="3">
                  <c:v>2013</c:v>
                </c:pt>
                <c:pt idx="4">
                  <c:v>2014</c:v>
                </c:pt>
              </c:numCache>
            </c:numRef>
          </c:cat>
          <c:val>
            <c:numRef>
              <c:f>Race!$B$61:$F$61</c:f>
              <c:numCache>
                <c:formatCode>0.0</c:formatCode>
                <c:ptCount val="5"/>
                <c:pt idx="0">
                  <c:v>2.6</c:v>
                </c:pt>
                <c:pt idx="1">
                  <c:v>1.7</c:v>
                </c:pt>
                <c:pt idx="2">
                  <c:v>1.7</c:v>
                </c:pt>
                <c:pt idx="3">
                  <c:v>2.4</c:v>
                </c:pt>
                <c:pt idx="4">
                  <c:v>2.4</c:v>
                </c:pt>
              </c:numCache>
            </c:numRef>
          </c:val>
          <c:smooth val="0"/>
          <c:extLst xmlns:c16r2="http://schemas.microsoft.com/office/drawing/2015/06/chart">
            <c:ext xmlns:c16="http://schemas.microsoft.com/office/drawing/2014/chart" uri="{C3380CC4-5D6E-409C-BE32-E72D297353CC}">
              <c16:uniqueId val="{00000000-2B82-4C37-8FB5-DB72BA4A16EE}"/>
            </c:ext>
          </c:extLst>
        </c:ser>
        <c:ser>
          <c:idx val="0"/>
          <c:order val="1"/>
          <c:tx>
            <c:strRef>
              <c:f>Race!$A$62</c:f>
              <c:strCache>
                <c:ptCount val="1"/>
                <c:pt idx="0">
                  <c:v>Black</c:v>
                </c:pt>
              </c:strCache>
            </c:strRef>
          </c:tx>
          <c:spPr>
            <a:ln w="19050" cap="rnd" cmpd="sng" algn="ctr">
              <a:solidFill>
                <a:schemeClr val="accent1">
                  <a:shade val="95000"/>
                  <a:satMod val="105000"/>
                </a:schemeClr>
              </a:solidFill>
              <a:prstDash val="solid"/>
              <a:round/>
            </a:ln>
            <a:effectLst/>
          </c:spPr>
          <c:marker>
            <c:symbol val="square"/>
            <c:size val="7"/>
            <c:spPr>
              <a:solidFill>
                <a:schemeClr val="accent1"/>
              </a:solidFill>
              <a:ln w="9525" cap="flat" cmpd="sng" algn="ctr">
                <a:solidFill>
                  <a:schemeClr val="accent1">
                    <a:shade val="95000"/>
                    <a:satMod val="105000"/>
                  </a:schemeClr>
                </a:solidFill>
                <a:prstDash val="solid"/>
                <a:round/>
              </a:ln>
              <a:effectLst/>
            </c:spPr>
          </c:marker>
          <c:cat>
            <c:numRef>
              <c:f>Race!$B$60:$F$60</c:f>
              <c:numCache>
                <c:formatCode>General</c:formatCode>
                <c:ptCount val="5"/>
                <c:pt idx="0">
                  <c:v>2010</c:v>
                </c:pt>
                <c:pt idx="1">
                  <c:v>2011</c:v>
                </c:pt>
                <c:pt idx="2">
                  <c:v>2012</c:v>
                </c:pt>
                <c:pt idx="3">
                  <c:v>2013</c:v>
                </c:pt>
                <c:pt idx="4">
                  <c:v>2014</c:v>
                </c:pt>
              </c:numCache>
            </c:numRef>
          </c:cat>
          <c:val>
            <c:numRef>
              <c:f>Race!$B$62:$F$62</c:f>
              <c:numCache>
                <c:formatCode>0.0</c:formatCode>
                <c:ptCount val="5"/>
                <c:pt idx="0">
                  <c:v>31.1</c:v>
                </c:pt>
                <c:pt idx="1">
                  <c:v>27.3</c:v>
                </c:pt>
                <c:pt idx="2">
                  <c:v>20.6</c:v>
                </c:pt>
                <c:pt idx="3">
                  <c:v>22.5</c:v>
                </c:pt>
                <c:pt idx="4">
                  <c:v>20.2</c:v>
                </c:pt>
              </c:numCache>
            </c:numRef>
          </c:val>
          <c:smooth val="0"/>
          <c:extLst xmlns:c16r2="http://schemas.microsoft.com/office/drawing/2015/06/chart">
            <c:ext xmlns:c16="http://schemas.microsoft.com/office/drawing/2014/chart" uri="{C3380CC4-5D6E-409C-BE32-E72D297353CC}">
              <c16:uniqueId val="{00000001-2B82-4C37-8FB5-DB72BA4A16EE}"/>
            </c:ext>
          </c:extLst>
        </c:ser>
        <c:ser>
          <c:idx val="2"/>
          <c:order val="2"/>
          <c:tx>
            <c:strRef>
              <c:f>Race!$A$63</c:f>
              <c:strCache>
                <c:ptCount val="1"/>
                <c:pt idx="0">
                  <c:v>Hispanic</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Race!$B$60:$F$60</c:f>
              <c:numCache>
                <c:formatCode>General</c:formatCode>
                <c:ptCount val="5"/>
                <c:pt idx="0">
                  <c:v>2010</c:v>
                </c:pt>
                <c:pt idx="1">
                  <c:v>2011</c:v>
                </c:pt>
                <c:pt idx="2">
                  <c:v>2012</c:v>
                </c:pt>
                <c:pt idx="3">
                  <c:v>2013</c:v>
                </c:pt>
                <c:pt idx="4">
                  <c:v>2014</c:v>
                </c:pt>
              </c:numCache>
            </c:numRef>
          </c:cat>
          <c:val>
            <c:numRef>
              <c:f>Race!$B$63:$F$63</c:f>
              <c:numCache>
                <c:formatCode>0.0</c:formatCode>
                <c:ptCount val="5"/>
                <c:pt idx="0">
                  <c:v>1.4</c:v>
                </c:pt>
                <c:pt idx="1">
                  <c:v>2</c:v>
                </c:pt>
                <c:pt idx="2">
                  <c:v>2.2000000000000002</c:v>
                </c:pt>
                <c:pt idx="3">
                  <c:v>2.7</c:v>
                </c:pt>
                <c:pt idx="4">
                  <c:v>2.1</c:v>
                </c:pt>
              </c:numCache>
            </c:numRef>
          </c:val>
          <c:smooth val="0"/>
          <c:extLst xmlns:c16r2="http://schemas.microsoft.com/office/drawing/2015/06/chart">
            <c:ext xmlns:c16="http://schemas.microsoft.com/office/drawing/2014/chart" uri="{C3380CC4-5D6E-409C-BE32-E72D297353CC}">
              <c16:uniqueId val="{00000002-2B82-4C37-8FB5-DB72BA4A16EE}"/>
            </c:ext>
          </c:extLst>
        </c:ser>
        <c:ser>
          <c:idx val="3"/>
          <c:order val="3"/>
          <c:tx>
            <c:strRef>
              <c:f>Race!$A$64</c:f>
              <c:strCache>
                <c:ptCount val="1"/>
                <c:pt idx="0">
                  <c:v>API</c:v>
                </c:pt>
              </c:strCache>
            </c:strRef>
          </c:tx>
          <c:spPr>
            <a:ln w="19050"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Race!$B$60:$F$60</c:f>
              <c:numCache>
                <c:formatCode>General</c:formatCode>
                <c:ptCount val="5"/>
                <c:pt idx="0">
                  <c:v>2010</c:v>
                </c:pt>
                <c:pt idx="1">
                  <c:v>2011</c:v>
                </c:pt>
                <c:pt idx="2">
                  <c:v>2012</c:v>
                </c:pt>
                <c:pt idx="3">
                  <c:v>2013</c:v>
                </c:pt>
                <c:pt idx="4">
                  <c:v>2014</c:v>
                </c:pt>
              </c:numCache>
            </c:numRef>
          </c:cat>
          <c:val>
            <c:numRef>
              <c:f>Race!$B$64:$F$64</c:f>
              <c:numCache>
                <c:formatCode>0.0</c:formatCode>
                <c:ptCount val="5"/>
                <c:pt idx="0">
                  <c:v>2.5</c:v>
                </c:pt>
                <c:pt idx="1">
                  <c:v>1.6</c:v>
                </c:pt>
                <c:pt idx="2">
                  <c:v>0.8</c:v>
                </c:pt>
                <c:pt idx="3">
                  <c:v>2.2999999999999998</c:v>
                </c:pt>
                <c:pt idx="4">
                  <c:v>4.5</c:v>
                </c:pt>
              </c:numCache>
            </c:numRef>
          </c:val>
          <c:smooth val="0"/>
          <c:extLst xmlns:c16r2="http://schemas.microsoft.com/office/drawing/2015/06/chart">
            <c:ext xmlns:c16="http://schemas.microsoft.com/office/drawing/2014/chart" uri="{C3380CC4-5D6E-409C-BE32-E72D297353CC}">
              <c16:uniqueId val="{00000003-2B82-4C37-8FB5-DB72BA4A16EE}"/>
            </c:ext>
          </c:extLst>
        </c:ser>
        <c:ser>
          <c:idx val="4"/>
          <c:order val="4"/>
          <c:tx>
            <c:strRef>
              <c:f>Race!$A$65</c:f>
              <c:strCache>
                <c:ptCount val="1"/>
                <c:pt idx="0">
                  <c:v>AI/AN</c:v>
                </c:pt>
              </c:strCache>
            </c:strRef>
          </c:tx>
          <c:spPr>
            <a:ln w="19050" cap="rnd" cmpd="sng" algn="ctr">
              <a:solidFill>
                <a:schemeClr val="accent3">
                  <a:lumMod val="60000"/>
                  <a:shade val="95000"/>
                  <a:satMod val="105000"/>
                </a:schemeClr>
              </a:solidFill>
              <a:prstDash val="solid"/>
              <a:round/>
            </a:ln>
            <a:effectLst/>
          </c:spPr>
          <c:marker>
            <c:spPr>
              <a:noFill/>
              <a:ln w="9525" cap="flat" cmpd="sng" algn="ctr">
                <a:solidFill>
                  <a:schemeClr val="accent3">
                    <a:lumMod val="60000"/>
                    <a:shade val="95000"/>
                    <a:satMod val="105000"/>
                  </a:schemeClr>
                </a:solidFill>
                <a:prstDash val="solid"/>
                <a:round/>
              </a:ln>
              <a:effectLst/>
            </c:spPr>
          </c:marker>
          <c:cat>
            <c:numRef>
              <c:f>Race!$B$60:$F$60</c:f>
              <c:numCache>
                <c:formatCode>General</c:formatCode>
                <c:ptCount val="5"/>
                <c:pt idx="0">
                  <c:v>2010</c:v>
                </c:pt>
                <c:pt idx="1">
                  <c:v>2011</c:v>
                </c:pt>
                <c:pt idx="2">
                  <c:v>2012</c:v>
                </c:pt>
                <c:pt idx="3">
                  <c:v>2013</c:v>
                </c:pt>
                <c:pt idx="4">
                  <c:v>2014</c:v>
                </c:pt>
              </c:numCache>
            </c:numRef>
          </c:cat>
          <c:val>
            <c:numRef>
              <c:f>Race!$B$65:$F$65</c:f>
              <c:numCache>
                <c:formatCode>0.0</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4-2B82-4C37-8FB5-DB72BA4A16EE}"/>
            </c:ext>
          </c:extLst>
        </c:ser>
        <c:dLbls>
          <c:showLegendKey val="0"/>
          <c:showVal val="0"/>
          <c:showCatName val="0"/>
          <c:showSerName val="0"/>
          <c:showPercent val="0"/>
          <c:showBubbleSize val="0"/>
        </c:dLbls>
        <c:marker val="1"/>
        <c:smooth val="0"/>
        <c:axId val="-786882608"/>
        <c:axId val="-786879344"/>
      </c:lineChart>
      <c:catAx>
        <c:axId val="-78688260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6879344"/>
        <c:crosses val="autoZero"/>
        <c:auto val="1"/>
        <c:lblAlgn val="ctr"/>
        <c:lblOffset val="100"/>
        <c:noMultiLvlLbl val="0"/>
      </c:catAx>
      <c:valAx>
        <c:axId val="-786879344"/>
        <c:scaling>
          <c:orientation val="minMax"/>
          <c:max val="5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t>Rate per 100,000</a:t>
                </a:r>
              </a:p>
            </c:rich>
          </c:tx>
          <c:layout>
            <c:manualLayout>
              <c:xMode val="edge"/>
              <c:yMode val="edge"/>
              <c:x val="5.2107731457426032E-2"/>
              <c:y val="0.10802125344088155"/>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6882608"/>
        <c:crosses val="autoZero"/>
        <c:crossBetween val="between"/>
      </c:valAx>
      <c:dTable>
        <c:showHorzBorder val="1"/>
        <c:showVertBorder val="1"/>
        <c:showOutline val="1"/>
        <c:showKeys val="1"/>
        <c:spPr>
          <a:noFill/>
          <a:ln w="0"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r>
              <a:rPr lang="en-US" sz="1100" b="1" i="0" u="none" strike="noStrike" baseline="0">
                <a:effectLst/>
              </a:rPr>
              <a:t>Figure 15. Annual Rate of Persons Living with HIV by Age at End of Year, 2010-2014*</a:t>
            </a:r>
            <a:endParaRPr lang="en-US" sz="1100"/>
          </a:p>
        </c:rich>
      </c:tx>
      <c:overlay val="0"/>
      <c:spPr>
        <a:noFill/>
        <a:ln>
          <a:noFill/>
        </a:ln>
        <a:effectLst/>
      </c:spPr>
      <c:txPr>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2"/>
          <c:order val="0"/>
          <c:tx>
            <c:strRef>
              <c:f>Age!$A$116</c:f>
              <c:strCache>
                <c:ptCount val="1"/>
                <c:pt idx="0">
                  <c:v>&lt; 13</c:v>
                </c:pt>
              </c:strCache>
            </c:strRef>
          </c:tx>
          <c:spPr>
            <a:ln w="28575" cap="rnd" cmpd="sng" algn="ctr">
              <a:solidFill>
                <a:schemeClr val="accent5">
                  <a:shade val="95000"/>
                  <a:satMod val="105000"/>
                </a:schemeClr>
              </a:solidFill>
              <a:prstDash val="solid"/>
              <a:round/>
            </a:ln>
            <a:effectLst/>
          </c:spPr>
          <c:marker>
            <c:symbol val="x"/>
            <c:size val="7"/>
            <c:spPr>
              <a:noFill/>
              <a:ln w="9525" cap="flat" cmpd="sng" algn="ctr">
                <a:solidFill>
                  <a:schemeClr val="accent5">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Age!$B$116:$F$116</c:f>
              <c:numCache>
                <c:formatCode>0.0</c:formatCode>
                <c:ptCount val="5"/>
                <c:pt idx="0">
                  <c:v>3.1</c:v>
                </c:pt>
                <c:pt idx="1">
                  <c:v>2.2999999999999998</c:v>
                </c:pt>
                <c:pt idx="2">
                  <c:v>2.1</c:v>
                </c:pt>
                <c:pt idx="3">
                  <c:v>2.5</c:v>
                </c:pt>
                <c:pt idx="4">
                  <c:v>2.4</c:v>
                </c:pt>
              </c:numCache>
            </c:numRef>
          </c:val>
          <c:smooth val="0"/>
          <c:extLst xmlns:c16r2="http://schemas.microsoft.com/office/drawing/2015/06/chart">
            <c:ext xmlns:c16="http://schemas.microsoft.com/office/drawing/2014/chart" uri="{C3380CC4-5D6E-409C-BE32-E72D297353CC}">
              <c16:uniqueId val="{00000000-5C5E-4456-8C31-0C5F0D0EE565}"/>
            </c:ext>
          </c:extLst>
        </c:ser>
        <c:ser>
          <c:idx val="3"/>
          <c:order val="1"/>
          <c:tx>
            <c:strRef>
              <c:f>Age!$A$117</c:f>
              <c:strCache>
                <c:ptCount val="1"/>
                <c:pt idx="0">
                  <c:v>13 to 24</c:v>
                </c:pt>
              </c:strCache>
            </c:strRef>
          </c:tx>
          <c:spPr>
            <a:ln w="28575" cap="rnd" cmpd="sng" algn="ctr">
              <a:solidFill>
                <a:schemeClr val="accent1">
                  <a:lumMod val="60000"/>
                  <a:shade val="95000"/>
                  <a:satMod val="105000"/>
                </a:schemeClr>
              </a:solidFill>
              <a:prstDash val="solid"/>
              <a:round/>
            </a:ln>
            <a:effectLst/>
          </c:spPr>
          <c:marker>
            <c:symbol val="x"/>
            <c:size val="7"/>
            <c:spPr>
              <a:noFill/>
              <a:ln w="9525" cap="flat" cmpd="sng" algn="ctr">
                <a:solidFill>
                  <a:schemeClr val="accent1">
                    <a:lumMod val="6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Age!$B$117:$F$117</c:f>
              <c:numCache>
                <c:formatCode>0.0</c:formatCode>
                <c:ptCount val="5"/>
                <c:pt idx="0">
                  <c:v>66.5</c:v>
                </c:pt>
                <c:pt idx="1">
                  <c:v>75.400000000000006</c:v>
                </c:pt>
                <c:pt idx="2">
                  <c:v>76.3</c:v>
                </c:pt>
                <c:pt idx="3">
                  <c:v>81.3</c:v>
                </c:pt>
                <c:pt idx="4">
                  <c:v>85.2</c:v>
                </c:pt>
              </c:numCache>
            </c:numRef>
          </c:val>
          <c:smooth val="0"/>
          <c:extLst xmlns:c16r2="http://schemas.microsoft.com/office/drawing/2015/06/chart">
            <c:ext xmlns:c16="http://schemas.microsoft.com/office/drawing/2014/chart" uri="{C3380CC4-5D6E-409C-BE32-E72D297353CC}">
              <c16:uniqueId val="{00000001-5C5E-4456-8C31-0C5F0D0EE565}"/>
            </c:ext>
          </c:extLst>
        </c:ser>
        <c:ser>
          <c:idx val="4"/>
          <c:order val="2"/>
          <c:tx>
            <c:strRef>
              <c:f>Age!$A$118</c:f>
              <c:strCache>
                <c:ptCount val="1"/>
                <c:pt idx="0">
                  <c:v>25 to 34</c:v>
                </c:pt>
              </c:strCache>
            </c:strRef>
          </c:tx>
          <c:spPr>
            <a:ln w="19050" cap="rnd" cmpd="sng" algn="ctr">
              <a:solidFill>
                <a:schemeClr val="accent3">
                  <a:lumMod val="60000"/>
                  <a:shade val="95000"/>
                  <a:satMod val="105000"/>
                </a:schemeClr>
              </a:solidFill>
              <a:prstDash val="solid"/>
              <a:round/>
            </a:ln>
            <a:effectLst/>
          </c:spPr>
          <c:marker>
            <c:symbol val="circle"/>
            <c:size val="7"/>
            <c:spPr>
              <a:solidFill>
                <a:schemeClr val="accent3">
                  <a:lumMod val="60000"/>
                </a:schemeClr>
              </a:solidFill>
              <a:ln w="9525" cap="flat" cmpd="sng" algn="ctr">
                <a:solidFill>
                  <a:schemeClr val="accent3">
                    <a:lumMod val="6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Age!$B$118:$F$118</c:f>
              <c:numCache>
                <c:formatCode>0.0</c:formatCode>
                <c:ptCount val="5"/>
                <c:pt idx="0">
                  <c:v>309.60000000000002</c:v>
                </c:pt>
                <c:pt idx="1">
                  <c:v>330.3</c:v>
                </c:pt>
                <c:pt idx="2">
                  <c:v>346.9</c:v>
                </c:pt>
                <c:pt idx="3">
                  <c:v>367.2</c:v>
                </c:pt>
                <c:pt idx="4">
                  <c:v>406.7</c:v>
                </c:pt>
              </c:numCache>
            </c:numRef>
          </c:val>
          <c:smooth val="0"/>
          <c:extLst xmlns:c16r2="http://schemas.microsoft.com/office/drawing/2015/06/chart">
            <c:ext xmlns:c16="http://schemas.microsoft.com/office/drawing/2014/chart" uri="{C3380CC4-5D6E-409C-BE32-E72D297353CC}">
              <c16:uniqueId val="{00000002-5C5E-4456-8C31-0C5F0D0EE565}"/>
            </c:ext>
          </c:extLst>
        </c:ser>
        <c:ser>
          <c:idx val="5"/>
          <c:order val="3"/>
          <c:tx>
            <c:strRef>
              <c:f>Age!$A$119</c:f>
              <c:strCache>
                <c:ptCount val="1"/>
                <c:pt idx="0">
                  <c:v>35 to 44</c:v>
                </c:pt>
              </c:strCache>
            </c:strRef>
          </c:tx>
          <c:spPr>
            <a:ln w="19050" cap="rnd" cmpd="sng" algn="ctr">
              <a:solidFill>
                <a:schemeClr val="accent5">
                  <a:lumMod val="60000"/>
                  <a:shade val="95000"/>
                  <a:satMod val="105000"/>
                </a:schemeClr>
              </a:solidFill>
              <a:prstDash val="solid"/>
              <a:round/>
            </a:ln>
            <a:effectLst/>
          </c:spPr>
          <c:marker>
            <c:symbol val="none"/>
          </c:marker>
          <c:cat>
            <c:numRef>
              <c:f>Age!$B$16:$F$16</c:f>
              <c:numCache>
                <c:formatCode>General</c:formatCode>
                <c:ptCount val="5"/>
                <c:pt idx="0">
                  <c:v>2010</c:v>
                </c:pt>
                <c:pt idx="1">
                  <c:v>2011</c:v>
                </c:pt>
                <c:pt idx="2">
                  <c:v>2012</c:v>
                </c:pt>
                <c:pt idx="3">
                  <c:v>2013</c:v>
                </c:pt>
                <c:pt idx="4">
                  <c:v>2014</c:v>
                </c:pt>
              </c:numCache>
            </c:numRef>
          </c:cat>
          <c:val>
            <c:numRef>
              <c:f>Age!$B$119:$F$119</c:f>
              <c:numCache>
                <c:formatCode>0.0</c:formatCode>
                <c:ptCount val="5"/>
                <c:pt idx="0">
                  <c:v>624.6</c:v>
                </c:pt>
                <c:pt idx="1">
                  <c:v>588.5</c:v>
                </c:pt>
                <c:pt idx="2">
                  <c:v>559.9</c:v>
                </c:pt>
                <c:pt idx="3">
                  <c:v>540.5</c:v>
                </c:pt>
                <c:pt idx="4">
                  <c:v>539.9</c:v>
                </c:pt>
              </c:numCache>
            </c:numRef>
          </c:val>
          <c:smooth val="0"/>
          <c:extLst xmlns:c16r2="http://schemas.microsoft.com/office/drawing/2015/06/chart">
            <c:ext xmlns:c16="http://schemas.microsoft.com/office/drawing/2014/chart" uri="{C3380CC4-5D6E-409C-BE32-E72D297353CC}">
              <c16:uniqueId val="{00000003-5C5E-4456-8C31-0C5F0D0EE565}"/>
            </c:ext>
          </c:extLst>
        </c:ser>
        <c:ser>
          <c:idx val="6"/>
          <c:order val="4"/>
          <c:tx>
            <c:strRef>
              <c:f>Age!$A$120</c:f>
              <c:strCache>
                <c:ptCount val="1"/>
                <c:pt idx="0">
                  <c:v>45 to 54</c:v>
                </c:pt>
              </c:strCache>
            </c:strRef>
          </c:tx>
          <c:spPr>
            <a:ln w="19050" cap="rnd" cmpd="sng" algn="ctr">
              <a:solidFill>
                <a:schemeClr val="accent1">
                  <a:lumMod val="80000"/>
                  <a:lumOff val="20000"/>
                  <a:shade val="95000"/>
                  <a:satMod val="105000"/>
                </a:schemeClr>
              </a:solidFill>
              <a:prstDash val="solid"/>
              <a:round/>
            </a:ln>
            <a:effectLst/>
          </c:spPr>
          <c:marker>
            <c:spPr>
              <a:noFill/>
              <a:ln w="9525" cap="flat" cmpd="sng" algn="ctr">
                <a:solidFill>
                  <a:schemeClr val="accent1">
                    <a:lumMod val="80000"/>
                    <a:lumOff val="2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Age!$B$120:$F$120</c:f>
              <c:numCache>
                <c:formatCode>0.0</c:formatCode>
                <c:ptCount val="5"/>
                <c:pt idx="0">
                  <c:v>780</c:v>
                </c:pt>
                <c:pt idx="1">
                  <c:v>813.9</c:v>
                </c:pt>
                <c:pt idx="2">
                  <c:v>829.2</c:v>
                </c:pt>
                <c:pt idx="3">
                  <c:v>838.7</c:v>
                </c:pt>
                <c:pt idx="4">
                  <c:v>865.7</c:v>
                </c:pt>
              </c:numCache>
            </c:numRef>
          </c:val>
          <c:smooth val="0"/>
          <c:extLst xmlns:c16r2="http://schemas.microsoft.com/office/drawing/2015/06/chart">
            <c:ext xmlns:c16="http://schemas.microsoft.com/office/drawing/2014/chart" uri="{C3380CC4-5D6E-409C-BE32-E72D297353CC}">
              <c16:uniqueId val="{00000004-5C5E-4456-8C31-0C5F0D0EE565}"/>
            </c:ext>
          </c:extLst>
        </c:ser>
        <c:ser>
          <c:idx val="7"/>
          <c:order val="5"/>
          <c:tx>
            <c:strRef>
              <c:f>Age!$A$121</c:f>
              <c:strCache>
                <c:ptCount val="1"/>
                <c:pt idx="0">
                  <c:v>55 to 64</c:v>
                </c:pt>
              </c:strCache>
            </c:strRef>
          </c:tx>
          <c:spPr>
            <a:ln w="19050" cap="rnd" cmpd="sng" algn="ctr">
              <a:solidFill>
                <a:schemeClr val="accent3">
                  <a:lumMod val="80000"/>
                  <a:lumOff val="20000"/>
                  <a:shade val="95000"/>
                  <a:satMod val="105000"/>
                </a:schemeClr>
              </a:solidFill>
              <a:prstDash val="solid"/>
              <a:round/>
            </a:ln>
            <a:effectLst/>
          </c:spPr>
          <c:marker>
            <c:symbol val="diamond"/>
            <c:size val="7"/>
            <c:spPr>
              <a:solidFill>
                <a:schemeClr val="accent3">
                  <a:lumMod val="80000"/>
                  <a:lumOff val="20000"/>
                </a:schemeClr>
              </a:solidFill>
              <a:ln w="9525" cap="flat" cmpd="sng" algn="ctr">
                <a:solidFill>
                  <a:schemeClr val="accent3">
                    <a:lumMod val="80000"/>
                    <a:lumOff val="2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Age!$B$121:$F$121</c:f>
              <c:numCache>
                <c:formatCode>0.0</c:formatCode>
                <c:ptCount val="5"/>
                <c:pt idx="0">
                  <c:v>348.3</c:v>
                </c:pt>
                <c:pt idx="1">
                  <c:v>378.2</c:v>
                </c:pt>
                <c:pt idx="2">
                  <c:v>412.2</c:v>
                </c:pt>
                <c:pt idx="3">
                  <c:v>457.6</c:v>
                </c:pt>
                <c:pt idx="4">
                  <c:v>511.1</c:v>
                </c:pt>
              </c:numCache>
            </c:numRef>
          </c:val>
          <c:smooth val="0"/>
          <c:extLst xmlns:c16r2="http://schemas.microsoft.com/office/drawing/2015/06/chart">
            <c:ext xmlns:c16="http://schemas.microsoft.com/office/drawing/2014/chart" uri="{C3380CC4-5D6E-409C-BE32-E72D297353CC}">
              <c16:uniqueId val="{00000005-5C5E-4456-8C31-0C5F0D0EE565}"/>
            </c:ext>
          </c:extLst>
        </c:ser>
        <c:ser>
          <c:idx val="0"/>
          <c:order val="6"/>
          <c:tx>
            <c:strRef>
              <c:f>Age!$A$122</c:f>
              <c:strCache>
                <c:ptCount val="1"/>
                <c:pt idx="0">
                  <c:v>65 +</c:v>
                </c:pt>
              </c:strCache>
            </c:strRef>
          </c:tx>
          <c:spPr>
            <a:ln w="19050" cap="rnd" cmpd="sng" algn="ctr">
              <a:solidFill>
                <a:schemeClr val="accent1">
                  <a:shade val="95000"/>
                  <a:satMod val="105000"/>
                </a:schemeClr>
              </a:solidFill>
              <a:prstDash val="solid"/>
              <a:round/>
            </a:ln>
            <a:effectLst/>
          </c:spPr>
          <c:marker>
            <c:symbol val="triangle"/>
            <c:size val="7"/>
            <c:spPr>
              <a:solidFill>
                <a:schemeClr val="accent1"/>
              </a:solidFill>
              <a:ln w="9525" cap="flat" cmpd="sng" algn="ctr">
                <a:solidFill>
                  <a:schemeClr val="accent1">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Age!$B$122:$F$122</c:f>
              <c:numCache>
                <c:formatCode>0.0</c:formatCode>
                <c:ptCount val="5"/>
                <c:pt idx="0">
                  <c:v>82.1</c:v>
                </c:pt>
                <c:pt idx="1">
                  <c:v>90.9</c:v>
                </c:pt>
                <c:pt idx="2">
                  <c:v>102.1</c:v>
                </c:pt>
                <c:pt idx="3">
                  <c:v>119</c:v>
                </c:pt>
                <c:pt idx="4">
                  <c:v>137.19999999999999</c:v>
                </c:pt>
              </c:numCache>
            </c:numRef>
          </c:val>
          <c:smooth val="0"/>
          <c:extLst xmlns:c16r2="http://schemas.microsoft.com/office/drawing/2015/06/chart">
            <c:ext xmlns:c16="http://schemas.microsoft.com/office/drawing/2014/chart" uri="{C3380CC4-5D6E-409C-BE32-E72D297353CC}">
              <c16:uniqueId val="{00000006-5C5E-4456-8C31-0C5F0D0EE565}"/>
            </c:ext>
          </c:extLst>
        </c:ser>
        <c:dLbls>
          <c:showLegendKey val="0"/>
          <c:showVal val="0"/>
          <c:showCatName val="0"/>
          <c:showSerName val="0"/>
          <c:showPercent val="0"/>
          <c:showBubbleSize val="0"/>
        </c:dLbls>
        <c:marker val="1"/>
        <c:smooth val="0"/>
        <c:axId val="-786870096"/>
        <c:axId val="-786873904"/>
      </c:lineChart>
      <c:catAx>
        <c:axId val="-78687009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0" i="1" u="none" strike="noStrike" baseline="0">
                    <a:effectLst/>
                  </a:rPr>
                  <a:t>*This figure reports age at end of year</a:t>
                </a:r>
                <a:r>
                  <a:rPr lang="en-US" sz="800" b="1" i="1" u="none" strike="noStrike" baseline="0">
                    <a:effectLst/>
                  </a:rPr>
                  <a:t>. </a:t>
                </a:r>
                <a:endParaRPr lang="en-US"/>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6873904"/>
        <c:crosses val="autoZero"/>
        <c:auto val="1"/>
        <c:lblAlgn val="ctr"/>
        <c:lblOffset val="100"/>
        <c:noMultiLvlLbl val="0"/>
      </c:catAx>
      <c:valAx>
        <c:axId val="-7868739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a:t>Rate per 100,000</a:t>
                </a:r>
              </a:p>
            </c:rich>
          </c:tx>
          <c:layout>
            <c:manualLayout>
              <c:xMode val="edge"/>
              <c:yMode val="edge"/>
              <c:x val="4.0821095710143702E-2"/>
              <c:y val="0.12338582677165394"/>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687009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100" b="1" i="0" u="none" strike="noStrike" baseline="0">
                <a:effectLst/>
              </a:rPr>
              <a:t>Figure 14. Annual Rate of New HIV Diagnoses in Nevada by Age at Diagnosis, 2010 – 2014</a:t>
            </a:r>
            <a:endParaRPr lang="en-US"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20425713058976219"/>
          <c:y val="0.18621122000037768"/>
          <c:w val="0.77500644789343531"/>
          <c:h val="0.34867954455333378"/>
        </c:manualLayout>
      </c:layout>
      <c:lineChart>
        <c:grouping val="standard"/>
        <c:varyColors val="0"/>
        <c:ser>
          <c:idx val="2"/>
          <c:order val="0"/>
          <c:tx>
            <c:strRef>
              <c:f>Age!$A$17</c:f>
              <c:strCache>
                <c:ptCount val="1"/>
                <c:pt idx="0">
                  <c:v>&lt; 13</c:v>
                </c:pt>
              </c:strCache>
            </c:strRef>
          </c:tx>
          <c:spPr>
            <a:ln w="28575" cap="rnd" cmpd="sng" algn="ctr">
              <a:solidFill>
                <a:schemeClr val="accent5">
                  <a:shade val="95000"/>
                  <a:satMod val="105000"/>
                </a:schemeClr>
              </a:solidFill>
              <a:prstDash val="solid"/>
              <a:round/>
            </a:ln>
            <a:effectLst/>
          </c:spPr>
          <c:marker>
            <c:symbol val="x"/>
            <c:size val="7"/>
            <c:spPr>
              <a:noFill/>
              <a:ln w="9525" cap="flat" cmpd="sng" algn="ctr">
                <a:solidFill>
                  <a:schemeClr val="accent5">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Age!$B$17:$F$17</c:f>
              <c:numCache>
                <c:formatCode>0.0</c:formatCode>
                <c:ptCount val="5"/>
                <c:pt idx="0">
                  <c:v>0.2</c:v>
                </c:pt>
                <c:pt idx="1">
                  <c:v>0.2</c:v>
                </c:pt>
                <c:pt idx="2">
                  <c:v>0</c:v>
                </c:pt>
                <c:pt idx="3">
                  <c:v>0.4</c:v>
                </c:pt>
                <c:pt idx="4">
                  <c:v>0.4</c:v>
                </c:pt>
              </c:numCache>
            </c:numRef>
          </c:val>
          <c:smooth val="0"/>
          <c:extLst xmlns:c16r2="http://schemas.microsoft.com/office/drawing/2015/06/chart">
            <c:ext xmlns:c16="http://schemas.microsoft.com/office/drawing/2014/chart" uri="{C3380CC4-5D6E-409C-BE32-E72D297353CC}">
              <c16:uniqueId val="{00000000-B725-410B-9130-21A5D9482DB9}"/>
            </c:ext>
          </c:extLst>
        </c:ser>
        <c:ser>
          <c:idx val="3"/>
          <c:order val="1"/>
          <c:tx>
            <c:strRef>
              <c:f>Age!$A$18</c:f>
              <c:strCache>
                <c:ptCount val="1"/>
                <c:pt idx="0">
                  <c:v>13 to 24</c:v>
                </c:pt>
              </c:strCache>
            </c:strRef>
          </c:tx>
          <c:spPr>
            <a:ln w="15875" cap="rnd" cmpd="sng" algn="ctr">
              <a:solidFill>
                <a:schemeClr val="accent1">
                  <a:lumMod val="60000"/>
                  <a:shade val="95000"/>
                  <a:satMod val="105000"/>
                </a:schemeClr>
              </a:solidFill>
              <a:prstDash val="solid"/>
              <a:round/>
            </a:ln>
            <a:effectLst/>
          </c:spPr>
          <c:marker>
            <c:symbol val="square"/>
            <c:size val="7"/>
            <c:spPr>
              <a:solidFill>
                <a:schemeClr val="accent1">
                  <a:lumMod val="60000"/>
                </a:schemeClr>
              </a:solidFill>
              <a:ln w="9525" cap="flat" cmpd="sng" algn="ctr">
                <a:solidFill>
                  <a:schemeClr val="accent1">
                    <a:lumMod val="6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Age!$B$18:$F$18</c:f>
              <c:numCache>
                <c:formatCode>0.0</c:formatCode>
                <c:ptCount val="5"/>
                <c:pt idx="0">
                  <c:v>20.6</c:v>
                </c:pt>
                <c:pt idx="1">
                  <c:v>22</c:v>
                </c:pt>
                <c:pt idx="2">
                  <c:v>19.3</c:v>
                </c:pt>
                <c:pt idx="3">
                  <c:v>24</c:v>
                </c:pt>
                <c:pt idx="4">
                  <c:v>23.8</c:v>
                </c:pt>
              </c:numCache>
            </c:numRef>
          </c:val>
          <c:smooth val="0"/>
          <c:extLst xmlns:c16r2="http://schemas.microsoft.com/office/drawing/2015/06/chart">
            <c:ext xmlns:c16="http://schemas.microsoft.com/office/drawing/2014/chart" uri="{C3380CC4-5D6E-409C-BE32-E72D297353CC}">
              <c16:uniqueId val="{00000001-B725-410B-9130-21A5D9482DB9}"/>
            </c:ext>
          </c:extLst>
        </c:ser>
        <c:ser>
          <c:idx val="4"/>
          <c:order val="2"/>
          <c:tx>
            <c:strRef>
              <c:f>Age!$A$19</c:f>
              <c:strCache>
                <c:ptCount val="1"/>
                <c:pt idx="0">
                  <c:v>25 to 34</c:v>
                </c:pt>
              </c:strCache>
            </c:strRef>
          </c:tx>
          <c:spPr>
            <a:ln w="15875" cap="rnd" cmpd="sng" algn="ctr">
              <a:solidFill>
                <a:schemeClr val="accent3">
                  <a:lumMod val="60000"/>
                  <a:shade val="95000"/>
                  <a:satMod val="105000"/>
                </a:schemeClr>
              </a:solidFill>
              <a:prstDash val="solid"/>
              <a:round/>
            </a:ln>
            <a:effectLst/>
          </c:spPr>
          <c:marker>
            <c:symbol val="circle"/>
            <c:size val="7"/>
            <c:spPr>
              <a:solidFill>
                <a:schemeClr val="accent3">
                  <a:lumMod val="60000"/>
                </a:schemeClr>
              </a:solidFill>
              <a:ln w="9525" cap="flat" cmpd="sng" algn="ctr">
                <a:solidFill>
                  <a:schemeClr val="accent3">
                    <a:lumMod val="6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Age!$B$19:$F$19</c:f>
              <c:numCache>
                <c:formatCode>0.0</c:formatCode>
                <c:ptCount val="5"/>
                <c:pt idx="0">
                  <c:v>28.9</c:v>
                </c:pt>
                <c:pt idx="1">
                  <c:v>36.299999999999997</c:v>
                </c:pt>
                <c:pt idx="2">
                  <c:v>30.3</c:v>
                </c:pt>
                <c:pt idx="3">
                  <c:v>41.4</c:v>
                </c:pt>
                <c:pt idx="4">
                  <c:v>39.299999999999997</c:v>
                </c:pt>
              </c:numCache>
            </c:numRef>
          </c:val>
          <c:smooth val="0"/>
          <c:extLst xmlns:c16r2="http://schemas.microsoft.com/office/drawing/2015/06/chart">
            <c:ext xmlns:c16="http://schemas.microsoft.com/office/drawing/2014/chart" uri="{C3380CC4-5D6E-409C-BE32-E72D297353CC}">
              <c16:uniqueId val="{00000002-B725-410B-9130-21A5D9482DB9}"/>
            </c:ext>
          </c:extLst>
        </c:ser>
        <c:ser>
          <c:idx val="5"/>
          <c:order val="3"/>
          <c:tx>
            <c:strRef>
              <c:f>Age!$A$20</c:f>
              <c:strCache>
                <c:ptCount val="1"/>
                <c:pt idx="0">
                  <c:v>35 to 44</c:v>
                </c:pt>
              </c:strCache>
            </c:strRef>
          </c:tx>
          <c:spPr>
            <a:ln w="15875" cap="rnd" cmpd="sng" algn="ctr">
              <a:solidFill>
                <a:schemeClr val="accent5">
                  <a:lumMod val="60000"/>
                  <a:shade val="95000"/>
                  <a:satMod val="105000"/>
                </a:schemeClr>
              </a:solidFill>
              <a:prstDash val="solid"/>
              <a:round/>
            </a:ln>
            <a:effectLst/>
          </c:spPr>
          <c:marker>
            <c:symbol val="none"/>
          </c:marker>
          <c:cat>
            <c:numRef>
              <c:f>Age!$B$16:$F$16</c:f>
              <c:numCache>
                <c:formatCode>General</c:formatCode>
                <c:ptCount val="5"/>
                <c:pt idx="0">
                  <c:v>2010</c:v>
                </c:pt>
                <c:pt idx="1">
                  <c:v>2011</c:v>
                </c:pt>
                <c:pt idx="2">
                  <c:v>2012</c:v>
                </c:pt>
                <c:pt idx="3">
                  <c:v>2013</c:v>
                </c:pt>
                <c:pt idx="4">
                  <c:v>2014</c:v>
                </c:pt>
              </c:numCache>
            </c:numRef>
          </c:cat>
          <c:val>
            <c:numRef>
              <c:f>Age!$B$20:$F$20</c:f>
              <c:numCache>
                <c:formatCode>0.0</c:formatCode>
                <c:ptCount val="5"/>
                <c:pt idx="0">
                  <c:v>24.2</c:v>
                </c:pt>
                <c:pt idx="1">
                  <c:v>16</c:v>
                </c:pt>
                <c:pt idx="2">
                  <c:v>22.8</c:v>
                </c:pt>
                <c:pt idx="3">
                  <c:v>19.2</c:v>
                </c:pt>
                <c:pt idx="4">
                  <c:v>20.5</c:v>
                </c:pt>
              </c:numCache>
            </c:numRef>
          </c:val>
          <c:smooth val="0"/>
          <c:extLst xmlns:c16r2="http://schemas.microsoft.com/office/drawing/2015/06/chart">
            <c:ext xmlns:c16="http://schemas.microsoft.com/office/drawing/2014/chart" uri="{C3380CC4-5D6E-409C-BE32-E72D297353CC}">
              <c16:uniqueId val="{00000003-B725-410B-9130-21A5D9482DB9}"/>
            </c:ext>
          </c:extLst>
        </c:ser>
        <c:ser>
          <c:idx val="6"/>
          <c:order val="4"/>
          <c:tx>
            <c:strRef>
              <c:f>Age!$A$21</c:f>
              <c:strCache>
                <c:ptCount val="1"/>
                <c:pt idx="0">
                  <c:v>45 to 54</c:v>
                </c:pt>
              </c:strCache>
            </c:strRef>
          </c:tx>
          <c:spPr>
            <a:ln w="15875" cap="rnd" cmpd="sng" algn="ctr">
              <a:solidFill>
                <a:schemeClr val="accent1">
                  <a:lumMod val="80000"/>
                  <a:lumOff val="20000"/>
                  <a:shade val="95000"/>
                  <a:satMod val="105000"/>
                </a:schemeClr>
              </a:solidFill>
              <a:prstDash val="solid"/>
              <a:round/>
            </a:ln>
            <a:effectLst/>
          </c:spPr>
          <c:marker>
            <c:spPr>
              <a:noFill/>
              <a:ln w="9525" cap="flat" cmpd="sng" algn="ctr">
                <a:solidFill>
                  <a:schemeClr val="accent1">
                    <a:lumMod val="80000"/>
                    <a:lumOff val="2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Age!$B$21:$F$21</c:f>
              <c:numCache>
                <c:formatCode>0.0</c:formatCode>
                <c:ptCount val="5"/>
                <c:pt idx="0">
                  <c:v>14</c:v>
                </c:pt>
                <c:pt idx="1">
                  <c:v>16.3</c:v>
                </c:pt>
                <c:pt idx="2">
                  <c:v>15.5</c:v>
                </c:pt>
                <c:pt idx="3">
                  <c:v>18.2</c:v>
                </c:pt>
                <c:pt idx="4">
                  <c:v>20</c:v>
                </c:pt>
              </c:numCache>
            </c:numRef>
          </c:val>
          <c:smooth val="0"/>
          <c:extLst xmlns:c16r2="http://schemas.microsoft.com/office/drawing/2015/06/chart">
            <c:ext xmlns:c16="http://schemas.microsoft.com/office/drawing/2014/chart" uri="{C3380CC4-5D6E-409C-BE32-E72D297353CC}">
              <c16:uniqueId val="{00000004-B725-410B-9130-21A5D9482DB9}"/>
            </c:ext>
          </c:extLst>
        </c:ser>
        <c:ser>
          <c:idx val="7"/>
          <c:order val="5"/>
          <c:tx>
            <c:strRef>
              <c:f>Age!$A$22</c:f>
              <c:strCache>
                <c:ptCount val="1"/>
                <c:pt idx="0">
                  <c:v>55 to 64</c:v>
                </c:pt>
              </c:strCache>
            </c:strRef>
          </c:tx>
          <c:spPr>
            <a:ln w="15875" cap="rnd" cmpd="sng" algn="ctr">
              <a:solidFill>
                <a:schemeClr val="accent3">
                  <a:lumMod val="80000"/>
                  <a:lumOff val="20000"/>
                  <a:shade val="95000"/>
                  <a:satMod val="105000"/>
                </a:schemeClr>
              </a:solidFill>
              <a:prstDash val="solid"/>
              <a:round/>
            </a:ln>
            <a:effectLst/>
          </c:spPr>
          <c:marker>
            <c:symbol val="diamond"/>
            <c:size val="7"/>
            <c:spPr>
              <a:solidFill>
                <a:schemeClr val="accent3">
                  <a:lumMod val="80000"/>
                  <a:lumOff val="20000"/>
                </a:schemeClr>
              </a:solidFill>
              <a:ln w="9525" cap="flat" cmpd="sng" algn="ctr">
                <a:solidFill>
                  <a:schemeClr val="accent3">
                    <a:lumMod val="80000"/>
                    <a:lumOff val="20000"/>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Age!$B$22:$F$22</c:f>
              <c:numCache>
                <c:formatCode>0.0</c:formatCode>
                <c:ptCount val="5"/>
                <c:pt idx="0">
                  <c:v>9.3000000000000007</c:v>
                </c:pt>
                <c:pt idx="1">
                  <c:v>8.1999999999999993</c:v>
                </c:pt>
                <c:pt idx="2">
                  <c:v>5.9</c:v>
                </c:pt>
                <c:pt idx="3">
                  <c:v>8.4</c:v>
                </c:pt>
                <c:pt idx="4">
                  <c:v>7.4</c:v>
                </c:pt>
              </c:numCache>
            </c:numRef>
          </c:val>
          <c:smooth val="0"/>
          <c:extLst xmlns:c16r2="http://schemas.microsoft.com/office/drawing/2015/06/chart">
            <c:ext xmlns:c16="http://schemas.microsoft.com/office/drawing/2014/chart" uri="{C3380CC4-5D6E-409C-BE32-E72D297353CC}">
              <c16:uniqueId val="{00000005-B725-410B-9130-21A5D9482DB9}"/>
            </c:ext>
          </c:extLst>
        </c:ser>
        <c:ser>
          <c:idx val="0"/>
          <c:order val="6"/>
          <c:tx>
            <c:strRef>
              <c:f>Age!$A$23</c:f>
              <c:strCache>
                <c:ptCount val="1"/>
                <c:pt idx="0">
                  <c:v>65 +</c:v>
                </c:pt>
              </c:strCache>
            </c:strRef>
          </c:tx>
          <c:spPr>
            <a:ln w="15875" cap="rnd" cmpd="sng" algn="ctr">
              <a:solidFill>
                <a:schemeClr val="accent1">
                  <a:shade val="95000"/>
                  <a:satMod val="105000"/>
                </a:schemeClr>
              </a:solidFill>
              <a:prstDash val="solid"/>
              <a:round/>
            </a:ln>
            <a:effectLst/>
          </c:spPr>
          <c:marker>
            <c:symbol val="triangle"/>
            <c:size val="7"/>
            <c:spPr>
              <a:solidFill>
                <a:schemeClr val="accent1"/>
              </a:solidFill>
              <a:ln w="9525" cap="flat" cmpd="sng" algn="ctr">
                <a:solidFill>
                  <a:schemeClr val="accent1">
                    <a:shade val="95000"/>
                    <a:satMod val="105000"/>
                  </a:schemeClr>
                </a:solidFill>
                <a:prstDash val="solid"/>
                <a:round/>
              </a:ln>
              <a:effectLst/>
            </c:spPr>
          </c:marker>
          <c:cat>
            <c:numRef>
              <c:f>Age!$B$16:$F$16</c:f>
              <c:numCache>
                <c:formatCode>General</c:formatCode>
                <c:ptCount val="5"/>
                <c:pt idx="0">
                  <c:v>2010</c:v>
                </c:pt>
                <c:pt idx="1">
                  <c:v>2011</c:v>
                </c:pt>
                <c:pt idx="2">
                  <c:v>2012</c:v>
                </c:pt>
                <c:pt idx="3">
                  <c:v>2013</c:v>
                </c:pt>
                <c:pt idx="4">
                  <c:v>2014</c:v>
                </c:pt>
              </c:numCache>
            </c:numRef>
          </c:cat>
          <c:val>
            <c:numRef>
              <c:f>Age!$B$23:$F$23</c:f>
              <c:numCache>
                <c:formatCode>0.0</c:formatCode>
                <c:ptCount val="5"/>
                <c:pt idx="0">
                  <c:v>1.8</c:v>
                </c:pt>
                <c:pt idx="1">
                  <c:v>1.7</c:v>
                </c:pt>
                <c:pt idx="2">
                  <c:v>1.7</c:v>
                </c:pt>
                <c:pt idx="3">
                  <c:v>1.1000000000000001</c:v>
                </c:pt>
                <c:pt idx="4">
                  <c:v>0.8</c:v>
                </c:pt>
              </c:numCache>
            </c:numRef>
          </c:val>
          <c:smooth val="0"/>
          <c:extLst xmlns:c16r2="http://schemas.microsoft.com/office/drawing/2015/06/chart">
            <c:ext xmlns:c16="http://schemas.microsoft.com/office/drawing/2014/chart" uri="{C3380CC4-5D6E-409C-BE32-E72D297353CC}">
              <c16:uniqueId val="{00000006-B725-410B-9130-21A5D9482DB9}"/>
            </c:ext>
          </c:extLst>
        </c:ser>
        <c:dLbls>
          <c:showLegendKey val="0"/>
          <c:showVal val="0"/>
          <c:showCatName val="0"/>
          <c:showSerName val="0"/>
          <c:showPercent val="0"/>
          <c:showBubbleSize val="0"/>
        </c:dLbls>
        <c:marker val="1"/>
        <c:smooth val="0"/>
        <c:axId val="-786871728"/>
        <c:axId val="-786442864"/>
      </c:lineChart>
      <c:catAx>
        <c:axId val="-78687172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6442864"/>
        <c:crosses val="autoZero"/>
        <c:auto val="1"/>
        <c:lblAlgn val="ctr"/>
        <c:lblOffset val="100"/>
        <c:noMultiLvlLbl val="0"/>
      </c:catAx>
      <c:valAx>
        <c:axId val="-78644286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t>Rate per 100,000</a:t>
                </a:r>
              </a:p>
            </c:rich>
          </c:tx>
          <c:layout>
            <c:manualLayout>
              <c:xMode val="edge"/>
              <c:yMode val="edge"/>
              <c:x val="8.0268722041250185E-2"/>
              <c:y val="0.21923185860760211"/>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6871728"/>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effectLst/>
              </a:rPr>
              <a:t>Figure 16. Percentage of Persons Living with HIV (not AIDS), or HIV/AIDS in Nevada who were Out of Care, 2010-2014</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HIV (not AIDS)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2010</c:v>
                </c:pt>
                <c:pt idx="1">
                  <c:v>2011</c:v>
                </c:pt>
                <c:pt idx="2">
                  <c:v>2012</c:v>
                </c:pt>
                <c:pt idx="3">
                  <c:v>2013</c:v>
                </c:pt>
                <c:pt idx="4">
                  <c:v>2014</c:v>
                </c:pt>
              </c:numCache>
            </c:numRef>
          </c:cat>
          <c:val>
            <c:numRef>
              <c:f>Sheet1!$B$2:$B$6</c:f>
              <c:numCache>
                <c:formatCode>0%</c:formatCode>
                <c:ptCount val="5"/>
                <c:pt idx="0">
                  <c:v>0.5</c:v>
                </c:pt>
                <c:pt idx="1">
                  <c:v>0.49</c:v>
                </c:pt>
                <c:pt idx="2">
                  <c:v>0.46</c:v>
                </c:pt>
                <c:pt idx="3">
                  <c:v>0.45</c:v>
                </c:pt>
                <c:pt idx="4">
                  <c:v>0.42</c:v>
                </c:pt>
              </c:numCache>
            </c:numRef>
          </c:val>
          <c:smooth val="0"/>
          <c:extLst xmlns:c16r2="http://schemas.microsoft.com/office/drawing/2015/06/chart">
            <c:ext xmlns:c16="http://schemas.microsoft.com/office/drawing/2014/chart" uri="{C3380CC4-5D6E-409C-BE32-E72D297353CC}">
              <c16:uniqueId val="{00000000-DDEB-4FA1-9F97-BEC8F9183197}"/>
            </c:ext>
          </c:extLst>
        </c:ser>
        <c:ser>
          <c:idx val="1"/>
          <c:order val="1"/>
          <c:tx>
            <c:strRef>
              <c:f>Sheet1!$C$1</c:f>
              <c:strCache>
                <c:ptCount val="1"/>
                <c:pt idx="0">
                  <c:v>AIDS</c:v>
                </c:pt>
              </c:strCache>
            </c:strRef>
          </c:tx>
          <c:spPr>
            <a:ln w="19050" cap="rnd">
              <a:solidFill>
                <a:schemeClr val="accent3"/>
              </a:solidFill>
              <a:round/>
            </a:ln>
            <a:effectLst/>
          </c:spPr>
          <c:marker>
            <c:symbol val="square"/>
            <c:size val="5"/>
            <c:spPr>
              <a:solidFill>
                <a:schemeClr val="accent3"/>
              </a:solidFill>
              <a:ln w="9525">
                <a:solidFill>
                  <a:schemeClr val="accent3"/>
                </a:solidFill>
              </a:ln>
              <a:effectLst/>
            </c:spPr>
          </c:marker>
          <c:cat>
            <c:numRef>
              <c:f>Sheet1!$A$2:$A$6</c:f>
              <c:numCache>
                <c:formatCode>General</c:formatCode>
                <c:ptCount val="5"/>
                <c:pt idx="0">
                  <c:v>2010</c:v>
                </c:pt>
                <c:pt idx="1">
                  <c:v>2011</c:v>
                </c:pt>
                <c:pt idx="2">
                  <c:v>2012</c:v>
                </c:pt>
                <c:pt idx="3">
                  <c:v>2013</c:v>
                </c:pt>
                <c:pt idx="4">
                  <c:v>2014</c:v>
                </c:pt>
              </c:numCache>
            </c:numRef>
          </c:cat>
          <c:val>
            <c:numRef>
              <c:f>Sheet1!$C$2:$C$6</c:f>
              <c:numCache>
                <c:formatCode>0%</c:formatCode>
                <c:ptCount val="5"/>
                <c:pt idx="0">
                  <c:v>0.41</c:v>
                </c:pt>
                <c:pt idx="1">
                  <c:v>0.4</c:v>
                </c:pt>
                <c:pt idx="2">
                  <c:v>0.39</c:v>
                </c:pt>
                <c:pt idx="3">
                  <c:v>0.38</c:v>
                </c:pt>
                <c:pt idx="4">
                  <c:v>0.36</c:v>
                </c:pt>
              </c:numCache>
            </c:numRef>
          </c:val>
          <c:smooth val="0"/>
          <c:extLst xmlns:c16r2="http://schemas.microsoft.com/office/drawing/2015/06/chart">
            <c:ext xmlns:c16="http://schemas.microsoft.com/office/drawing/2014/chart" uri="{C3380CC4-5D6E-409C-BE32-E72D297353CC}">
              <c16:uniqueId val="{00000001-DDEB-4FA1-9F97-BEC8F9183197}"/>
            </c:ext>
          </c:extLst>
        </c:ser>
        <c:ser>
          <c:idx val="2"/>
          <c:order val="2"/>
          <c:tx>
            <c:strRef>
              <c:f>Sheet1!$D$1</c:f>
              <c:strCache>
                <c:ptCount val="1"/>
                <c:pt idx="0">
                  <c:v>HIV/AIDS</c:v>
                </c:pt>
              </c:strCache>
            </c:strRef>
          </c:tx>
          <c:spPr>
            <a:ln w="19050" cap="rnd">
              <a:solidFill>
                <a:schemeClr val="accent5"/>
              </a:solidFill>
              <a:round/>
            </a:ln>
            <a:effectLst/>
          </c:spPr>
          <c:marker>
            <c:symbol val="triangle"/>
            <c:size val="5"/>
            <c:spPr>
              <a:solidFill>
                <a:schemeClr val="accent5"/>
              </a:solidFill>
              <a:ln w="9525">
                <a:solidFill>
                  <a:schemeClr val="accent5"/>
                </a:solidFill>
              </a:ln>
              <a:effectLst/>
            </c:spPr>
          </c:marker>
          <c:cat>
            <c:numRef>
              <c:f>Sheet1!$A$2:$A$6</c:f>
              <c:numCache>
                <c:formatCode>General</c:formatCode>
                <c:ptCount val="5"/>
                <c:pt idx="0">
                  <c:v>2010</c:v>
                </c:pt>
                <c:pt idx="1">
                  <c:v>2011</c:v>
                </c:pt>
                <c:pt idx="2">
                  <c:v>2012</c:v>
                </c:pt>
                <c:pt idx="3">
                  <c:v>2013</c:v>
                </c:pt>
                <c:pt idx="4">
                  <c:v>2014</c:v>
                </c:pt>
              </c:numCache>
            </c:numRef>
          </c:cat>
          <c:val>
            <c:numRef>
              <c:f>Sheet1!$D$2:$D$6</c:f>
              <c:numCache>
                <c:formatCode>0%</c:formatCode>
                <c:ptCount val="5"/>
                <c:pt idx="0">
                  <c:v>0.45</c:v>
                </c:pt>
                <c:pt idx="1">
                  <c:v>0.44</c:v>
                </c:pt>
                <c:pt idx="2">
                  <c:v>0.42</c:v>
                </c:pt>
                <c:pt idx="3">
                  <c:v>0.42</c:v>
                </c:pt>
                <c:pt idx="4">
                  <c:v>0.39</c:v>
                </c:pt>
              </c:numCache>
            </c:numRef>
          </c:val>
          <c:smooth val="0"/>
          <c:extLst xmlns:c16r2="http://schemas.microsoft.com/office/drawing/2015/06/chart">
            <c:ext xmlns:c16="http://schemas.microsoft.com/office/drawing/2014/chart" uri="{C3380CC4-5D6E-409C-BE32-E72D297353CC}">
              <c16:uniqueId val="{00000002-DDEB-4FA1-9F97-BEC8F9183197}"/>
            </c:ext>
          </c:extLst>
        </c:ser>
        <c:dLbls>
          <c:showLegendKey val="0"/>
          <c:showVal val="0"/>
          <c:showCatName val="0"/>
          <c:showSerName val="0"/>
          <c:showPercent val="0"/>
          <c:showBubbleSize val="0"/>
        </c:dLbls>
        <c:marker val="1"/>
        <c:smooth val="0"/>
        <c:axId val="-786446128"/>
        <c:axId val="-786445040"/>
      </c:lineChart>
      <c:catAx>
        <c:axId val="-78644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45040"/>
        <c:crosses val="autoZero"/>
        <c:auto val="1"/>
        <c:lblAlgn val="ctr"/>
        <c:lblOffset val="100"/>
        <c:noMultiLvlLbl val="0"/>
      </c:catAx>
      <c:valAx>
        <c:axId val="-786445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46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100"/>
              <a:t>Figure 17. Unprotected</a:t>
            </a:r>
            <a:r>
              <a:rPr lang="en-US" sz="1100" baseline="0"/>
              <a:t> Sexual Activity of </a:t>
            </a:r>
            <a:r>
              <a:rPr lang="en-US" sz="1100"/>
              <a:t>Community Survey Respondents With</a:t>
            </a:r>
            <a:r>
              <a:rPr lang="en-US" sz="1100" baseline="0"/>
              <a:t> Multiple Sexual Partners</a:t>
            </a:r>
            <a:endParaRPr lang="en-US" sz="1100"/>
          </a:p>
        </c:rich>
      </c:tx>
      <c:layout>
        <c:manualLayout>
          <c:xMode val="edge"/>
          <c:yMode val="edge"/>
          <c:x val="0.16523320496362853"/>
          <c:y val="0"/>
        </c:manualLayout>
      </c:layout>
      <c:overlay val="1"/>
    </c:title>
    <c:autoTitleDeleted val="0"/>
    <c:plotArea>
      <c:layout>
        <c:manualLayout>
          <c:layoutTarget val="inner"/>
          <c:xMode val="edge"/>
          <c:yMode val="edge"/>
          <c:x val="0.2698669806838972"/>
          <c:y val="0.16283907971993961"/>
          <c:w val="0.69162261328373753"/>
          <c:h val="0.74603474293233785"/>
        </c:manualLayout>
      </c:layout>
      <c:barChart>
        <c:barDir val="bar"/>
        <c:grouping val="clustered"/>
        <c:varyColors val="0"/>
        <c:ser>
          <c:idx val="0"/>
          <c:order val="0"/>
          <c:spPr>
            <a:solidFill>
              <a:schemeClr val="accent5">
                <a:lumMod val="60000"/>
                <a:lumOff val="40000"/>
              </a:schemeClr>
            </a:solidFill>
            <a:ln>
              <a:solidFill>
                <a:schemeClr val="accent5">
                  <a:lumMod val="60000"/>
                  <a:lumOff val="40000"/>
                </a:schemeClr>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4D-4291-A3D7-5C7D8BCE55A3}"/>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Sheet1!$A$1:$A$4</c:f>
              <c:strCache>
                <c:ptCount val="4"/>
                <c:pt idx="0">
                  <c:v>None of the above</c:v>
                </c:pt>
                <c:pt idx="1">
                  <c:v>Unprotected anal sex</c:v>
                </c:pt>
                <c:pt idx="2">
                  <c:v>Unprotected vaginal sex</c:v>
                </c:pt>
                <c:pt idx="3">
                  <c:v>Unprotected oral sex</c:v>
                </c:pt>
              </c:strCache>
            </c:strRef>
          </c:cat>
          <c:val>
            <c:numRef>
              <c:f>Sheet1!$B$1:$B$4</c:f>
              <c:numCache>
                <c:formatCode>0%</c:formatCode>
                <c:ptCount val="4"/>
                <c:pt idx="0">
                  <c:v>0.12</c:v>
                </c:pt>
                <c:pt idx="1">
                  <c:v>0.28000000000000003</c:v>
                </c:pt>
                <c:pt idx="2">
                  <c:v>0.66</c:v>
                </c:pt>
                <c:pt idx="3">
                  <c:v>0.78</c:v>
                </c:pt>
              </c:numCache>
            </c:numRef>
          </c:val>
          <c:extLst xmlns:c16r2="http://schemas.microsoft.com/office/drawing/2015/06/chart">
            <c:ext xmlns:c16="http://schemas.microsoft.com/office/drawing/2014/chart" uri="{C3380CC4-5D6E-409C-BE32-E72D297353CC}">
              <c16:uniqueId val="{00000001-8E4D-4291-A3D7-5C7D8BCE55A3}"/>
            </c:ext>
          </c:extLst>
        </c:ser>
        <c:dLbls>
          <c:dLblPos val="outEnd"/>
          <c:showLegendKey val="0"/>
          <c:showVal val="1"/>
          <c:showCatName val="0"/>
          <c:showSerName val="0"/>
          <c:showPercent val="0"/>
          <c:showBubbleSize val="0"/>
        </c:dLbls>
        <c:gapWidth val="150"/>
        <c:axId val="-786445584"/>
        <c:axId val="-786444496"/>
      </c:barChart>
      <c:catAx>
        <c:axId val="-786445584"/>
        <c:scaling>
          <c:orientation val="minMax"/>
        </c:scaling>
        <c:delete val="0"/>
        <c:axPos val="l"/>
        <c:numFmt formatCode="General" sourceLinked="0"/>
        <c:majorTickMark val="out"/>
        <c:minorTickMark val="none"/>
        <c:tickLblPos val="nextTo"/>
        <c:crossAx val="-786444496"/>
        <c:crosses val="autoZero"/>
        <c:auto val="1"/>
        <c:lblAlgn val="ctr"/>
        <c:lblOffset val="100"/>
        <c:noMultiLvlLbl val="0"/>
      </c:catAx>
      <c:valAx>
        <c:axId val="-786444496"/>
        <c:scaling>
          <c:orientation val="minMax"/>
          <c:max val="1"/>
        </c:scaling>
        <c:delete val="0"/>
        <c:axPos val="b"/>
        <c:numFmt formatCode="0%" sourceLinked="1"/>
        <c:majorTickMark val="out"/>
        <c:minorTickMark val="none"/>
        <c:tickLblPos val="nextTo"/>
        <c:crossAx val="-786445584"/>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Continuum of Care - Persons Living with HIV/AIDS, Nevada, 2015</a:t>
            </a:r>
          </a:p>
        </c:rich>
      </c:tx>
      <c:overlay val="0"/>
      <c:spPr>
        <a:noFill/>
        <a:ln>
          <a:noFill/>
        </a:ln>
        <a:effectLst/>
      </c:spPr>
    </c:title>
    <c:autoTitleDeleted val="0"/>
    <c:plotArea>
      <c:layout>
        <c:manualLayout>
          <c:layoutTarget val="inner"/>
          <c:xMode val="edge"/>
          <c:yMode val="edge"/>
          <c:x val="0.11775217096000302"/>
          <c:y val="0.17493077189338871"/>
          <c:w val="0.86188642505050272"/>
          <c:h val="0.66386858379462699"/>
        </c:manualLayout>
      </c:layout>
      <c:barChart>
        <c:barDir val="col"/>
        <c:grouping val="clustered"/>
        <c:varyColors val="0"/>
        <c:ser>
          <c:idx val="0"/>
          <c:order val="0"/>
          <c:spPr>
            <a:solidFill>
              <a:schemeClr val="tx2">
                <a:lumMod val="40000"/>
                <a:lumOff val="60000"/>
              </a:schemeClr>
            </a:solidFill>
            <a:ln>
              <a:noFill/>
            </a:ln>
            <a:effectLst/>
          </c:spPr>
          <c:invertIfNegative val="0"/>
          <c:dPt>
            <c:idx val="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9375-44B4-9438-6DFCA196F56F}"/>
              </c:ext>
            </c:extLst>
          </c:dPt>
          <c:dLbls>
            <c:dLbl>
              <c:idx val="0"/>
              <c:tx>
                <c:rich>
                  <a:bodyPr/>
                  <a:lstStyle/>
                  <a:p>
                    <a:fld id="{7C8C534C-22B4-46B5-A9FC-F0DA3CCEFF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strRef>
                  <c:f>Sheet1!$E$10</c:f>
                  <c:strCache>
                    <c:ptCount val="1"/>
                    <c:pt idx="0">
                      <c:v>81.3% of diagnosed
in 2015*</c:v>
                    </c:pt>
                  </c:strCache>
                </c:strRef>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9375-44B4-9438-6DFCA196F56F}"/>
                </c:ext>
                <c:ext xmlns:c15="http://schemas.microsoft.com/office/drawing/2012/chart" uri="{CE6537A1-D6FC-4f65-9D91-7224C49458BB}">
                  <c15:dlblFieldTable>
                    <c15:dlblFTEntry>
                      <c15:txfldGUID>{031810EA-E37B-47DA-AE18-E86119F221C5}</c15:txfldGUID>
                      <c15:f>Sheet1!$E$10</c15:f>
                      <c15:dlblFieldTableCache>
                        <c:ptCount val="1"/>
                        <c:pt idx="0">
                          <c:v>81.3% of diagnosed
in 2015*</c:v>
                        </c:pt>
                      </c15:dlblFieldTableCache>
                    </c15:dlblFTEntry>
                  </c15:dlblFieldTable>
                  <c15:showDataLabelsRange val="0"/>
                </c:ext>
              </c:extLst>
            </c:dLbl>
            <c:dLbl>
              <c:idx val="2"/>
              <c:tx>
                <c:rich>
                  <a:bodyPr/>
                  <a:lstStyle/>
                  <a:p>
                    <a:fld id="{378FAE4A-5DC0-4176-B2F7-9580BA3B39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7B566C90-1D4D-4F27-B97C-0C6BCAEA10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(Sheet1!$B$10,Sheet1!$D$10,Sheet1!$F$10,Sheet1!$H$10)</c:f>
              <c:strCache>
                <c:ptCount val="4"/>
                <c:pt idx="0">
                  <c:v>Persons living with diagnosed HIV (PLWH)</c:v>
                </c:pt>
                <c:pt idx="1">
                  <c:v>Linkage to Care</c:v>
                </c:pt>
                <c:pt idx="2">
                  <c:v>Retention to Care</c:v>
                </c:pt>
                <c:pt idx="3">
                  <c:v>Viral Suppression</c:v>
                </c:pt>
              </c:strCache>
            </c:strRef>
          </c:cat>
          <c:val>
            <c:numRef>
              <c:f>(Sheet1!$B$11,Sheet1!$D$11,Sheet1!$F$11,Sheet1!$H$11)</c:f>
              <c:numCache>
                <c:formatCode>0.0%</c:formatCode>
                <c:ptCount val="4"/>
                <c:pt idx="0">
                  <c:v>1</c:v>
                </c:pt>
                <c:pt idx="1">
                  <c:v>0.81340000000000001</c:v>
                </c:pt>
                <c:pt idx="2">
                  <c:v>0.38744206576914586</c:v>
                </c:pt>
                <c:pt idx="3">
                  <c:v>0.38313838004855438</c:v>
                </c:pt>
              </c:numCache>
            </c:numRef>
          </c:val>
          <c:extLst xmlns:c16r2="http://schemas.microsoft.com/office/drawing/2015/06/chart">
            <c:ext xmlns:c16="http://schemas.microsoft.com/office/drawing/2014/chart" uri="{C3380CC4-5D6E-409C-BE32-E72D297353CC}">
              <c16:uniqueId val="{00000005-9375-44B4-9438-6DFCA196F56F}"/>
            </c:ext>
            <c:ext xmlns:c15="http://schemas.microsoft.com/office/drawing/2012/chart" uri="{02D57815-91ED-43cb-92C2-25804820EDAC}">
              <c15:datalabelsRange>
                <c15:f>(Sheet1!$C$10,Sheet1!$E$10,Sheet1!$G$10,Sheet1!$I$10)</c15:f>
                <c15:dlblRangeCache>
                  <c:ptCount val="4"/>
                  <c:pt idx="0">
                    <c:v>100.0%</c:v>
                  </c:pt>
                  <c:pt idx="1">
                    <c:v>81.3% of diagnosed
in 2015*</c:v>
                  </c:pt>
                  <c:pt idx="2">
                    <c:v>38.7% of PLWH</c:v>
                  </c:pt>
                  <c:pt idx="3">
                    <c:v>38.3% of PLWH</c:v>
                  </c:pt>
                </c15:dlblRangeCache>
              </c15:datalabelsRange>
            </c:ext>
          </c:extLst>
        </c:ser>
        <c:dLbls>
          <c:showLegendKey val="0"/>
          <c:showVal val="0"/>
          <c:showCatName val="0"/>
          <c:showSerName val="0"/>
          <c:showPercent val="0"/>
          <c:showBubbleSize val="0"/>
        </c:dLbls>
        <c:gapWidth val="219"/>
        <c:overlap val="-27"/>
        <c:axId val="-786441232"/>
        <c:axId val="-786436336"/>
      </c:barChart>
      <c:catAx>
        <c:axId val="-786441232"/>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86436336"/>
        <c:crosses val="autoZero"/>
        <c:auto val="1"/>
        <c:lblAlgn val="ctr"/>
        <c:lblOffset val="100"/>
        <c:noMultiLvlLbl val="0"/>
      </c:catAx>
      <c:valAx>
        <c:axId val="-786436336"/>
        <c:scaling>
          <c:orientation val="minMax"/>
          <c:max val="1"/>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0">
                    <a:solidFill>
                      <a:sysClr val="windowText" lastClr="000000"/>
                    </a:solidFill>
                  </a:rPr>
                  <a:t>Percentage of PLWH</a:t>
                </a:r>
              </a:p>
            </c:rich>
          </c:tx>
          <c:overlay val="0"/>
          <c:spPr>
            <a:noFill/>
            <a:ln>
              <a:noFill/>
            </a:ln>
            <a:effectLst/>
          </c:spPr>
        </c:title>
        <c:numFmt formatCode="0.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6441232"/>
        <c:crosses val="autoZero"/>
        <c:crossBetween val="between"/>
        <c:majorUnit val="0.2"/>
      </c:valAx>
      <c:spPr>
        <a:noFill/>
        <a:ln>
          <a:noFill/>
        </a:ln>
        <a:effectLst/>
      </c:spPr>
    </c:plotArea>
    <c:plotVisOnly val="1"/>
    <c:dispBlanksAs val="gap"/>
    <c:showDLblsOverMax val="0"/>
  </c:chart>
  <c:spPr>
    <a:solidFill>
      <a:schemeClr val="bg1"/>
    </a:solidFill>
    <a:ln w="19050" cap="flat" cmpd="sng" algn="ctr">
      <a:noFill/>
      <a:round/>
    </a:ln>
    <a:effectLst/>
  </c:spPr>
  <c:txPr>
    <a:bodyPr/>
    <a:lstStyle/>
    <a:p>
      <a:pPr>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b="1">
                <a:solidFill>
                  <a:sysClr val="windowText" lastClr="000000"/>
                </a:solidFill>
              </a:rPr>
              <a:t>Figure </a:t>
            </a:r>
            <a:r>
              <a:rPr lang="en-US" sz="1100" b="1" baseline="0">
                <a:solidFill>
                  <a:sysClr val="windowText" lastClr="000000"/>
                </a:solidFill>
              </a:rPr>
              <a:t>19. Linkage to Care within 90 Days of Diagnosis, by Sex and Race, Nevada, 2015</a:t>
            </a:r>
            <a:endParaRPr lang="en-US"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60000"/>
                <a:lumOff val="40000"/>
              </a:schemeClr>
            </a:solidFill>
            <a:ln>
              <a:noFill/>
            </a:ln>
            <a:effectLst/>
          </c:spPr>
          <c:invertIfNegative val="0"/>
          <c:dPt>
            <c:idx val="0"/>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0-97D9-4938-A778-C60B5756D18E}"/>
              </c:ext>
            </c:extLst>
          </c:dPt>
          <c:dPt>
            <c:idx val="1"/>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5-97D9-4938-A778-C60B5756D18E}"/>
              </c:ext>
            </c:extLst>
          </c:dPt>
          <c:dPt>
            <c:idx val="2"/>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6-97D9-4938-A778-C60B5756D18E}"/>
              </c:ext>
            </c:extLst>
          </c:dPt>
          <c:dPt>
            <c:idx val="3"/>
            <c:invertIfNegative val="0"/>
            <c:bubble3D val="0"/>
            <c:spPr>
              <a:solidFill>
                <a:schemeClr val="accent3">
                  <a:lumMod val="40000"/>
                  <a:lumOff val="60000"/>
                </a:schemeClr>
              </a:solidFill>
              <a:ln>
                <a:noFill/>
              </a:ln>
              <a:effectLst/>
            </c:spPr>
            <c:extLst xmlns:c16r2="http://schemas.microsoft.com/office/drawing/2015/06/chart">
              <c:ext xmlns:c16="http://schemas.microsoft.com/office/drawing/2014/chart" uri="{C3380CC4-5D6E-409C-BE32-E72D297353CC}">
                <c16:uniqueId val="{00000001-97D9-4938-A778-C60B5756D18E}"/>
              </c:ext>
            </c:extLst>
          </c:dPt>
          <c:dPt>
            <c:idx val="4"/>
            <c:invertIfNegative val="0"/>
            <c:bubble3D val="0"/>
            <c:spPr>
              <a:solidFill>
                <a:schemeClr val="accent3">
                  <a:lumMod val="40000"/>
                  <a:lumOff val="60000"/>
                </a:schemeClr>
              </a:solidFill>
              <a:ln>
                <a:noFill/>
              </a:ln>
              <a:effectLst/>
            </c:spPr>
            <c:extLst xmlns:c16r2="http://schemas.microsoft.com/office/drawing/2015/06/chart">
              <c:ext xmlns:c16="http://schemas.microsoft.com/office/drawing/2014/chart" uri="{C3380CC4-5D6E-409C-BE32-E72D297353CC}">
                <c16:uniqueId val="{00000002-97D9-4938-A778-C60B5756D18E}"/>
              </c:ext>
            </c:extLst>
          </c:dPt>
          <c:dPt>
            <c:idx val="5"/>
            <c:invertIfNegative val="0"/>
            <c:bubble3D val="0"/>
            <c:spPr>
              <a:solidFill>
                <a:schemeClr val="accent3">
                  <a:lumMod val="40000"/>
                  <a:lumOff val="60000"/>
                </a:schemeClr>
              </a:solidFill>
              <a:ln>
                <a:noFill/>
              </a:ln>
              <a:effectLst/>
            </c:spPr>
            <c:extLst xmlns:c16r2="http://schemas.microsoft.com/office/drawing/2015/06/chart">
              <c:ext xmlns:c16="http://schemas.microsoft.com/office/drawing/2014/chart" uri="{C3380CC4-5D6E-409C-BE32-E72D297353CC}">
                <c16:uniqueId val="{00000003-97D9-4938-A778-C60B5756D18E}"/>
              </c:ext>
            </c:extLst>
          </c:dPt>
          <c:dPt>
            <c:idx val="6"/>
            <c:invertIfNegative val="0"/>
            <c:bubble3D val="0"/>
            <c:spPr>
              <a:solidFill>
                <a:schemeClr val="accent3">
                  <a:lumMod val="40000"/>
                  <a:lumOff val="60000"/>
                </a:schemeClr>
              </a:solidFill>
              <a:ln>
                <a:noFill/>
              </a:ln>
              <a:effectLst/>
            </c:spPr>
            <c:extLst xmlns:c16r2="http://schemas.microsoft.com/office/drawing/2015/06/chart">
              <c:ext xmlns:c16="http://schemas.microsoft.com/office/drawing/2014/chart" uri="{C3380CC4-5D6E-409C-BE32-E72D297353CC}">
                <c16:uniqueId val="{00000004-97D9-4938-A778-C60B5756D1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Sheet2!$A$82:$A$88</c:f>
              <c:strCache>
                <c:ptCount val="7"/>
                <c:pt idx="0">
                  <c:v>Nevada</c:v>
                </c:pt>
                <c:pt idx="1">
                  <c:v>Male</c:v>
                </c:pt>
                <c:pt idx="2">
                  <c:v>Female</c:v>
                </c:pt>
                <c:pt idx="3">
                  <c:v>Black</c:v>
                </c:pt>
                <c:pt idx="4">
                  <c:v>Hispanic</c:v>
                </c:pt>
                <c:pt idx="5">
                  <c:v>White</c:v>
                </c:pt>
                <c:pt idx="6">
                  <c:v>All other races</c:v>
                </c:pt>
              </c:strCache>
            </c:strRef>
          </c:cat>
          <c:val>
            <c:numRef>
              <c:f>Sheet2!$B$82:$B$88</c:f>
              <c:numCache>
                <c:formatCode>0%</c:formatCode>
                <c:ptCount val="7"/>
                <c:pt idx="0">
                  <c:v>0.81299999999999994</c:v>
                </c:pt>
                <c:pt idx="1">
                  <c:v>0.80300000000000005</c:v>
                </c:pt>
                <c:pt idx="2">
                  <c:v>0.88300000000000001</c:v>
                </c:pt>
                <c:pt idx="3">
                  <c:v>0.78800000000000003</c:v>
                </c:pt>
                <c:pt idx="4">
                  <c:v>0.81</c:v>
                </c:pt>
                <c:pt idx="5">
                  <c:v>0.82899999999999996</c:v>
                </c:pt>
                <c:pt idx="6">
                  <c:v>0.81799999999999995</c:v>
                </c:pt>
              </c:numCache>
            </c:numRef>
          </c:val>
          <c:extLst xmlns:c16r2="http://schemas.microsoft.com/office/drawing/2015/06/chart">
            <c:ext xmlns:c16="http://schemas.microsoft.com/office/drawing/2014/chart" uri="{C3380CC4-5D6E-409C-BE32-E72D297353CC}">
              <c16:uniqueId val="{00000000-5990-4053-8A4E-9DC7A7791910}"/>
            </c:ext>
          </c:extLst>
        </c:ser>
        <c:dLbls>
          <c:showLegendKey val="0"/>
          <c:showVal val="0"/>
          <c:showCatName val="0"/>
          <c:showSerName val="0"/>
          <c:showPercent val="0"/>
          <c:showBubbleSize val="0"/>
        </c:dLbls>
        <c:gapWidth val="219"/>
        <c:overlap val="-27"/>
        <c:axId val="-786439600"/>
        <c:axId val="-786443952"/>
      </c:barChart>
      <c:catAx>
        <c:axId val="-78643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43952"/>
        <c:crosses val="autoZero"/>
        <c:auto val="1"/>
        <c:lblAlgn val="ctr"/>
        <c:lblOffset val="100"/>
        <c:noMultiLvlLbl val="0"/>
      </c:catAx>
      <c:valAx>
        <c:axId val="-78644395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 of Newly Diagnosed in 2015</a:t>
                </a:r>
              </a:p>
            </c:rich>
          </c:tx>
          <c:layout>
            <c:manualLayout>
              <c:xMode val="edge"/>
              <c:yMode val="edge"/>
              <c:x val="2.3273035015339047E-2"/>
              <c:y val="0.18879632289571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39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b="1">
                <a:solidFill>
                  <a:sysClr val="windowText" lastClr="000000"/>
                </a:solidFill>
              </a:rPr>
              <a:t>Figure 20. Linkage to Care within 90 days of Diagnosis,</a:t>
            </a:r>
            <a:r>
              <a:rPr lang="en-US" sz="1100" b="1" baseline="0">
                <a:solidFill>
                  <a:sysClr val="windowText" lastClr="000000"/>
                </a:solidFill>
              </a:rPr>
              <a:t> by Age, Nevada, 2015</a:t>
            </a:r>
            <a:endParaRPr lang="en-US"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Sheet2!$A$64:$A$69</c:f>
              <c:strCache>
                <c:ptCount val="6"/>
                <c:pt idx="0">
                  <c:v>13 to 24 </c:v>
                </c:pt>
                <c:pt idx="1">
                  <c:v>25 to 34 </c:v>
                </c:pt>
                <c:pt idx="2">
                  <c:v>35 to 44 </c:v>
                </c:pt>
                <c:pt idx="3">
                  <c:v>45 to 54 </c:v>
                </c:pt>
                <c:pt idx="4">
                  <c:v>55 to 64 </c:v>
                </c:pt>
                <c:pt idx="5">
                  <c:v>65 + </c:v>
                </c:pt>
              </c:strCache>
            </c:strRef>
          </c:cat>
          <c:val>
            <c:numRef>
              <c:f>Sheet2!$B$64:$B$69</c:f>
              <c:numCache>
                <c:formatCode>0%</c:formatCode>
                <c:ptCount val="6"/>
                <c:pt idx="0">
                  <c:v>0.74390243902439024</c:v>
                </c:pt>
                <c:pt idx="1">
                  <c:v>0.82822085889570551</c:v>
                </c:pt>
                <c:pt idx="2">
                  <c:v>0.75438596491228072</c:v>
                </c:pt>
                <c:pt idx="3">
                  <c:v>0.90804597701149425</c:v>
                </c:pt>
                <c:pt idx="4">
                  <c:v>0.90909090909090906</c:v>
                </c:pt>
                <c:pt idx="5">
                  <c:v>0.7142857142857143</c:v>
                </c:pt>
              </c:numCache>
            </c:numRef>
          </c:val>
          <c:extLst xmlns:c16r2="http://schemas.microsoft.com/office/drawing/2015/06/chart">
            <c:ext xmlns:c16="http://schemas.microsoft.com/office/drawing/2014/chart" uri="{C3380CC4-5D6E-409C-BE32-E72D297353CC}">
              <c16:uniqueId val="{00000000-5485-43F6-ADA5-B590F7192935}"/>
            </c:ext>
          </c:extLst>
        </c:ser>
        <c:dLbls>
          <c:showLegendKey val="0"/>
          <c:showVal val="0"/>
          <c:showCatName val="0"/>
          <c:showSerName val="0"/>
          <c:showPercent val="0"/>
          <c:showBubbleSize val="0"/>
        </c:dLbls>
        <c:gapWidth val="219"/>
        <c:overlap val="-27"/>
        <c:axId val="-786443408"/>
        <c:axId val="-786435792"/>
      </c:barChart>
      <c:catAx>
        <c:axId val="-78644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35792"/>
        <c:crosses val="autoZero"/>
        <c:auto val="1"/>
        <c:lblAlgn val="ctr"/>
        <c:lblOffset val="100"/>
        <c:noMultiLvlLbl val="0"/>
      </c:catAx>
      <c:valAx>
        <c:axId val="-7864357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 of Newly Diagnoses in 2015</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43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050" b="1" i="0">
                <a:effectLst/>
                <a:latin typeface="+mn-lt"/>
              </a:rPr>
              <a:t>Figure 2.</a:t>
            </a:r>
            <a:r>
              <a:rPr lang="en-US" sz="1050" b="1" i="0" baseline="0">
                <a:effectLst/>
                <a:latin typeface="+mn-lt"/>
              </a:rPr>
              <a:t> </a:t>
            </a:r>
            <a:r>
              <a:rPr lang="en-US" sz="1050" b="1">
                <a:effectLst/>
                <a:latin typeface="+mn-lt"/>
              </a:rPr>
              <a:t>Total Population, New HIV Diagnoses, and Persons Living with HIV in Nevada by County, 2014</a:t>
            </a:r>
          </a:p>
        </c:rich>
      </c:tx>
      <c:overlay val="0"/>
    </c:title>
    <c:autoTitleDeleted val="0"/>
    <c:plotArea>
      <c:layout>
        <c:manualLayout>
          <c:layoutTarget val="inner"/>
          <c:xMode val="edge"/>
          <c:yMode val="edge"/>
          <c:x val="0.1295618927305919"/>
          <c:y val="0.24016230465721325"/>
          <c:w val="0.83582319768557356"/>
          <c:h val="0.59413256603318454"/>
        </c:manualLayout>
      </c:layout>
      <c:barChart>
        <c:barDir val="col"/>
        <c:grouping val="percentStacked"/>
        <c:varyColors val="0"/>
        <c:ser>
          <c:idx val="0"/>
          <c:order val="0"/>
          <c:tx>
            <c:strRef>
              <c:f>'County level'!$A$6</c:f>
              <c:strCache>
                <c:ptCount val="1"/>
                <c:pt idx="0">
                  <c:v>Clark County</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xmlns:c16r2="http://schemas.microsoft.com/office/drawing/2015/06/chart">
              <c:ext xmlns:c16="http://schemas.microsoft.com/office/drawing/2014/chart" uri="{C3380CC4-5D6E-409C-BE32-E72D297353CC}">
                <c16:uniqueId val="{00000000-75DB-4AD9-9ADB-09A23651E673}"/>
              </c:ext>
            </c:extLst>
          </c:dPt>
          <c:dPt>
            <c:idx val="1"/>
            <c:invertIfNegative val="0"/>
            <c:bubble3D val="0"/>
            <c:extLst xmlns:c16r2="http://schemas.microsoft.com/office/drawing/2015/06/chart">
              <c:ext xmlns:c16="http://schemas.microsoft.com/office/drawing/2014/chart" uri="{C3380CC4-5D6E-409C-BE32-E72D297353CC}">
                <c16:uniqueId val="{00000001-75DB-4AD9-9ADB-09A23651E673}"/>
              </c:ext>
            </c:extLst>
          </c:dPt>
          <c:dPt>
            <c:idx val="2"/>
            <c:invertIfNegative val="0"/>
            <c:bubble3D val="0"/>
            <c:extLst xmlns:c16r2="http://schemas.microsoft.com/office/drawing/2015/06/chart">
              <c:ext xmlns:c16="http://schemas.microsoft.com/office/drawing/2014/chart" uri="{C3380CC4-5D6E-409C-BE32-E72D297353CC}">
                <c16:uniqueId val="{00000002-75DB-4AD9-9ADB-09A23651E673}"/>
              </c:ext>
            </c:extLst>
          </c:dPt>
          <c:dLbls>
            <c:spPr>
              <a:solidFill>
                <a:schemeClr val="bg1">
                  <a:lumMod val="95000"/>
                </a:schemeClr>
              </a:solidFill>
              <a:ln>
                <a:noFill/>
              </a:ln>
              <a:effectLst/>
              <a:scene3d>
                <a:camera prst="orthographicFront"/>
                <a:lightRig rig="threePt" dir="t"/>
              </a:scene3d>
              <a:sp3d>
                <a:bevelT/>
              </a:sp3d>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'County level'!$B$5:$D$5</c:f>
              <c:strCache>
                <c:ptCount val="3"/>
                <c:pt idx="0">
                  <c:v>Total Population</c:v>
                </c:pt>
                <c:pt idx="1">
                  <c:v>New HIV Diagnoses</c:v>
                </c:pt>
                <c:pt idx="2">
                  <c:v>Living with HIV</c:v>
                </c:pt>
              </c:strCache>
            </c:strRef>
          </c:cat>
          <c:val>
            <c:numRef>
              <c:f>'County level'!$E$6:$G$6</c:f>
              <c:numCache>
                <c:formatCode>0%</c:formatCode>
                <c:ptCount val="3"/>
                <c:pt idx="0">
                  <c:v>0.72537839713080066</c:v>
                </c:pt>
                <c:pt idx="1">
                  <c:v>0.88127853881278539</c:v>
                </c:pt>
                <c:pt idx="2">
                  <c:v>0.86026918730093493</c:v>
                </c:pt>
              </c:numCache>
            </c:numRef>
          </c:val>
          <c:extLst xmlns:c16r2="http://schemas.microsoft.com/office/drawing/2015/06/chart">
            <c:ext xmlns:c16="http://schemas.microsoft.com/office/drawing/2014/chart" uri="{C3380CC4-5D6E-409C-BE32-E72D297353CC}">
              <c16:uniqueId val="{00000003-75DB-4AD9-9ADB-09A23651E673}"/>
            </c:ext>
          </c:extLst>
        </c:ser>
        <c:ser>
          <c:idx val="1"/>
          <c:order val="1"/>
          <c:tx>
            <c:strRef>
              <c:f>'County level'!$A$7</c:f>
              <c:strCache>
                <c:ptCount val="1"/>
                <c:pt idx="0">
                  <c:v>Washoe County</c:v>
                </c:pt>
              </c:strCache>
            </c:strRef>
          </c:tx>
          <c:spPr>
            <a:solidFill>
              <a:srgbClr val="4F81B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0"/>
                  <c:y val="1.9784972173883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DB-4AD9-9ADB-09A23651E673}"/>
                </c:ext>
                <c:ext xmlns:c15="http://schemas.microsoft.com/office/drawing/2012/chart" uri="{CE6537A1-D6FC-4f65-9D91-7224C49458BB}"/>
              </c:extLst>
            </c:dLbl>
            <c:spPr>
              <a:solidFill>
                <a:schemeClr val="bg1">
                  <a:lumMod val="95000"/>
                </a:schemeClr>
              </a:solidFill>
              <a:ln>
                <a:noFill/>
              </a:ln>
              <a:effectLst/>
              <a:scene3d>
                <a:camera prst="orthographicFront"/>
                <a:lightRig rig="threePt" dir="t"/>
              </a:scene3d>
              <a:sp3d>
                <a:bevelT/>
              </a:sp3d>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'County level'!$B$5:$D$5</c:f>
              <c:strCache>
                <c:ptCount val="3"/>
                <c:pt idx="0">
                  <c:v>Total Population</c:v>
                </c:pt>
                <c:pt idx="1">
                  <c:v>New HIV Diagnoses</c:v>
                </c:pt>
                <c:pt idx="2">
                  <c:v>Living with HIV</c:v>
                </c:pt>
              </c:strCache>
            </c:strRef>
          </c:cat>
          <c:val>
            <c:numRef>
              <c:f>'County level'!$E$7:$G$7</c:f>
              <c:numCache>
                <c:formatCode>0%</c:formatCode>
                <c:ptCount val="3"/>
                <c:pt idx="0">
                  <c:v>0.15468781664302966</c:v>
                </c:pt>
                <c:pt idx="1">
                  <c:v>9.1324200913242004E-2</c:v>
                </c:pt>
                <c:pt idx="2">
                  <c:v>9.7195109421555528E-2</c:v>
                </c:pt>
              </c:numCache>
            </c:numRef>
          </c:val>
          <c:extLst xmlns:c16r2="http://schemas.microsoft.com/office/drawing/2015/06/chart">
            <c:ext xmlns:c16="http://schemas.microsoft.com/office/drawing/2014/chart" uri="{C3380CC4-5D6E-409C-BE32-E72D297353CC}">
              <c16:uniqueId val="{00000005-75DB-4AD9-9ADB-09A23651E673}"/>
            </c:ext>
          </c:extLst>
        </c:ser>
        <c:ser>
          <c:idx val="2"/>
          <c:order val="2"/>
          <c:tx>
            <c:strRef>
              <c:f>'County level'!$A$8</c:f>
              <c:strCache>
                <c:ptCount val="1"/>
                <c:pt idx="0">
                  <c:v>All Other Counties</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6429872495446266E-3"/>
                  <c:y val="-5.0050050050050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5DB-4AD9-9ADB-09A23651E673}"/>
                </c:ext>
                <c:ext xmlns:c15="http://schemas.microsoft.com/office/drawing/2012/chart" uri="{CE6537A1-D6FC-4f65-9D91-7224C49458BB}"/>
              </c:extLst>
            </c:dLbl>
            <c:dLbl>
              <c:idx val="1"/>
              <c:layout>
                <c:manualLayout>
                  <c:x val="0"/>
                  <c:y val="-1.8518518518518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5DB-4AD9-9ADB-09A23651E673}"/>
                </c:ext>
                <c:ext xmlns:c15="http://schemas.microsoft.com/office/drawing/2012/chart" uri="{CE6537A1-D6FC-4f65-9D91-7224C49458BB}"/>
              </c:extLst>
            </c:dLbl>
            <c:dLbl>
              <c:idx val="2"/>
              <c:layout>
                <c:manualLayout>
                  <c:x val="-1.4506444914947013E-3"/>
                  <c:y val="-4.320056127450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5DB-4AD9-9ADB-09A23651E673}"/>
                </c:ext>
                <c:ext xmlns:c15="http://schemas.microsoft.com/office/drawing/2012/chart" uri="{CE6537A1-D6FC-4f65-9D91-7224C49458BB}"/>
              </c:extLst>
            </c:dLbl>
            <c:spPr>
              <a:solidFill>
                <a:schemeClr val="bg1">
                  <a:lumMod val="95000"/>
                </a:schemeClr>
              </a:solidFill>
              <a:ln>
                <a:noFill/>
              </a:ln>
              <a:effectLst/>
              <a:scene3d>
                <a:camera prst="orthographicFront"/>
                <a:lightRig rig="threePt" dir="t"/>
              </a:scene3d>
              <a:sp3d>
                <a:bevelT/>
              </a:sp3d>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'County level'!$B$5:$D$5</c:f>
              <c:strCache>
                <c:ptCount val="3"/>
                <c:pt idx="0">
                  <c:v>Total Population</c:v>
                </c:pt>
                <c:pt idx="1">
                  <c:v>New HIV Diagnoses</c:v>
                </c:pt>
                <c:pt idx="2">
                  <c:v>Living with HIV</c:v>
                </c:pt>
              </c:strCache>
            </c:strRef>
          </c:cat>
          <c:val>
            <c:numRef>
              <c:f>'County level'!$E$8:$G$8</c:f>
              <c:numCache>
                <c:formatCode>0%</c:formatCode>
                <c:ptCount val="3"/>
                <c:pt idx="0">
                  <c:v>0.11993378622616981</c:v>
                </c:pt>
                <c:pt idx="1">
                  <c:v>2.7397260273972601E-2</c:v>
                </c:pt>
                <c:pt idx="2">
                  <c:v>4.2432960032877838E-2</c:v>
                </c:pt>
              </c:numCache>
            </c:numRef>
          </c:val>
          <c:extLst xmlns:c16r2="http://schemas.microsoft.com/office/drawing/2015/06/chart">
            <c:ext xmlns:c16="http://schemas.microsoft.com/office/drawing/2014/chart" uri="{C3380CC4-5D6E-409C-BE32-E72D297353CC}">
              <c16:uniqueId val="{00000009-75DB-4AD9-9ADB-09A23651E673}"/>
            </c:ext>
          </c:extLst>
        </c:ser>
        <c:dLbls>
          <c:showLegendKey val="0"/>
          <c:showVal val="0"/>
          <c:showCatName val="0"/>
          <c:showSerName val="0"/>
          <c:showPercent val="0"/>
          <c:showBubbleSize val="0"/>
        </c:dLbls>
        <c:gapWidth val="113"/>
        <c:overlap val="100"/>
        <c:axId val="-788178784"/>
        <c:axId val="-788185856"/>
      </c:barChart>
      <c:catAx>
        <c:axId val="-7881787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8185856"/>
        <c:crosses val="autoZero"/>
        <c:auto val="1"/>
        <c:lblAlgn val="ctr"/>
        <c:lblOffset val="100"/>
        <c:noMultiLvlLbl val="0"/>
      </c:catAx>
      <c:valAx>
        <c:axId val="-78818585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8178784"/>
        <c:crosses val="autoZero"/>
        <c:crossBetween val="between"/>
      </c:valAx>
      <c:spPr>
        <a:noFill/>
        <a:ln>
          <a:noFill/>
        </a:ln>
        <a:effectLst/>
      </c:spPr>
    </c:plotArea>
    <c:legend>
      <c:legendPos val="b"/>
      <c:layout>
        <c:manualLayout>
          <c:xMode val="edge"/>
          <c:yMode val="edge"/>
          <c:x val="2.2880711339653973E-2"/>
          <c:y val="0.89820563294972744"/>
          <c:w val="0.96256581134905317"/>
          <c:h val="8.27119960180627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Figure 21. Retention</a:t>
            </a:r>
            <a:r>
              <a:rPr lang="en-US" sz="1100" b="1" baseline="0">
                <a:solidFill>
                  <a:sysClr val="windowText" lastClr="000000"/>
                </a:solidFill>
              </a:rPr>
              <a:t> in Care and Viral Suppression</a:t>
            </a:r>
            <a:r>
              <a:rPr lang="en-US" sz="1100" b="1">
                <a:solidFill>
                  <a:sysClr val="windowText" lastClr="000000"/>
                </a:solidFill>
              </a:rPr>
              <a:t>-Persons Living with HIV/AIDS by Sex, Nevada,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Sheet2!$N$3</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Sheet2!$O$2:$S$2</c:f>
              <c:strCache>
                <c:ptCount val="3"/>
                <c:pt idx="0">
                  <c:v>Retention in Care</c:v>
                </c:pt>
                <c:pt idx="1">
                  <c:v>Viral Suppression</c:v>
                </c:pt>
                <c:pt idx="2">
                  <c:v>Retained and Virally Suppressed</c:v>
                </c:pt>
              </c:strCache>
            </c:strRef>
          </c:cat>
          <c:val>
            <c:numRef>
              <c:f>Sheet2!$O$3:$S$3</c:f>
              <c:numCache>
                <c:formatCode>0%</c:formatCode>
                <c:ptCount val="3"/>
                <c:pt idx="0">
                  <c:v>0.3819736842105263</c:v>
                </c:pt>
                <c:pt idx="1">
                  <c:v>0.3817105263157895</c:v>
                </c:pt>
                <c:pt idx="2">
                  <c:v>0.75542542197726492</c:v>
                </c:pt>
              </c:numCache>
            </c:numRef>
          </c:val>
          <c:extLst xmlns:c16r2="http://schemas.microsoft.com/office/drawing/2015/06/chart">
            <c:ext xmlns:c16="http://schemas.microsoft.com/office/drawing/2014/chart" uri="{C3380CC4-5D6E-409C-BE32-E72D297353CC}">
              <c16:uniqueId val="{00000000-6EBD-421F-A7E4-48C6D0ACD426}"/>
            </c:ext>
          </c:extLst>
        </c:ser>
        <c:ser>
          <c:idx val="1"/>
          <c:order val="1"/>
          <c:tx>
            <c:strRef>
              <c:f>Sheet2!$N$4</c:f>
              <c:strCache>
                <c:ptCount val="1"/>
                <c:pt idx="0">
                  <c:v>Female</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Sheet2!$O$2:$S$2</c:f>
              <c:strCache>
                <c:ptCount val="3"/>
                <c:pt idx="0">
                  <c:v>Retention in Care</c:v>
                </c:pt>
                <c:pt idx="1">
                  <c:v>Viral Suppression</c:v>
                </c:pt>
                <c:pt idx="2">
                  <c:v>Retained and Virally Suppressed</c:v>
                </c:pt>
              </c:strCache>
            </c:strRef>
          </c:cat>
          <c:val>
            <c:numRef>
              <c:f>Sheet2!$O$4:$S$4</c:f>
              <c:numCache>
                <c:formatCode>0%</c:formatCode>
                <c:ptCount val="3"/>
                <c:pt idx="0">
                  <c:v>0.41586867305061559</c:v>
                </c:pt>
                <c:pt idx="1">
                  <c:v>0.3905608755129959</c:v>
                </c:pt>
                <c:pt idx="2">
                  <c:v>0.73026315789473684</c:v>
                </c:pt>
              </c:numCache>
            </c:numRef>
          </c:val>
          <c:extLst xmlns:c16r2="http://schemas.microsoft.com/office/drawing/2015/06/chart">
            <c:ext xmlns:c16="http://schemas.microsoft.com/office/drawing/2014/chart" uri="{C3380CC4-5D6E-409C-BE32-E72D297353CC}">
              <c16:uniqueId val="{00000001-6EBD-421F-A7E4-48C6D0ACD426}"/>
            </c:ext>
          </c:extLst>
        </c:ser>
        <c:dLbls>
          <c:showLegendKey val="0"/>
          <c:showVal val="0"/>
          <c:showCatName val="0"/>
          <c:showSerName val="0"/>
          <c:showPercent val="0"/>
          <c:showBubbleSize val="0"/>
        </c:dLbls>
        <c:gapWidth val="219"/>
        <c:overlap val="-27"/>
        <c:axId val="-786438512"/>
        <c:axId val="-786440688"/>
      </c:barChart>
      <c:catAx>
        <c:axId val="-78643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40688"/>
        <c:crosses val="autoZero"/>
        <c:auto val="1"/>
        <c:lblAlgn val="ctr"/>
        <c:lblOffset val="100"/>
        <c:noMultiLvlLbl val="0"/>
      </c:catAx>
      <c:valAx>
        <c:axId val="-78644068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438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Figure 22. Retention</a:t>
            </a:r>
            <a:r>
              <a:rPr lang="en-US" sz="1100" b="1" baseline="0">
                <a:solidFill>
                  <a:sysClr val="windowText" lastClr="000000"/>
                </a:solidFill>
              </a:rPr>
              <a:t> in Care and Viral Suppression</a:t>
            </a:r>
            <a:r>
              <a:rPr lang="en-US" sz="1100" b="1">
                <a:solidFill>
                  <a:sysClr val="windowText" lastClr="000000"/>
                </a:solidFill>
              </a:rPr>
              <a:t>-Persons Living with HIV/AIDS by Race/Ethnicity, Nevada,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Sheet2!$N$29</c:f>
              <c:strCache>
                <c:ptCount val="1"/>
                <c:pt idx="0">
                  <c:v>White</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Sheet2!$O$28:$S$28</c:f>
              <c:strCache>
                <c:ptCount val="3"/>
                <c:pt idx="0">
                  <c:v>Retention in Care</c:v>
                </c:pt>
                <c:pt idx="1">
                  <c:v>Viral Suppression</c:v>
                </c:pt>
                <c:pt idx="2">
                  <c:v>Retained and Virally Suppressed</c:v>
                </c:pt>
              </c:strCache>
            </c:strRef>
          </c:cat>
          <c:val>
            <c:numRef>
              <c:f>Sheet2!$O$29:$S$29</c:f>
              <c:numCache>
                <c:formatCode>0%</c:formatCode>
                <c:ptCount val="3"/>
                <c:pt idx="0">
                  <c:v>0.38494117647058823</c:v>
                </c:pt>
                <c:pt idx="1">
                  <c:v>0.38211764705882351</c:v>
                </c:pt>
                <c:pt idx="2">
                  <c:v>0.74572127139364308</c:v>
                </c:pt>
              </c:numCache>
            </c:numRef>
          </c:val>
          <c:extLst xmlns:c16r2="http://schemas.microsoft.com/office/drawing/2015/06/chart">
            <c:ext xmlns:c16="http://schemas.microsoft.com/office/drawing/2014/chart" uri="{C3380CC4-5D6E-409C-BE32-E72D297353CC}">
              <c16:uniqueId val="{00000000-1A90-49EA-A5FE-7F42E7DB3A54}"/>
            </c:ext>
          </c:extLst>
        </c:ser>
        <c:ser>
          <c:idx val="1"/>
          <c:order val="1"/>
          <c:tx>
            <c:strRef>
              <c:f>Sheet2!$N$30</c:f>
              <c:strCache>
                <c:ptCount val="1"/>
                <c:pt idx="0">
                  <c:v>Black</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Sheet2!$O$28:$S$28</c:f>
              <c:strCache>
                <c:ptCount val="3"/>
                <c:pt idx="0">
                  <c:v>Retention in Care</c:v>
                </c:pt>
                <c:pt idx="1">
                  <c:v>Viral Suppression</c:v>
                </c:pt>
                <c:pt idx="2">
                  <c:v>Retained and Virally Suppressed</c:v>
                </c:pt>
              </c:strCache>
            </c:strRef>
          </c:cat>
          <c:val>
            <c:numRef>
              <c:f>Sheet2!$O$30:$S$30</c:f>
              <c:numCache>
                <c:formatCode>0%</c:formatCode>
                <c:ptCount val="3"/>
                <c:pt idx="0">
                  <c:v>0.36237090255949705</c:v>
                </c:pt>
                <c:pt idx="1">
                  <c:v>0.36731028289178269</c:v>
                </c:pt>
                <c:pt idx="2">
                  <c:v>0.73482032218091697</c:v>
                </c:pt>
              </c:numCache>
            </c:numRef>
          </c:val>
          <c:extLst xmlns:c16r2="http://schemas.microsoft.com/office/drawing/2015/06/chart">
            <c:ext xmlns:c16="http://schemas.microsoft.com/office/drawing/2014/chart" uri="{C3380CC4-5D6E-409C-BE32-E72D297353CC}">
              <c16:uniqueId val="{00000001-1A90-49EA-A5FE-7F42E7DB3A54}"/>
            </c:ext>
          </c:extLst>
        </c:ser>
        <c:ser>
          <c:idx val="2"/>
          <c:order val="2"/>
          <c:tx>
            <c:strRef>
              <c:f>Sheet2!$N$31</c:f>
              <c:strCache>
                <c:ptCount val="1"/>
                <c:pt idx="0">
                  <c:v>Hispanic</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Sheet2!$O$28:$S$28</c:f>
              <c:strCache>
                <c:ptCount val="3"/>
                <c:pt idx="0">
                  <c:v>Retention in Care</c:v>
                </c:pt>
                <c:pt idx="1">
                  <c:v>Viral Suppression</c:v>
                </c:pt>
                <c:pt idx="2">
                  <c:v>Retained and Virally Suppressed</c:v>
                </c:pt>
              </c:strCache>
            </c:strRef>
          </c:cat>
          <c:val>
            <c:numRef>
              <c:f>Sheet2!$O$31:$S$31</c:f>
              <c:numCache>
                <c:formatCode>0%</c:formatCode>
                <c:ptCount val="3"/>
                <c:pt idx="0">
                  <c:v>0.40326452232357179</c:v>
                </c:pt>
                <c:pt idx="1">
                  <c:v>0.39030244839174266</c:v>
                </c:pt>
                <c:pt idx="2">
                  <c:v>0.77738095238095239</c:v>
                </c:pt>
              </c:numCache>
            </c:numRef>
          </c:val>
          <c:extLst xmlns:c16r2="http://schemas.microsoft.com/office/drawing/2015/06/chart">
            <c:ext xmlns:c16="http://schemas.microsoft.com/office/drawing/2014/chart" uri="{C3380CC4-5D6E-409C-BE32-E72D297353CC}">
              <c16:uniqueId val="{00000002-1A90-49EA-A5FE-7F42E7DB3A54}"/>
            </c:ext>
          </c:extLst>
        </c:ser>
        <c:ser>
          <c:idx val="3"/>
          <c:order val="3"/>
          <c:tx>
            <c:strRef>
              <c:f>Sheet2!$N$32</c:f>
              <c:strCache>
                <c:ptCount val="1"/>
                <c:pt idx="0">
                  <c:v>All other races</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Sheet2!$O$28:$S$28</c:f>
              <c:strCache>
                <c:ptCount val="3"/>
                <c:pt idx="0">
                  <c:v>Retention in Care</c:v>
                </c:pt>
                <c:pt idx="1">
                  <c:v>Viral Suppression</c:v>
                </c:pt>
                <c:pt idx="2">
                  <c:v>Retained and Virally Suppressed</c:v>
                </c:pt>
              </c:strCache>
            </c:strRef>
          </c:cat>
          <c:val>
            <c:numRef>
              <c:f>Sheet2!$O$32:$S$32</c:f>
              <c:numCache>
                <c:formatCode>0%</c:formatCode>
                <c:ptCount val="3"/>
                <c:pt idx="0">
                  <c:v>0.4541832669322709</c:v>
                </c:pt>
                <c:pt idx="1">
                  <c:v>0.43227091633466136</c:v>
                </c:pt>
                <c:pt idx="2">
                  <c:v>0.75</c:v>
                </c:pt>
              </c:numCache>
            </c:numRef>
          </c:val>
          <c:extLst xmlns:c16r2="http://schemas.microsoft.com/office/drawing/2015/06/chart">
            <c:ext xmlns:c16="http://schemas.microsoft.com/office/drawing/2014/chart" uri="{C3380CC4-5D6E-409C-BE32-E72D297353CC}">
              <c16:uniqueId val="{00000003-1A90-49EA-A5FE-7F42E7DB3A54}"/>
            </c:ext>
          </c:extLst>
        </c:ser>
        <c:dLbls>
          <c:dLblPos val="outEnd"/>
          <c:showLegendKey val="0"/>
          <c:showVal val="1"/>
          <c:showCatName val="0"/>
          <c:showSerName val="0"/>
          <c:showPercent val="0"/>
          <c:showBubbleSize val="0"/>
        </c:dLbls>
        <c:gapWidth val="219"/>
        <c:overlap val="-27"/>
        <c:axId val="-784448336"/>
        <c:axId val="-784451600"/>
      </c:barChart>
      <c:catAx>
        <c:axId val="-7844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451600"/>
        <c:crosses val="autoZero"/>
        <c:auto val="1"/>
        <c:lblAlgn val="ctr"/>
        <c:lblOffset val="100"/>
        <c:noMultiLvlLbl val="0"/>
      </c:catAx>
      <c:valAx>
        <c:axId val="-78445160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44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Figure 23. Retention</a:t>
            </a:r>
            <a:r>
              <a:rPr lang="en-US" sz="1100" b="1" baseline="0">
                <a:solidFill>
                  <a:sysClr val="windowText" lastClr="000000"/>
                </a:solidFill>
              </a:rPr>
              <a:t> in Care and Viral Suppression</a:t>
            </a:r>
            <a:r>
              <a:rPr lang="en-US" sz="1100" b="1">
                <a:solidFill>
                  <a:sysClr val="windowText" lastClr="000000"/>
                </a:solidFill>
              </a:rPr>
              <a:t>-Persons Living with HIV/AIDS by Age, Nevada,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Sheet2!$N$65</c:f>
              <c:strCache>
                <c:ptCount val="1"/>
                <c:pt idx="0">
                  <c:v>13 to 24 </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Sheet2!$O$63:$S$63</c:f>
              <c:strCache>
                <c:ptCount val="3"/>
                <c:pt idx="0">
                  <c:v>Retention in Care</c:v>
                </c:pt>
                <c:pt idx="1">
                  <c:v>Viral Suppression</c:v>
                </c:pt>
                <c:pt idx="2">
                  <c:v>Retained and Virally Suppressed</c:v>
                </c:pt>
              </c:strCache>
            </c:strRef>
          </c:cat>
          <c:val>
            <c:numRef>
              <c:f>Sheet2!$O$65:$S$65</c:f>
              <c:numCache>
                <c:formatCode>0%</c:formatCode>
                <c:ptCount val="3"/>
                <c:pt idx="0">
                  <c:v>0.42799999999999999</c:v>
                </c:pt>
                <c:pt idx="1">
                  <c:v>0.40799999999999997</c:v>
                </c:pt>
                <c:pt idx="2">
                  <c:v>0.73831775700934577</c:v>
                </c:pt>
              </c:numCache>
            </c:numRef>
          </c:val>
          <c:extLst xmlns:c16r2="http://schemas.microsoft.com/office/drawing/2015/06/chart">
            <c:ext xmlns:c16="http://schemas.microsoft.com/office/drawing/2014/chart" uri="{C3380CC4-5D6E-409C-BE32-E72D297353CC}">
              <c16:uniqueId val="{00000000-A08A-4988-B954-552D8E341964}"/>
            </c:ext>
          </c:extLst>
        </c:ser>
        <c:ser>
          <c:idx val="2"/>
          <c:order val="2"/>
          <c:tx>
            <c:strRef>
              <c:f>Sheet2!$N$66</c:f>
              <c:strCache>
                <c:ptCount val="1"/>
                <c:pt idx="0">
                  <c:v>25 to 34 </c:v>
                </c:pt>
              </c:strCache>
            </c:strRef>
          </c:tx>
          <c:spPr>
            <a:solidFill>
              <a:schemeClr val="accent1">
                <a:tint val="8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Sheet2!$O$63:$S$63</c:f>
              <c:strCache>
                <c:ptCount val="3"/>
                <c:pt idx="0">
                  <c:v>Retention in Care</c:v>
                </c:pt>
                <c:pt idx="1">
                  <c:v>Viral Suppression</c:v>
                </c:pt>
                <c:pt idx="2">
                  <c:v>Retained and Virally Suppressed</c:v>
                </c:pt>
              </c:strCache>
            </c:strRef>
          </c:cat>
          <c:val>
            <c:numRef>
              <c:f>Sheet2!$O$66:$S$66</c:f>
              <c:numCache>
                <c:formatCode>0%</c:formatCode>
                <c:ptCount val="3"/>
                <c:pt idx="0">
                  <c:v>0.38668661181750186</c:v>
                </c:pt>
                <c:pt idx="1">
                  <c:v>0.3949139865370232</c:v>
                </c:pt>
                <c:pt idx="2">
                  <c:v>0.72340425531914898</c:v>
                </c:pt>
              </c:numCache>
            </c:numRef>
          </c:val>
          <c:extLst xmlns:c16r2="http://schemas.microsoft.com/office/drawing/2015/06/chart">
            <c:ext xmlns:c16="http://schemas.microsoft.com/office/drawing/2014/chart" uri="{C3380CC4-5D6E-409C-BE32-E72D297353CC}">
              <c16:uniqueId val="{00000001-A08A-4988-B954-552D8E341964}"/>
            </c:ext>
          </c:extLst>
        </c:ser>
        <c:ser>
          <c:idx val="3"/>
          <c:order val="3"/>
          <c:tx>
            <c:strRef>
              <c:f>Sheet2!$N$67</c:f>
              <c:strCache>
                <c:ptCount val="1"/>
                <c:pt idx="0">
                  <c:v>35 to 44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Sheet2!$O$63:$S$63</c:f>
              <c:strCache>
                <c:ptCount val="3"/>
                <c:pt idx="0">
                  <c:v>Retention in Care</c:v>
                </c:pt>
                <c:pt idx="1">
                  <c:v>Viral Suppression</c:v>
                </c:pt>
                <c:pt idx="2">
                  <c:v>Retained and Virally Suppressed</c:v>
                </c:pt>
              </c:strCache>
            </c:strRef>
          </c:cat>
          <c:val>
            <c:numRef>
              <c:f>Sheet2!$O$67:$S$67</c:f>
              <c:numCache>
                <c:formatCode>0%</c:formatCode>
                <c:ptCount val="3"/>
                <c:pt idx="0">
                  <c:v>0.37493304767005892</c:v>
                </c:pt>
                <c:pt idx="1">
                  <c:v>0.36582753079807179</c:v>
                </c:pt>
                <c:pt idx="2">
                  <c:v>0.74571428571428566</c:v>
                </c:pt>
              </c:numCache>
            </c:numRef>
          </c:val>
          <c:extLst xmlns:c16r2="http://schemas.microsoft.com/office/drawing/2015/06/chart">
            <c:ext xmlns:c16="http://schemas.microsoft.com/office/drawing/2014/chart" uri="{C3380CC4-5D6E-409C-BE32-E72D297353CC}">
              <c16:uniqueId val="{00000002-A08A-4988-B954-552D8E341964}"/>
            </c:ext>
          </c:extLst>
        </c:ser>
        <c:ser>
          <c:idx val="4"/>
          <c:order val="4"/>
          <c:tx>
            <c:strRef>
              <c:f>Sheet2!$N$68</c:f>
              <c:strCache>
                <c:ptCount val="1"/>
                <c:pt idx="0">
                  <c:v>45 to 54 </c:v>
                </c:pt>
              </c:strCache>
            </c:strRef>
          </c:tx>
          <c:spPr>
            <a:solidFill>
              <a:schemeClr val="accent1">
                <a:shade val="8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Sheet2!$O$63:$S$63</c:f>
              <c:strCache>
                <c:ptCount val="3"/>
                <c:pt idx="0">
                  <c:v>Retention in Care</c:v>
                </c:pt>
                <c:pt idx="1">
                  <c:v>Viral Suppression</c:v>
                </c:pt>
                <c:pt idx="2">
                  <c:v>Retained and Virally Suppressed</c:v>
                </c:pt>
              </c:strCache>
            </c:strRef>
          </c:cat>
          <c:val>
            <c:numRef>
              <c:f>Sheet2!$O$68:$S$68</c:f>
              <c:numCache>
                <c:formatCode>0%</c:formatCode>
                <c:ptCount val="3"/>
                <c:pt idx="0">
                  <c:v>0.37337559429477019</c:v>
                </c:pt>
                <c:pt idx="1">
                  <c:v>0.37305863708399367</c:v>
                </c:pt>
                <c:pt idx="2">
                  <c:v>0.75976230899830222</c:v>
                </c:pt>
              </c:numCache>
            </c:numRef>
          </c:val>
          <c:extLst xmlns:c16r2="http://schemas.microsoft.com/office/drawing/2015/06/chart">
            <c:ext xmlns:c16="http://schemas.microsoft.com/office/drawing/2014/chart" uri="{C3380CC4-5D6E-409C-BE32-E72D297353CC}">
              <c16:uniqueId val="{00000003-A08A-4988-B954-552D8E341964}"/>
            </c:ext>
          </c:extLst>
        </c:ser>
        <c:ser>
          <c:idx val="5"/>
          <c:order val="5"/>
          <c:tx>
            <c:strRef>
              <c:f>Sheet2!$N$69</c:f>
              <c:strCache>
                <c:ptCount val="1"/>
                <c:pt idx="0">
                  <c:v>55 to 64 </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Sheet2!$O$63:$S$63</c:f>
              <c:strCache>
                <c:ptCount val="3"/>
                <c:pt idx="0">
                  <c:v>Retention in Care</c:v>
                </c:pt>
                <c:pt idx="1">
                  <c:v>Viral Suppression</c:v>
                </c:pt>
                <c:pt idx="2">
                  <c:v>Retained and Virally Suppressed</c:v>
                </c:pt>
              </c:strCache>
            </c:strRef>
          </c:cat>
          <c:val>
            <c:numRef>
              <c:f>Sheet2!$O$69:$S$69</c:f>
              <c:numCache>
                <c:formatCode>0%</c:formatCode>
                <c:ptCount val="3"/>
                <c:pt idx="0">
                  <c:v>0.42284122562674092</c:v>
                </c:pt>
                <c:pt idx="1">
                  <c:v>0.41002785515320334</c:v>
                </c:pt>
                <c:pt idx="2">
                  <c:v>0.76284584980237158</c:v>
                </c:pt>
              </c:numCache>
            </c:numRef>
          </c:val>
          <c:extLst xmlns:c16r2="http://schemas.microsoft.com/office/drawing/2015/06/chart">
            <c:ext xmlns:c16="http://schemas.microsoft.com/office/drawing/2014/chart" uri="{C3380CC4-5D6E-409C-BE32-E72D297353CC}">
              <c16:uniqueId val="{00000004-A08A-4988-B954-552D8E341964}"/>
            </c:ext>
          </c:extLst>
        </c:ser>
        <c:ser>
          <c:idx val="6"/>
          <c:order val="6"/>
          <c:tx>
            <c:strRef>
              <c:f>Sheet2!$N$70</c:f>
              <c:strCache>
                <c:ptCount val="1"/>
                <c:pt idx="0">
                  <c:v>65 + </c:v>
                </c:pt>
              </c:strCache>
            </c:strRef>
          </c:tx>
          <c:spPr>
            <a:solidFill>
              <a:schemeClr val="accent1">
                <a:shade val="4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Sheet2!$O$63:$S$63</c:f>
              <c:strCache>
                <c:ptCount val="3"/>
                <c:pt idx="0">
                  <c:v>Retention in Care</c:v>
                </c:pt>
                <c:pt idx="1">
                  <c:v>Viral Suppression</c:v>
                </c:pt>
                <c:pt idx="2">
                  <c:v>Retained and Virally Suppressed</c:v>
                </c:pt>
              </c:strCache>
            </c:strRef>
          </c:cat>
          <c:val>
            <c:numRef>
              <c:f>Sheet2!$O$70:$S$70</c:f>
              <c:numCache>
                <c:formatCode>0%</c:formatCode>
                <c:ptCount val="3"/>
                <c:pt idx="0">
                  <c:v>0.4101694915254237</c:v>
                </c:pt>
                <c:pt idx="1">
                  <c:v>0.41186440677966102</c:v>
                </c:pt>
                <c:pt idx="2">
                  <c:v>0.76446280991735538</c:v>
                </c:pt>
              </c:numCache>
            </c:numRef>
          </c:val>
          <c:extLst xmlns:c16r2="http://schemas.microsoft.com/office/drawing/2015/06/chart">
            <c:ext xmlns:c16="http://schemas.microsoft.com/office/drawing/2014/chart" uri="{C3380CC4-5D6E-409C-BE32-E72D297353CC}">
              <c16:uniqueId val="{00000005-A08A-4988-B954-552D8E341964}"/>
            </c:ext>
          </c:extLst>
        </c:ser>
        <c:dLbls>
          <c:dLblPos val="outEnd"/>
          <c:showLegendKey val="0"/>
          <c:showVal val="1"/>
          <c:showCatName val="0"/>
          <c:showSerName val="0"/>
          <c:showPercent val="0"/>
          <c:showBubbleSize val="0"/>
        </c:dLbls>
        <c:gapWidth val="219"/>
        <c:overlap val="-27"/>
        <c:axId val="-784450512"/>
        <c:axId val="-7844624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Sheet2!$N$64</c15:sqref>
                        </c15:formulaRef>
                      </c:ext>
                    </c:extLst>
                    <c:strCache>
                      <c:ptCount val="1"/>
                      <c:pt idx="0">
                        <c:v>&lt; 13 </c:v>
                      </c:pt>
                    </c:strCache>
                  </c:strRef>
                </c:tx>
                <c:spPr>
                  <a:solidFill>
                    <a:schemeClr val="accent1">
                      <a:tint val="4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Sheet2!$O$63:$S$63</c15:sqref>
                        </c15:formulaRef>
                      </c:ext>
                    </c:extLst>
                    <c:strCache>
                      <c:ptCount val="3"/>
                      <c:pt idx="0">
                        <c:v>Retention in Care</c:v>
                      </c:pt>
                      <c:pt idx="1">
                        <c:v>Viral Suppression</c:v>
                      </c:pt>
                      <c:pt idx="2">
                        <c:v>Retained and Virally Suppressed</c:v>
                      </c:pt>
                    </c:strCache>
                  </c:strRef>
                </c:cat>
                <c:val>
                  <c:numRef>
                    <c:extLst xmlns:c16r2="http://schemas.microsoft.com/office/drawing/2015/06/chart">
                      <c:ext uri="{02D57815-91ED-43cb-92C2-25804820EDAC}">
                        <c15:formulaRef>
                          <c15:sqref>Sheet2!$O$64:$S$64</c15:sqref>
                        </c15:formulaRef>
                      </c:ext>
                    </c:extLst>
                    <c:numCache>
                      <c:formatCode>0%</c:formatCode>
                      <c:ptCount val="3"/>
                      <c:pt idx="0">
                        <c:v>0.72727272727272729</c:v>
                      </c:pt>
                      <c:pt idx="1">
                        <c:v>0.27272727272727271</c:v>
                      </c:pt>
                      <c:pt idx="2">
                        <c:v>0.375</c:v>
                      </c:pt>
                    </c:numCache>
                  </c:numRef>
                </c:val>
                <c:extLst xmlns:c16r2="http://schemas.microsoft.com/office/drawing/2015/06/chart">
                  <c:ext xmlns:c16="http://schemas.microsoft.com/office/drawing/2014/chart" uri="{C3380CC4-5D6E-409C-BE32-E72D297353CC}">
                    <c16:uniqueId val="{00000006-A08A-4988-B954-552D8E341964}"/>
                  </c:ext>
                </c:extLst>
              </c15:ser>
            </c15:filteredBarSeries>
          </c:ext>
        </c:extLst>
      </c:barChart>
      <c:catAx>
        <c:axId val="-78445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462480"/>
        <c:crosses val="autoZero"/>
        <c:auto val="1"/>
        <c:lblAlgn val="ctr"/>
        <c:lblOffset val="100"/>
        <c:noMultiLvlLbl val="0"/>
      </c:catAx>
      <c:valAx>
        <c:axId val="-78446248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45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100"/>
              <a:t>Figure 26. Commnunity</a:t>
            </a:r>
            <a:r>
              <a:rPr lang="en-US" sz="1100" baseline="0"/>
              <a:t> Survey Respondents' </a:t>
            </a:r>
            <a:r>
              <a:rPr lang="en-US" sz="1100"/>
              <a:t>Preferred</a:t>
            </a:r>
            <a:r>
              <a:rPr lang="en-US" sz="1100" baseline="0"/>
              <a:t> Ways to Receive HIV/AIDS information</a:t>
            </a:r>
            <a:endParaRPr lang="en-US" sz="1100"/>
          </a:p>
        </c:rich>
      </c:tx>
      <c:layout>
        <c:manualLayout>
          <c:xMode val="edge"/>
          <c:yMode val="edge"/>
          <c:x val="9.7988874625588324E-3"/>
          <c:y val="2.16914375064819E-3"/>
        </c:manualLayout>
      </c:layout>
      <c:overlay val="1"/>
    </c:title>
    <c:autoTitleDeleted val="0"/>
    <c:plotArea>
      <c:layout>
        <c:manualLayout>
          <c:layoutTarget val="inner"/>
          <c:xMode val="edge"/>
          <c:yMode val="edge"/>
          <c:x val="0.28912243639634905"/>
          <c:y val="0.1432521516205823"/>
          <c:w val="0.6702276624921244"/>
          <c:h val="0.75537447353964471"/>
        </c:manualLayout>
      </c:layout>
      <c:barChart>
        <c:barDir val="bar"/>
        <c:grouping val="clustered"/>
        <c:varyColors val="0"/>
        <c:ser>
          <c:idx val="0"/>
          <c:order val="0"/>
          <c:spPr>
            <a:solidFill>
              <a:schemeClr val="accent1">
                <a:lumMod val="60000"/>
                <a:lumOff val="40000"/>
              </a:schemeClr>
            </a:solidFill>
            <a:ln>
              <a:solidFill>
                <a:schemeClr val="accent1">
                  <a:lumMod val="60000"/>
                  <a:lumOff val="40000"/>
                </a:schemeClr>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F0-4EFC-9584-D62646A47ED4}"/>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Sheet1!$A$1:$A$11</c:f>
              <c:strCache>
                <c:ptCount val="11"/>
                <c:pt idx="0">
                  <c:v>Church</c:v>
                </c:pt>
                <c:pt idx="1">
                  <c:v>Radio</c:v>
                </c:pt>
                <c:pt idx="2">
                  <c:v>Teacher</c:v>
                </c:pt>
                <c:pt idx="3">
                  <c:v>Newspaper ads/billboards</c:v>
                </c:pt>
                <c:pt idx="4">
                  <c:v>Community agency</c:v>
                </c:pt>
                <c:pt idx="5">
                  <c:v>TV</c:v>
                </c:pt>
                <c:pt idx="6">
                  <c:v>Community events</c:v>
                </c:pt>
                <c:pt idx="7">
                  <c:v>Family</c:v>
                </c:pt>
                <c:pt idx="8">
                  <c:v>Brochures</c:v>
                </c:pt>
                <c:pt idx="9">
                  <c:v>Health care provider</c:v>
                </c:pt>
                <c:pt idx="10">
                  <c:v>Internet</c:v>
                </c:pt>
              </c:strCache>
            </c:strRef>
          </c:cat>
          <c:val>
            <c:numRef>
              <c:f>Sheet1!$B$1:$B$11</c:f>
              <c:numCache>
                <c:formatCode>0%</c:formatCode>
                <c:ptCount val="11"/>
                <c:pt idx="0">
                  <c:v>0.08</c:v>
                </c:pt>
                <c:pt idx="1">
                  <c:v>0.159</c:v>
                </c:pt>
                <c:pt idx="2">
                  <c:v>0.16</c:v>
                </c:pt>
                <c:pt idx="3">
                  <c:v>0.16600000000000001</c:v>
                </c:pt>
                <c:pt idx="4">
                  <c:v>0.20799999999999999</c:v>
                </c:pt>
                <c:pt idx="5">
                  <c:v>0.22900000000000001</c:v>
                </c:pt>
                <c:pt idx="6">
                  <c:v>0.23300000000000001</c:v>
                </c:pt>
                <c:pt idx="7">
                  <c:v>0.247</c:v>
                </c:pt>
                <c:pt idx="8">
                  <c:v>0.29799999999999999</c:v>
                </c:pt>
                <c:pt idx="9">
                  <c:v>0.60099999999999998</c:v>
                </c:pt>
                <c:pt idx="10">
                  <c:v>0.68600000000000005</c:v>
                </c:pt>
              </c:numCache>
            </c:numRef>
          </c:val>
          <c:extLst xmlns:c16r2="http://schemas.microsoft.com/office/drawing/2015/06/chart">
            <c:ext xmlns:c16="http://schemas.microsoft.com/office/drawing/2014/chart" uri="{C3380CC4-5D6E-409C-BE32-E72D297353CC}">
              <c16:uniqueId val="{00000001-B9F0-4EFC-9584-D62646A47ED4}"/>
            </c:ext>
          </c:extLst>
        </c:ser>
        <c:dLbls>
          <c:dLblPos val="outEnd"/>
          <c:showLegendKey val="0"/>
          <c:showVal val="1"/>
          <c:showCatName val="0"/>
          <c:showSerName val="0"/>
          <c:showPercent val="0"/>
          <c:showBubbleSize val="0"/>
        </c:dLbls>
        <c:gapWidth val="150"/>
        <c:axId val="-784459216"/>
        <c:axId val="-784463024"/>
      </c:barChart>
      <c:catAx>
        <c:axId val="-784459216"/>
        <c:scaling>
          <c:orientation val="minMax"/>
        </c:scaling>
        <c:delete val="0"/>
        <c:axPos val="l"/>
        <c:numFmt formatCode="General" sourceLinked="0"/>
        <c:majorTickMark val="out"/>
        <c:minorTickMark val="none"/>
        <c:tickLblPos val="nextTo"/>
        <c:crossAx val="-784463024"/>
        <c:crosses val="autoZero"/>
        <c:auto val="1"/>
        <c:lblAlgn val="ctr"/>
        <c:lblOffset val="100"/>
        <c:noMultiLvlLbl val="0"/>
      </c:catAx>
      <c:valAx>
        <c:axId val="-784463024"/>
        <c:scaling>
          <c:orientation val="minMax"/>
          <c:max val="1"/>
        </c:scaling>
        <c:delete val="0"/>
        <c:axPos val="b"/>
        <c:numFmt formatCode="0%" sourceLinked="1"/>
        <c:majorTickMark val="out"/>
        <c:minorTickMark val="none"/>
        <c:tickLblPos val="nextTo"/>
        <c:crossAx val="-784459216"/>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b="1"/>
              <a:t>Figure 27. Client Service Use by Race/Ethnicity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Sample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Medical Care</c:v>
                </c:pt>
                <c:pt idx="1">
                  <c:v>Help Paying for Medication </c:v>
                </c:pt>
                <c:pt idx="2">
                  <c:v>Mental Health Care</c:v>
                </c:pt>
                <c:pt idx="3">
                  <c:v>Case Management</c:v>
                </c:pt>
              </c:strCache>
            </c:strRef>
          </c:cat>
          <c:val>
            <c:numRef>
              <c:f>Sheet1!$B$2:$B$5</c:f>
              <c:numCache>
                <c:formatCode>0%</c:formatCode>
                <c:ptCount val="4"/>
                <c:pt idx="0">
                  <c:v>0.72</c:v>
                </c:pt>
                <c:pt idx="1">
                  <c:v>0.59</c:v>
                </c:pt>
                <c:pt idx="2">
                  <c:v>0.24</c:v>
                </c:pt>
                <c:pt idx="3">
                  <c:v>0.22</c:v>
                </c:pt>
              </c:numCache>
            </c:numRef>
          </c:val>
          <c:extLst xmlns:c16r2="http://schemas.microsoft.com/office/drawing/2015/06/chart">
            <c:ext xmlns:c16="http://schemas.microsoft.com/office/drawing/2014/chart" uri="{C3380CC4-5D6E-409C-BE32-E72D297353CC}">
              <c16:uniqueId val="{00000000-2E9E-4870-8030-974F2ABDBE04}"/>
            </c:ext>
          </c:extLst>
        </c:ser>
        <c:ser>
          <c:idx val="1"/>
          <c:order val="1"/>
          <c:tx>
            <c:strRef>
              <c:f>Sheet1!$C$1</c:f>
              <c:strCache>
                <c:ptCount val="1"/>
                <c:pt idx="0">
                  <c:v>Black</c:v>
                </c:pt>
              </c:strCache>
            </c:strRef>
          </c:tx>
          <c:spPr>
            <a:solidFill>
              <a:schemeClr val="accent3"/>
            </a:solidFill>
            <a:ln>
              <a:noFill/>
            </a:ln>
            <a:effectLst/>
          </c:spPr>
          <c:invertIfNegative val="0"/>
          <c:dLbls>
            <c:dLbl>
              <c:idx val="3"/>
              <c:layout>
                <c:manualLayout>
                  <c:x val="1.1054086063955783E-2"/>
                  <c:y val="-2.92397660818713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9E-4870-8030-974F2ABDBE0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Medical Care</c:v>
                </c:pt>
                <c:pt idx="1">
                  <c:v>Help Paying for Medication </c:v>
                </c:pt>
                <c:pt idx="2">
                  <c:v>Mental Health Care</c:v>
                </c:pt>
                <c:pt idx="3">
                  <c:v>Case Management</c:v>
                </c:pt>
              </c:strCache>
            </c:strRef>
          </c:cat>
          <c:val>
            <c:numRef>
              <c:f>Sheet1!$C$2:$C$5</c:f>
              <c:numCache>
                <c:formatCode>0%</c:formatCode>
                <c:ptCount val="4"/>
                <c:pt idx="0">
                  <c:v>0.6</c:v>
                </c:pt>
                <c:pt idx="1">
                  <c:v>0.47</c:v>
                </c:pt>
                <c:pt idx="2">
                  <c:v>0.3</c:v>
                </c:pt>
                <c:pt idx="3">
                  <c:v>0.26</c:v>
                </c:pt>
              </c:numCache>
            </c:numRef>
          </c:val>
          <c:extLst xmlns:c16r2="http://schemas.microsoft.com/office/drawing/2015/06/chart">
            <c:ext xmlns:c16="http://schemas.microsoft.com/office/drawing/2014/chart" uri="{C3380CC4-5D6E-409C-BE32-E72D297353CC}">
              <c16:uniqueId val="{00000002-2E9E-4870-8030-974F2ABDBE04}"/>
            </c:ext>
          </c:extLst>
        </c:ser>
        <c:ser>
          <c:idx val="2"/>
          <c:order val="2"/>
          <c:tx>
            <c:strRef>
              <c:f>Sheet1!$D$1</c:f>
              <c:strCache>
                <c:ptCount val="1"/>
                <c:pt idx="0">
                  <c:v>Hispanic</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Medical Care</c:v>
                </c:pt>
                <c:pt idx="1">
                  <c:v>Help Paying for Medication </c:v>
                </c:pt>
                <c:pt idx="2">
                  <c:v>Mental Health Care</c:v>
                </c:pt>
                <c:pt idx="3">
                  <c:v>Case Management</c:v>
                </c:pt>
              </c:strCache>
            </c:strRef>
          </c:cat>
          <c:val>
            <c:numRef>
              <c:f>Sheet1!$D$2:$D$5</c:f>
              <c:numCache>
                <c:formatCode>0%</c:formatCode>
                <c:ptCount val="4"/>
                <c:pt idx="0">
                  <c:v>0.69</c:v>
                </c:pt>
                <c:pt idx="1">
                  <c:v>0.71</c:v>
                </c:pt>
                <c:pt idx="2">
                  <c:v>0.06</c:v>
                </c:pt>
                <c:pt idx="3">
                  <c:v>0.06</c:v>
                </c:pt>
              </c:numCache>
            </c:numRef>
          </c:val>
          <c:extLst xmlns:c16r2="http://schemas.microsoft.com/office/drawing/2015/06/chart">
            <c:ext xmlns:c16="http://schemas.microsoft.com/office/drawing/2014/chart" uri="{C3380CC4-5D6E-409C-BE32-E72D297353CC}">
              <c16:uniqueId val="{00000003-2E9E-4870-8030-974F2ABDBE04}"/>
            </c:ext>
          </c:extLst>
        </c:ser>
        <c:ser>
          <c:idx val="3"/>
          <c:order val="3"/>
          <c:tx>
            <c:strRef>
              <c:f>Sheet1!$E$1</c:f>
              <c:strCache>
                <c:ptCount val="1"/>
                <c:pt idx="0">
                  <c:v>White</c:v>
                </c:pt>
              </c:strCache>
            </c:strRef>
          </c:tx>
          <c:spPr>
            <a:solidFill>
              <a:schemeClr val="accent1">
                <a:lumMod val="60000"/>
              </a:schemeClr>
            </a:solidFill>
            <a:ln>
              <a:noFill/>
            </a:ln>
            <a:effectLst/>
          </c:spPr>
          <c:invertIfNegative val="0"/>
          <c:dLbls>
            <c:dLbl>
              <c:idx val="1"/>
              <c:layout>
                <c:manualLayout>
                  <c:x val="9.474930911962041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9E-4870-8030-974F2ABDBE0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Medical Care</c:v>
                </c:pt>
                <c:pt idx="1">
                  <c:v>Help Paying for Medication </c:v>
                </c:pt>
                <c:pt idx="2">
                  <c:v>Mental Health Care</c:v>
                </c:pt>
                <c:pt idx="3">
                  <c:v>Case Management</c:v>
                </c:pt>
              </c:strCache>
            </c:strRef>
          </c:cat>
          <c:val>
            <c:numRef>
              <c:f>Sheet1!$E$2:$E$5</c:f>
              <c:numCache>
                <c:formatCode>0%</c:formatCode>
                <c:ptCount val="4"/>
                <c:pt idx="0">
                  <c:v>0.86</c:v>
                </c:pt>
                <c:pt idx="1">
                  <c:v>0.67</c:v>
                </c:pt>
                <c:pt idx="2">
                  <c:v>0.33</c:v>
                </c:pt>
                <c:pt idx="3">
                  <c:v>0.28000000000000003</c:v>
                </c:pt>
              </c:numCache>
            </c:numRef>
          </c:val>
          <c:extLst xmlns:c16r2="http://schemas.microsoft.com/office/drawing/2015/06/chart">
            <c:ext xmlns:c16="http://schemas.microsoft.com/office/drawing/2014/chart" uri="{C3380CC4-5D6E-409C-BE32-E72D297353CC}">
              <c16:uniqueId val="{00000005-2E9E-4870-8030-974F2ABDBE04}"/>
            </c:ext>
          </c:extLst>
        </c:ser>
        <c:dLbls>
          <c:dLblPos val="outEnd"/>
          <c:showLegendKey val="0"/>
          <c:showVal val="1"/>
          <c:showCatName val="0"/>
          <c:showSerName val="0"/>
          <c:showPercent val="0"/>
          <c:showBubbleSize val="0"/>
        </c:dLbls>
        <c:gapWidth val="219"/>
        <c:overlap val="-27"/>
        <c:axId val="-784461392"/>
        <c:axId val="-784449968"/>
      </c:barChart>
      <c:catAx>
        <c:axId val="-78446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4449968"/>
        <c:crosses val="autoZero"/>
        <c:auto val="1"/>
        <c:lblAlgn val="ctr"/>
        <c:lblOffset val="100"/>
        <c:noMultiLvlLbl val="0"/>
      </c:catAx>
      <c:valAx>
        <c:axId val="-7844499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84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100" baseline="0"/>
              <a:t>Figure 27. PLWH Survey and Focus Group Participants by Sex and Gender Identity </a:t>
            </a:r>
          </a:p>
        </c:rich>
      </c:tx>
      <c:layout>
        <c:manualLayout>
          <c:xMode val="edge"/>
          <c:yMode val="edge"/>
          <c:x val="0.14123482127586798"/>
          <c:y val="0"/>
        </c:manualLayout>
      </c:layout>
      <c:overlay val="1"/>
      <c:spPr>
        <a:noFill/>
        <a:ln>
          <a:noFill/>
        </a:ln>
        <a:effectLst/>
      </c:spPr>
    </c:title>
    <c:autoTitleDeleted val="0"/>
    <c:plotArea>
      <c:layout>
        <c:manualLayout>
          <c:layoutTarget val="inner"/>
          <c:xMode val="edge"/>
          <c:yMode val="edge"/>
          <c:x val="8.1591413717701206E-2"/>
          <c:y val="0.18294663167104114"/>
          <c:w val="0.87347969501244971"/>
          <c:h val="0.56517891513560803"/>
        </c:manualLayout>
      </c:layout>
      <c:barChart>
        <c:barDir val="col"/>
        <c:grouping val="clustered"/>
        <c:varyColors val="0"/>
        <c:ser>
          <c:idx val="0"/>
          <c:order val="0"/>
          <c:tx>
            <c:strRef>
              <c:f>Sheet1!$B$1</c:f>
              <c:strCache>
                <c:ptCount val="1"/>
                <c:pt idx="0">
                  <c:v>Client Survey</c:v>
                </c:pt>
              </c:strCache>
            </c:strRef>
          </c:tx>
          <c:spPr>
            <a:solidFill>
              <a:schemeClr val="accent1"/>
            </a:solidFill>
            <a:ln>
              <a:noFill/>
            </a:ln>
            <a:effectLst/>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A9-4486-AD74-11CC294B93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Female</c:v>
                </c:pt>
                <c:pt idx="1">
                  <c:v>Male</c:v>
                </c:pt>
                <c:pt idx="2">
                  <c:v>Transgender</c:v>
                </c:pt>
              </c:strCache>
            </c:strRef>
          </c:cat>
          <c:val>
            <c:numRef>
              <c:f>Sheet1!$B$2:$B$4</c:f>
              <c:numCache>
                <c:formatCode>0%</c:formatCode>
                <c:ptCount val="3"/>
                <c:pt idx="0">
                  <c:v>0.26300000000000001</c:v>
                </c:pt>
                <c:pt idx="1">
                  <c:v>0.72499999999999998</c:v>
                </c:pt>
                <c:pt idx="2">
                  <c:v>1.2E-2</c:v>
                </c:pt>
              </c:numCache>
            </c:numRef>
          </c:val>
          <c:extLst xmlns:c16r2="http://schemas.microsoft.com/office/drawing/2015/06/chart">
            <c:ext xmlns:c16="http://schemas.microsoft.com/office/drawing/2014/chart" uri="{C3380CC4-5D6E-409C-BE32-E72D297353CC}">
              <c16:uniqueId val="{00000001-E4A9-4486-AD74-11CC294B933E}"/>
            </c:ext>
          </c:extLst>
        </c:ser>
        <c:ser>
          <c:idx val="1"/>
          <c:order val="1"/>
          <c:tx>
            <c:strRef>
              <c:f>Sheet1!$C$1</c:f>
              <c:strCache>
                <c:ptCount val="1"/>
                <c:pt idx="0">
                  <c:v>PLWH Focus Groups</c:v>
                </c:pt>
              </c:strCache>
            </c:strRef>
          </c:tx>
          <c:spPr>
            <a:solidFill>
              <a:schemeClr val="bg1">
                <a:lumMod val="65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Female</c:v>
                </c:pt>
                <c:pt idx="1">
                  <c:v>Male</c:v>
                </c:pt>
                <c:pt idx="2">
                  <c:v>Transgender</c:v>
                </c:pt>
              </c:strCache>
            </c:strRef>
          </c:cat>
          <c:val>
            <c:numRef>
              <c:f>Sheet1!$C$2:$C$4</c:f>
              <c:numCache>
                <c:formatCode>0%</c:formatCode>
                <c:ptCount val="3"/>
                <c:pt idx="0">
                  <c:v>0.16</c:v>
                </c:pt>
                <c:pt idx="1">
                  <c:v>0.82699999999999996</c:v>
                </c:pt>
                <c:pt idx="2">
                  <c:v>1.2E-2</c:v>
                </c:pt>
              </c:numCache>
            </c:numRef>
          </c:val>
          <c:extLst xmlns:c16r2="http://schemas.microsoft.com/office/drawing/2015/06/chart">
            <c:ext xmlns:c16="http://schemas.microsoft.com/office/drawing/2014/chart" uri="{C3380CC4-5D6E-409C-BE32-E72D297353CC}">
              <c16:uniqueId val="{00000002-E4A9-4486-AD74-11CC294B933E}"/>
            </c:ext>
          </c:extLst>
        </c:ser>
        <c:ser>
          <c:idx val="2"/>
          <c:order val="2"/>
          <c:tx>
            <c:strRef>
              <c:f>Sheet1!$D$1</c:f>
              <c:strCache>
                <c:ptCount val="1"/>
                <c:pt idx="0">
                  <c:v>PLWH in NV</c:v>
                </c:pt>
              </c:strCache>
            </c:strRef>
          </c:tx>
          <c:spPr>
            <a:solidFill>
              <a:schemeClr val="accent5">
                <a:lumMod val="20000"/>
                <a:lumOff val="8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Female</c:v>
                </c:pt>
                <c:pt idx="1">
                  <c:v>Male</c:v>
                </c:pt>
                <c:pt idx="2">
                  <c:v>Transgender</c:v>
                </c:pt>
              </c:strCache>
            </c:strRef>
          </c:cat>
          <c:val>
            <c:numRef>
              <c:f>Sheet1!$D$2:$D$4</c:f>
              <c:numCache>
                <c:formatCode>0%</c:formatCode>
                <c:ptCount val="3"/>
                <c:pt idx="0">
                  <c:v>0.16</c:v>
                </c:pt>
                <c:pt idx="1">
                  <c:v>0.83</c:v>
                </c:pt>
                <c:pt idx="2">
                  <c:v>0.01</c:v>
                </c:pt>
              </c:numCache>
            </c:numRef>
          </c:val>
          <c:extLst xmlns:c16r2="http://schemas.microsoft.com/office/drawing/2015/06/chart">
            <c:ext xmlns:c16="http://schemas.microsoft.com/office/drawing/2014/chart" uri="{C3380CC4-5D6E-409C-BE32-E72D297353CC}">
              <c16:uniqueId val="{00000003-E4A9-4486-AD74-11CC294B933E}"/>
            </c:ext>
          </c:extLst>
        </c:ser>
        <c:dLbls>
          <c:dLblPos val="outEnd"/>
          <c:showLegendKey val="0"/>
          <c:showVal val="1"/>
          <c:showCatName val="0"/>
          <c:showSerName val="0"/>
          <c:showPercent val="0"/>
          <c:showBubbleSize val="0"/>
        </c:dLbls>
        <c:gapWidth val="150"/>
        <c:axId val="-784455408"/>
        <c:axId val="-784454864"/>
      </c:barChart>
      <c:catAx>
        <c:axId val="-78445540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4454864"/>
        <c:crosses val="autoZero"/>
        <c:auto val="1"/>
        <c:lblAlgn val="ctr"/>
        <c:lblOffset val="100"/>
        <c:noMultiLvlLbl val="0"/>
      </c:catAx>
      <c:valAx>
        <c:axId val="-784454864"/>
        <c:scaling>
          <c:orientation val="minMax"/>
          <c:max val="1"/>
        </c:scaling>
        <c:delete val="0"/>
        <c:axPos val="l"/>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44554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pPr>
            <a:r>
              <a:rPr lang="en-US" sz="1100" baseline="0"/>
              <a:t>Figure 28. PLWH Survey and Focus Group Participants by Ethnicity</a:t>
            </a:r>
          </a:p>
        </c:rich>
      </c:tx>
      <c:overlay val="1"/>
    </c:title>
    <c:autoTitleDeleted val="0"/>
    <c:plotArea>
      <c:layout>
        <c:manualLayout>
          <c:layoutTarget val="inner"/>
          <c:xMode val="edge"/>
          <c:yMode val="edge"/>
          <c:x val="8.1591413717701206E-2"/>
          <c:y val="4.4057617797775277E-2"/>
          <c:w val="0.90129313104154662"/>
          <c:h val="0.47949704767749474"/>
        </c:manualLayout>
      </c:layout>
      <c:barChart>
        <c:barDir val="col"/>
        <c:grouping val="clustered"/>
        <c:varyColors val="0"/>
        <c:ser>
          <c:idx val="0"/>
          <c:order val="0"/>
          <c:tx>
            <c:strRef>
              <c:f>Sheet1!$B$1</c:f>
              <c:strCache>
                <c:ptCount val="1"/>
                <c:pt idx="0">
                  <c:v>Client Survey</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82-4519-9ADC-FE16B832522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aseline="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White</c:v>
                </c:pt>
                <c:pt idx="1">
                  <c:v>Black</c:v>
                </c:pt>
                <c:pt idx="2">
                  <c:v>Hispanic</c:v>
                </c:pt>
                <c:pt idx="3">
                  <c:v>Asian/Hawaiian/Pacific Islander</c:v>
                </c:pt>
                <c:pt idx="4">
                  <c:v>American Indian/Alaska Native</c:v>
                </c:pt>
                <c:pt idx="5">
                  <c:v>Mult-race/Other</c:v>
                </c:pt>
              </c:strCache>
            </c:strRef>
          </c:cat>
          <c:val>
            <c:numRef>
              <c:f>Sheet1!$B$2:$B$7</c:f>
              <c:numCache>
                <c:formatCode>0%</c:formatCode>
                <c:ptCount val="6"/>
                <c:pt idx="0">
                  <c:v>0.32</c:v>
                </c:pt>
                <c:pt idx="1">
                  <c:v>0.3</c:v>
                </c:pt>
                <c:pt idx="2">
                  <c:v>0.22</c:v>
                </c:pt>
                <c:pt idx="3">
                  <c:v>7.0000000000000007E-2</c:v>
                </c:pt>
                <c:pt idx="4">
                  <c:v>0.01</c:v>
                </c:pt>
                <c:pt idx="5">
                  <c:v>0.08</c:v>
                </c:pt>
              </c:numCache>
            </c:numRef>
          </c:val>
          <c:extLst xmlns:c16r2="http://schemas.microsoft.com/office/drawing/2015/06/chart">
            <c:ext xmlns:c16="http://schemas.microsoft.com/office/drawing/2014/chart" uri="{C3380CC4-5D6E-409C-BE32-E72D297353CC}">
              <c16:uniqueId val="{00000001-A982-4519-9ADC-FE16B8325229}"/>
            </c:ext>
          </c:extLst>
        </c:ser>
        <c:ser>
          <c:idx val="1"/>
          <c:order val="1"/>
          <c:tx>
            <c:strRef>
              <c:f>Sheet1!$C$1</c:f>
              <c:strCache>
                <c:ptCount val="1"/>
                <c:pt idx="0">
                  <c:v>PLWH Focus Groups</c:v>
                </c:pt>
              </c:strCache>
            </c:strRef>
          </c:tx>
          <c:spPr>
            <a:solidFill>
              <a:schemeClr val="bg1">
                <a:lumMod val="65000"/>
              </a:schemeClr>
            </a:soli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900" baseline="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White</c:v>
                </c:pt>
                <c:pt idx="1">
                  <c:v>Black</c:v>
                </c:pt>
                <c:pt idx="2">
                  <c:v>Hispanic</c:v>
                </c:pt>
                <c:pt idx="3">
                  <c:v>Asian/Hawaiian/Pacific Islander</c:v>
                </c:pt>
                <c:pt idx="4">
                  <c:v>American Indian/Alaska Native</c:v>
                </c:pt>
                <c:pt idx="5">
                  <c:v>Mult-race/Other</c:v>
                </c:pt>
              </c:strCache>
            </c:strRef>
          </c:cat>
          <c:val>
            <c:numRef>
              <c:f>Sheet1!$C$2:$C$7</c:f>
              <c:numCache>
                <c:formatCode>0%</c:formatCode>
                <c:ptCount val="6"/>
                <c:pt idx="0">
                  <c:v>0.378</c:v>
                </c:pt>
                <c:pt idx="1">
                  <c:v>0.30499999999999999</c:v>
                </c:pt>
                <c:pt idx="2">
                  <c:v>0.19500000000000001</c:v>
                </c:pt>
                <c:pt idx="3">
                  <c:v>2.4E-2</c:v>
                </c:pt>
                <c:pt idx="4">
                  <c:v>2.4E-2</c:v>
                </c:pt>
                <c:pt idx="5">
                  <c:v>7.2999999999999995E-2</c:v>
                </c:pt>
              </c:numCache>
            </c:numRef>
          </c:val>
          <c:extLst xmlns:c16r2="http://schemas.microsoft.com/office/drawing/2015/06/chart">
            <c:ext xmlns:c16="http://schemas.microsoft.com/office/drawing/2014/chart" uri="{C3380CC4-5D6E-409C-BE32-E72D297353CC}">
              <c16:uniqueId val="{00000002-A982-4519-9ADC-FE16B8325229}"/>
            </c:ext>
          </c:extLst>
        </c:ser>
        <c:ser>
          <c:idx val="2"/>
          <c:order val="2"/>
          <c:tx>
            <c:strRef>
              <c:f>Sheet1!$D$1</c:f>
              <c:strCache>
                <c:ptCount val="1"/>
                <c:pt idx="0">
                  <c:v>PLWH in NV</c:v>
                </c:pt>
              </c:strCache>
            </c:strRef>
          </c:tx>
          <c:spPr>
            <a:solidFill>
              <a:schemeClr val="accent1">
                <a:lumMod val="20000"/>
                <a:lumOff val="80000"/>
              </a:schemeClr>
            </a:soli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900" baseline="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Sheet1!$A$2:$A$7</c:f>
              <c:strCache>
                <c:ptCount val="6"/>
                <c:pt idx="0">
                  <c:v>White</c:v>
                </c:pt>
                <c:pt idx="1">
                  <c:v>Black</c:v>
                </c:pt>
                <c:pt idx="2">
                  <c:v>Hispanic</c:v>
                </c:pt>
                <c:pt idx="3">
                  <c:v>Asian/Hawaiian/Pacific Islander</c:v>
                </c:pt>
                <c:pt idx="4">
                  <c:v>American Indian/Alaska Native</c:v>
                </c:pt>
                <c:pt idx="5">
                  <c:v>Mult-race/Other</c:v>
                </c:pt>
              </c:strCache>
            </c:strRef>
          </c:cat>
          <c:val>
            <c:numRef>
              <c:f>Sheet1!$D$2:$D$7</c:f>
              <c:numCache>
                <c:formatCode>0%</c:formatCode>
                <c:ptCount val="6"/>
                <c:pt idx="0">
                  <c:v>0.37</c:v>
                </c:pt>
                <c:pt idx="1">
                  <c:v>0.24</c:v>
                </c:pt>
                <c:pt idx="2">
                  <c:v>0.3</c:v>
                </c:pt>
                <c:pt idx="3">
                  <c:v>0.05</c:v>
                </c:pt>
                <c:pt idx="4">
                  <c:v>0.01</c:v>
                </c:pt>
                <c:pt idx="5">
                  <c:v>0.02</c:v>
                </c:pt>
              </c:numCache>
            </c:numRef>
          </c:val>
          <c:extLst xmlns:c16r2="http://schemas.microsoft.com/office/drawing/2015/06/chart">
            <c:ext xmlns:c16="http://schemas.microsoft.com/office/drawing/2014/chart" uri="{C3380CC4-5D6E-409C-BE32-E72D297353CC}">
              <c16:uniqueId val="{00000003-A982-4519-9ADC-FE16B8325229}"/>
            </c:ext>
          </c:extLst>
        </c:ser>
        <c:dLbls>
          <c:dLblPos val="outEnd"/>
          <c:showLegendKey val="0"/>
          <c:showVal val="1"/>
          <c:showCatName val="0"/>
          <c:showSerName val="0"/>
          <c:showPercent val="0"/>
          <c:showBubbleSize val="0"/>
        </c:dLbls>
        <c:gapWidth val="150"/>
        <c:axId val="-784458128"/>
        <c:axId val="-784457584"/>
      </c:barChart>
      <c:catAx>
        <c:axId val="-784458128"/>
        <c:scaling>
          <c:orientation val="minMax"/>
        </c:scaling>
        <c:delete val="0"/>
        <c:axPos val="b"/>
        <c:numFmt formatCode="General" sourceLinked="0"/>
        <c:majorTickMark val="out"/>
        <c:minorTickMark val="none"/>
        <c:tickLblPos val="nextTo"/>
        <c:crossAx val="-784457584"/>
        <c:crosses val="autoZero"/>
        <c:auto val="1"/>
        <c:lblAlgn val="ctr"/>
        <c:lblOffset val="100"/>
        <c:noMultiLvlLbl val="0"/>
      </c:catAx>
      <c:valAx>
        <c:axId val="-784457584"/>
        <c:scaling>
          <c:orientation val="minMax"/>
          <c:max val="1"/>
        </c:scaling>
        <c:delete val="0"/>
        <c:axPos val="l"/>
        <c:numFmt formatCode="0%" sourceLinked="1"/>
        <c:majorTickMark val="out"/>
        <c:minorTickMark val="none"/>
        <c:tickLblPos val="nextTo"/>
        <c:crossAx val="-784458128"/>
        <c:crosses val="autoZero"/>
        <c:crossBetween val="between"/>
      </c:valAx>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79702537182854"/>
          <c:y val="9.0239696859084673E-2"/>
          <c:w val="0.84156062575143686"/>
          <c:h val="0.7175939928038797"/>
        </c:manualLayout>
      </c:layout>
      <c:barChart>
        <c:barDir val="col"/>
        <c:grouping val="clustered"/>
        <c:varyColors val="0"/>
        <c:ser>
          <c:idx val="0"/>
          <c:order val="0"/>
          <c:tx>
            <c:v>Male</c:v>
          </c:tx>
          <c:spPr>
            <a:solidFill>
              <a:schemeClr val="tx2">
                <a:lumMod val="75000"/>
              </a:schemeClr>
            </a:solidFill>
            <a:scene3d>
              <a:camera prst="orthographicFront"/>
              <a:lightRig rig="threePt" dir="t"/>
            </a:scene3d>
            <a:sp3d>
              <a:bevelT/>
            </a:sp3d>
          </c:spPr>
          <c:invertIfNegative val="0"/>
          <c:dLbls>
            <c:dLbl>
              <c:idx val="1"/>
              <c:layout>
                <c:manualLayout>
                  <c:x val="0"/>
                  <c:y val="7.98403193612770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93-45BB-A116-811E2D5288A8}"/>
                </c:ext>
                <c:ext xmlns:c15="http://schemas.microsoft.com/office/drawing/2012/chart" uri="{CE6537A1-D6FC-4f65-9D91-7224C49458BB}"/>
              </c:extLst>
            </c:dLbl>
            <c:dLbl>
              <c:idx val="2"/>
              <c:layout>
                <c:manualLayout>
                  <c:x val="0"/>
                  <c:y val="7.98403193612774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93-45BB-A116-811E2D5288A8}"/>
                </c:ext>
                <c:ext xmlns:c15="http://schemas.microsoft.com/office/drawing/2012/chart" uri="{CE6537A1-D6FC-4f65-9D91-7224C49458BB}"/>
              </c:extLst>
            </c:dLbl>
            <c:dLbl>
              <c:idx val="3"/>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93-45BB-A116-811E2D5288A8}"/>
                </c:ext>
                <c:ext xmlns:c15="http://schemas.microsoft.com/office/drawing/2012/chart" uri="{CE6537A1-D6FC-4f65-9D91-7224C49458BB}"/>
              </c:extLst>
            </c:dLbl>
            <c:dLbl>
              <c:idx val="4"/>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93-45BB-A116-811E2D5288A8}"/>
                </c:ext>
                <c:ext xmlns:c15="http://schemas.microsoft.com/office/drawing/2012/chart" uri="{CE6537A1-D6FC-4f65-9D91-7224C49458BB}"/>
              </c:extLst>
            </c:dLbl>
            <c:dLbl>
              <c:idx val="5"/>
              <c:layout>
                <c:manualLayout>
                  <c:x val="0"/>
                  <c:y val="7.98403193612774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93-45BB-A116-811E2D5288A8}"/>
                </c:ext>
                <c:ext xmlns:c15="http://schemas.microsoft.com/office/drawing/2012/chart" uri="{CE6537A1-D6FC-4f65-9D91-7224C49458BB}"/>
              </c:extLst>
            </c:dLbl>
            <c:dLbl>
              <c:idx val="6"/>
              <c:layout>
                <c:manualLayout>
                  <c:x val="0"/>
                  <c:y val="1.1976047904191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93-45BB-A116-811E2D5288A8}"/>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Sex!$B$49:$B$55</c:f>
              <c:strCache>
                <c:ptCount val="7"/>
                <c:pt idx="0">
                  <c:v>&lt; 13</c:v>
                </c:pt>
                <c:pt idx="1">
                  <c:v>13 to 24</c:v>
                </c:pt>
                <c:pt idx="2">
                  <c:v>25 to 34</c:v>
                </c:pt>
                <c:pt idx="3">
                  <c:v>35 to 44</c:v>
                </c:pt>
                <c:pt idx="4">
                  <c:v>45 to 54</c:v>
                </c:pt>
                <c:pt idx="5">
                  <c:v>55 to 64</c:v>
                </c:pt>
                <c:pt idx="6">
                  <c:v>65 +</c:v>
                </c:pt>
              </c:strCache>
            </c:strRef>
          </c:cat>
          <c:val>
            <c:numRef>
              <c:f>Sex!$E$49:$E$55</c:f>
              <c:numCache>
                <c:formatCode>0.0</c:formatCode>
                <c:ptCount val="7"/>
                <c:pt idx="0">
                  <c:v>0</c:v>
                </c:pt>
                <c:pt idx="1">
                  <c:v>42.4</c:v>
                </c:pt>
                <c:pt idx="2">
                  <c:v>66.8</c:v>
                </c:pt>
                <c:pt idx="3">
                  <c:v>35.200000000000003</c:v>
                </c:pt>
                <c:pt idx="4">
                  <c:v>31.9</c:v>
                </c:pt>
                <c:pt idx="5">
                  <c:v>14.4</c:v>
                </c:pt>
                <c:pt idx="6">
                  <c:v>1.1000000000000001</c:v>
                </c:pt>
              </c:numCache>
            </c:numRef>
          </c:val>
          <c:extLst xmlns:c16r2="http://schemas.microsoft.com/office/drawing/2015/06/chart">
            <c:ext xmlns:c16="http://schemas.microsoft.com/office/drawing/2014/chart" uri="{C3380CC4-5D6E-409C-BE32-E72D297353CC}">
              <c16:uniqueId val="{00000006-BC93-45BB-A116-811E2D5288A8}"/>
            </c:ext>
          </c:extLst>
        </c:ser>
        <c:ser>
          <c:idx val="1"/>
          <c:order val="1"/>
          <c:tx>
            <c:v>Female</c:v>
          </c:tx>
          <c:spPr>
            <a:solidFill>
              <a:schemeClr val="tx2">
                <a:lumMod val="40000"/>
                <a:lumOff val="60000"/>
              </a:schemeClr>
            </a:solidFill>
            <a:scene3d>
              <a:camera prst="orthographicFront"/>
              <a:lightRig rig="threePt" dir="t"/>
            </a:scene3d>
            <a:sp3d>
              <a:bevelT/>
            </a:sp3d>
          </c:spPr>
          <c:invertIfNegative val="0"/>
          <c:dLbls>
            <c:dLbl>
              <c:idx val="0"/>
              <c:layout>
                <c:manualLayout>
                  <c:x val="1.6683350016683349E-2"/>
                  <c:y val="-9.867126774784063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C93-45BB-A116-811E2D5288A8}"/>
                </c:ext>
                <c:ext xmlns:c15="http://schemas.microsoft.com/office/drawing/2012/chart" uri="{CE6537A1-D6FC-4f65-9D91-7224C49458BB}"/>
              </c:extLst>
            </c:dLbl>
            <c:dLbl>
              <c:idx val="1"/>
              <c:layout>
                <c:manualLayout>
                  <c:x val="0"/>
                  <c:y val="1.1976047904191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C93-45BB-A116-811E2D5288A8}"/>
                </c:ext>
                <c:ext xmlns:c15="http://schemas.microsoft.com/office/drawing/2012/chart" uri="{CE6537A1-D6FC-4f65-9D91-7224C49458BB}"/>
              </c:extLst>
            </c:dLbl>
            <c:dLbl>
              <c:idx val="2"/>
              <c:layout>
                <c:manualLayout>
                  <c:x val="0"/>
                  <c:y val="1.1976047904191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C93-45BB-A116-811E2D5288A8}"/>
                </c:ext>
                <c:ext xmlns:c15="http://schemas.microsoft.com/office/drawing/2012/chart" uri="{CE6537A1-D6FC-4f65-9D91-7224C49458BB}"/>
              </c:extLst>
            </c:dLbl>
            <c:dLbl>
              <c:idx val="3"/>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C93-45BB-A116-811E2D5288A8}"/>
                </c:ext>
                <c:ext xmlns:c15="http://schemas.microsoft.com/office/drawing/2012/chart" uri="{CE6537A1-D6FC-4f65-9D91-7224C49458BB}"/>
              </c:extLst>
            </c:dLbl>
            <c:dLbl>
              <c:idx val="4"/>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C93-45BB-A116-811E2D5288A8}"/>
                </c:ext>
                <c:ext xmlns:c15="http://schemas.microsoft.com/office/drawing/2012/chart" uri="{CE6537A1-D6FC-4f65-9D91-7224C49458BB}"/>
              </c:extLst>
            </c:dLbl>
            <c:dLbl>
              <c:idx val="5"/>
              <c:layout>
                <c:manualLayout>
                  <c:x val="0"/>
                  <c:y val="1.9960079840319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C93-45BB-A116-811E2D5288A8}"/>
                </c:ext>
                <c:ext xmlns:c15="http://schemas.microsoft.com/office/drawing/2012/chart" uri="{CE6537A1-D6FC-4f65-9D91-7224C49458BB}"/>
              </c:extLst>
            </c:dLbl>
            <c:dLbl>
              <c:idx val="6"/>
              <c:layout>
                <c:manualLayout>
                  <c:x val="1.8939411852797558E-2"/>
                  <c:y val="1.19758778807115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C93-45BB-A116-811E2D5288A8}"/>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Sex!$B$49:$B$55</c:f>
              <c:strCache>
                <c:ptCount val="7"/>
                <c:pt idx="0">
                  <c:v>&lt; 13</c:v>
                </c:pt>
                <c:pt idx="1">
                  <c:v>13 to 24</c:v>
                </c:pt>
                <c:pt idx="2">
                  <c:v>25 to 34</c:v>
                </c:pt>
                <c:pt idx="3">
                  <c:v>35 to 44</c:v>
                </c:pt>
                <c:pt idx="4">
                  <c:v>45 to 54</c:v>
                </c:pt>
                <c:pt idx="5">
                  <c:v>55 to 64</c:v>
                </c:pt>
                <c:pt idx="6">
                  <c:v>65 +</c:v>
                </c:pt>
              </c:strCache>
            </c:strRef>
          </c:cat>
          <c:val>
            <c:numRef>
              <c:f>Sex!$F$49:$F$55</c:f>
              <c:numCache>
                <c:formatCode>0.0</c:formatCode>
                <c:ptCount val="7"/>
                <c:pt idx="0">
                  <c:v>0.8</c:v>
                </c:pt>
                <c:pt idx="1">
                  <c:v>4</c:v>
                </c:pt>
                <c:pt idx="2">
                  <c:v>10.7</c:v>
                </c:pt>
                <c:pt idx="3">
                  <c:v>5.0999999999999996</c:v>
                </c:pt>
                <c:pt idx="4">
                  <c:v>7.4</c:v>
                </c:pt>
                <c:pt idx="5">
                  <c:v>0.6</c:v>
                </c:pt>
                <c:pt idx="6">
                  <c:v>0.5</c:v>
                </c:pt>
              </c:numCache>
            </c:numRef>
          </c:val>
          <c:extLst xmlns:c16r2="http://schemas.microsoft.com/office/drawing/2015/06/chart">
            <c:ext xmlns:c16="http://schemas.microsoft.com/office/drawing/2014/chart" uri="{C3380CC4-5D6E-409C-BE32-E72D297353CC}">
              <c16:uniqueId val="{0000000E-BC93-45BB-A116-811E2D5288A8}"/>
            </c:ext>
          </c:extLst>
        </c:ser>
        <c:dLbls>
          <c:showLegendKey val="0"/>
          <c:showVal val="0"/>
          <c:showCatName val="0"/>
          <c:showSerName val="0"/>
          <c:showPercent val="0"/>
          <c:showBubbleSize val="0"/>
        </c:dLbls>
        <c:gapWidth val="53"/>
        <c:axId val="-784455952"/>
        <c:axId val="-784452688"/>
      </c:barChart>
      <c:catAx>
        <c:axId val="-784455952"/>
        <c:scaling>
          <c:orientation val="minMax"/>
        </c:scaling>
        <c:delete val="0"/>
        <c:axPos val="b"/>
        <c:numFmt formatCode="General" sourceLinked="0"/>
        <c:majorTickMark val="out"/>
        <c:minorTickMark val="none"/>
        <c:tickLblPos val="nextTo"/>
        <c:txPr>
          <a:bodyPr/>
          <a:lstStyle/>
          <a:p>
            <a:pPr>
              <a:defRPr sz="800"/>
            </a:pPr>
            <a:endParaRPr lang="en-US"/>
          </a:p>
        </c:txPr>
        <c:crossAx val="-784452688"/>
        <c:crosses val="autoZero"/>
        <c:auto val="1"/>
        <c:lblAlgn val="ctr"/>
        <c:lblOffset val="100"/>
        <c:noMultiLvlLbl val="0"/>
      </c:catAx>
      <c:valAx>
        <c:axId val="-784452688"/>
        <c:scaling>
          <c:orientation val="minMax"/>
        </c:scaling>
        <c:delete val="0"/>
        <c:axPos val="l"/>
        <c:majorGridlines/>
        <c:title>
          <c:tx>
            <c:rich>
              <a:bodyPr rot="-5400000" vert="horz"/>
              <a:lstStyle/>
              <a:p>
                <a:pPr>
                  <a:defRPr sz="800"/>
                </a:pPr>
                <a:r>
                  <a:rPr lang="en-US" sz="800"/>
                  <a:t>Rate per 100,000</a:t>
                </a:r>
              </a:p>
            </c:rich>
          </c:tx>
          <c:layout>
            <c:manualLayout>
              <c:xMode val="edge"/>
              <c:yMode val="edge"/>
              <c:x val="1.5510170603674517E-3"/>
              <c:y val="0.24336887660034862"/>
            </c:manualLayout>
          </c:layout>
          <c:overlay val="0"/>
        </c:title>
        <c:numFmt formatCode="0.0" sourceLinked="1"/>
        <c:majorTickMark val="out"/>
        <c:minorTickMark val="none"/>
        <c:tickLblPos val="nextTo"/>
        <c:txPr>
          <a:bodyPr/>
          <a:lstStyle/>
          <a:p>
            <a:pPr>
              <a:defRPr sz="800"/>
            </a:pPr>
            <a:endParaRPr lang="en-US"/>
          </a:p>
        </c:txPr>
        <c:crossAx val="-784455952"/>
        <c:crosses val="autoZero"/>
        <c:crossBetween val="between"/>
      </c:valAx>
      <c:spPr>
        <a:noFill/>
      </c:spPr>
    </c:plotArea>
    <c:legend>
      <c:legendPos val="b"/>
      <c:layout>
        <c:manualLayout>
          <c:xMode val="edge"/>
          <c:yMode val="edge"/>
          <c:x val="0.18868164529079254"/>
          <c:y val="0.9255740144759772"/>
          <c:w val="0.65890293579419978"/>
          <c:h val="7.2187278985336695E-2"/>
        </c:manualLayout>
      </c:layout>
      <c:overlay val="0"/>
      <c:txPr>
        <a:bodyPr/>
        <a:lstStyle/>
        <a:p>
          <a:pPr>
            <a:defRPr sz="800"/>
          </a:pPr>
          <a:endParaRPr lang="en-US"/>
        </a:p>
      </c:txPr>
    </c:legend>
    <c:plotVisOnly val="1"/>
    <c:dispBlanksAs val="gap"/>
    <c:showDLblsOverMax val="0"/>
  </c:chart>
  <c:spPr>
    <a:noFill/>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38040866719125"/>
          <c:y val="8.0249579580995475E-2"/>
          <c:w val="0.8237543911072025"/>
          <c:h val="0.76093637333794817"/>
        </c:manualLayout>
      </c:layout>
      <c:barChart>
        <c:barDir val="col"/>
        <c:grouping val="clustered"/>
        <c:varyColors val="0"/>
        <c:ser>
          <c:idx val="0"/>
          <c:order val="0"/>
          <c:tx>
            <c:strRef>
              <c:f>Sex!$E$136</c:f>
              <c:strCache>
                <c:ptCount val="1"/>
                <c:pt idx="0">
                  <c:v>Male</c:v>
                </c:pt>
              </c:strCache>
            </c:strRef>
          </c:tx>
          <c:spPr>
            <a:solidFill>
              <a:schemeClr val="tx2">
                <a:lumMod val="75000"/>
              </a:schemeClr>
            </a:solidFill>
            <a:scene3d>
              <a:camera prst="orthographicFront"/>
              <a:lightRig rig="threePt" dir="t"/>
            </a:scene3d>
            <a:sp3d>
              <a:bevelT/>
            </a:sp3d>
          </c:spPr>
          <c:invertIfNegative val="0"/>
          <c:dLbls>
            <c:dLbl>
              <c:idx val="0"/>
              <c:layout>
                <c:manualLayout>
                  <c:x val="-6.768189509306278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E4C-404C-9521-E44F850F5028}"/>
                </c:ext>
                <c:ext xmlns:c15="http://schemas.microsoft.com/office/drawing/2012/chart" uri="{CE6537A1-D6FC-4f65-9D91-7224C49458BB}"/>
              </c:extLst>
            </c:dLbl>
            <c:dLbl>
              <c:idx val="1"/>
              <c:layout>
                <c:manualLayout>
                  <c:x val="-4.5123039823067824E-3"/>
                  <c:y val="4.06237455612166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4C-404C-9521-E44F850F5028}"/>
                </c:ext>
                <c:ext xmlns:c15="http://schemas.microsoft.com/office/drawing/2012/chart" uri="{CE6537A1-D6FC-4f65-9D91-7224C49458BB}"/>
              </c:extLst>
            </c:dLbl>
            <c:dLbl>
              <c:idx val="2"/>
              <c:layout>
                <c:manualLayout>
                  <c:x val="0"/>
                  <c:y val="7.98403193612774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E4C-404C-9521-E44F850F5028}"/>
                </c:ext>
                <c:ext xmlns:c15="http://schemas.microsoft.com/office/drawing/2012/chart" uri="{CE6537A1-D6FC-4f65-9D91-7224C49458BB}"/>
              </c:extLst>
            </c:dLbl>
            <c:dLbl>
              <c:idx val="3"/>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4C-404C-9521-E44F850F5028}"/>
                </c:ext>
                <c:ext xmlns:c15="http://schemas.microsoft.com/office/drawing/2012/chart" uri="{CE6537A1-D6FC-4f65-9D91-7224C49458BB}"/>
              </c:extLst>
            </c:dLbl>
            <c:dLbl>
              <c:idx val="4"/>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4C-404C-9521-E44F850F5028}"/>
                </c:ext>
                <c:ext xmlns:c15="http://schemas.microsoft.com/office/drawing/2012/chart" uri="{CE6537A1-D6FC-4f65-9D91-7224C49458BB}"/>
              </c:extLst>
            </c:dLbl>
            <c:dLbl>
              <c:idx val="5"/>
              <c:layout>
                <c:manualLayout>
                  <c:x val="0"/>
                  <c:y val="7.98403193612774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E4C-404C-9521-E44F850F5028}"/>
                </c:ext>
                <c:ext xmlns:c15="http://schemas.microsoft.com/office/drawing/2012/chart" uri="{CE6537A1-D6FC-4f65-9D91-7224C49458BB}"/>
              </c:extLst>
            </c:dLbl>
            <c:dLbl>
              <c:idx val="6"/>
              <c:layout>
                <c:manualLayout>
                  <c:x val="0"/>
                  <c:y val="1.1976047904191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E4C-404C-9521-E44F850F5028}"/>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Sex!$B$49:$B$55</c:f>
              <c:strCache>
                <c:ptCount val="7"/>
                <c:pt idx="0">
                  <c:v>&lt; 13</c:v>
                </c:pt>
                <c:pt idx="1">
                  <c:v>13 to 24</c:v>
                </c:pt>
                <c:pt idx="2">
                  <c:v>25 to 34</c:v>
                </c:pt>
                <c:pt idx="3">
                  <c:v>35 to 44</c:v>
                </c:pt>
                <c:pt idx="4">
                  <c:v>45 to 54</c:v>
                </c:pt>
                <c:pt idx="5">
                  <c:v>55 to 64</c:v>
                </c:pt>
                <c:pt idx="6">
                  <c:v>65 +</c:v>
                </c:pt>
              </c:strCache>
            </c:strRef>
          </c:cat>
          <c:val>
            <c:numRef>
              <c:f>Sex!$E$137:$E$143</c:f>
              <c:numCache>
                <c:formatCode>#,##0.0</c:formatCode>
                <c:ptCount val="7"/>
                <c:pt idx="0">
                  <c:v>1.8</c:v>
                </c:pt>
                <c:pt idx="1">
                  <c:v>139.6</c:v>
                </c:pt>
                <c:pt idx="2">
                  <c:v>683.5</c:v>
                </c:pt>
                <c:pt idx="3">
                  <c:v>867.5</c:v>
                </c:pt>
                <c:pt idx="4">
                  <c:v>1440.2</c:v>
                </c:pt>
                <c:pt idx="5">
                  <c:v>874.2</c:v>
                </c:pt>
                <c:pt idx="6">
                  <c:v>245.1</c:v>
                </c:pt>
              </c:numCache>
            </c:numRef>
          </c:val>
          <c:extLst xmlns:c16r2="http://schemas.microsoft.com/office/drawing/2015/06/chart">
            <c:ext xmlns:c16="http://schemas.microsoft.com/office/drawing/2014/chart" uri="{C3380CC4-5D6E-409C-BE32-E72D297353CC}">
              <c16:uniqueId val="{00000007-6E4C-404C-9521-E44F850F5028}"/>
            </c:ext>
          </c:extLst>
        </c:ser>
        <c:ser>
          <c:idx val="1"/>
          <c:order val="1"/>
          <c:tx>
            <c:strRef>
              <c:f>Sex!$F$136</c:f>
              <c:strCache>
                <c:ptCount val="1"/>
                <c:pt idx="0">
                  <c:v>Female</c:v>
                </c:pt>
              </c:strCache>
            </c:strRef>
          </c:tx>
          <c:spPr>
            <a:solidFill>
              <a:schemeClr val="tx2">
                <a:lumMod val="40000"/>
                <a:lumOff val="60000"/>
              </a:schemeClr>
            </a:solidFill>
            <a:scene3d>
              <a:camera prst="orthographicFront"/>
              <a:lightRig rig="threePt" dir="t"/>
            </a:scene3d>
            <a:sp3d>
              <a:bevelT/>
            </a:sp3d>
          </c:spPr>
          <c:invertIfNegative val="0"/>
          <c:dLbls>
            <c:dLbl>
              <c:idx val="0"/>
              <c:layout>
                <c:manualLayout>
                  <c:x val="6.76818950930630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E4C-404C-9521-E44F850F5028}"/>
                </c:ext>
                <c:ext xmlns:c15="http://schemas.microsoft.com/office/drawing/2012/chart" uri="{CE6537A1-D6FC-4f65-9D91-7224C49458BB}"/>
              </c:extLst>
            </c:dLbl>
            <c:dLbl>
              <c:idx val="1"/>
              <c:layout>
                <c:manualLayout>
                  <c:x val="1.3536201375843248E-2"/>
                  <c:y val="1.1975605990427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E4C-404C-9521-E44F850F5028}"/>
                </c:ext>
                <c:ext xmlns:c15="http://schemas.microsoft.com/office/drawing/2012/chart" uri="{CE6537A1-D6FC-4f65-9D91-7224C49458BB}"/>
              </c:extLst>
            </c:dLbl>
            <c:dLbl>
              <c:idx val="2"/>
              <c:layout>
                <c:manualLayout>
                  <c:x val="0"/>
                  <c:y val="1.19760479041916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E4C-404C-9521-E44F850F5028}"/>
                </c:ext>
                <c:ext xmlns:c15="http://schemas.microsoft.com/office/drawing/2012/chart" uri="{CE6537A1-D6FC-4f65-9D91-7224C49458BB}"/>
              </c:extLst>
            </c:dLbl>
            <c:dLbl>
              <c:idx val="3"/>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E4C-404C-9521-E44F850F5028}"/>
                </c:ext>
                <c:ext xmlns:c15="http://schemas.microsoft.com/office/drawing/2012/chart" uri="{CE6537A1-D6FC-4f65-9D91-7224C49458BB}"/>
              </c:extLst>
            </c:dLbl>
            <c:dLbl>
              <c:idx val="4"/>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E4C-404C-9521-E44F850F5028}"/>
                </c:ext>
                <c:ext xmlns:c15="http://schemas.microsoft.com/office/drawing/2012/chart" uri="{CE6537A1-D6FC-4f65-9D91-7224C49458BB}"/>
              </c:extLst>
            </c:dLbl>
            <c:dLbl>
              <c:idx val="5"/>
              <c:layout>
                <c:manualLayout>
                  <c:x val="0"/>
                  <c:y val="1.9960079840319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E4C-404C-9521-E44F850F5028}"/>
                </c:ext>
                <c:ext xmlns:c15="http://schemas.microsoft.com/office/drawing/2012/chart" uri="{CE6537A1-D6FC-4f65-9D91-7224C49458BB}"/>
              </c:extLst>
            </c:dLbl>
            <c:dLbl>
              <c:idx val="6"/>
              <c:layout>
                <c:manualLayout>
                  <c:x val="2.2560631697687537E-3"/>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E4C-404C-9521-E44F850F5028}"/>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Sex!$B$49:$B$55</c:f>
              <c:strCache>
                <c:ptCount val="7"/>
                <c:pt idx="0">
                  <c:v>&lt; 13</c:v>
                </c:pt>
                <c:pt idx="1">
                  <c:v>13 to 24</c:v>
                </c:pt>
                <c:pt idx="2">
                  <c:v>25 to 34</c:v>
                </c:pt>
                <c:pt idx="3">
                  <c:v>35 to 44</c:v>
                </c:pt>
                <c:pt idx="4">
                  <c:v>45 to 54</c:v>
                </c:pt>
                <c:pt idx="5">
                  <c:v>55 to 64</c:v>
                </c:pt>
                <c:pt idx="6">
                  <c:v>65 +</c:v>
                </c:pt>
              </c:strCache>
            </c:strRef>
          </c:cat>
          <c:val>
            <c:numRef>
              <c:f>Sex!$F$137:$F$143</c:f>
              <c:numCache>
                <c:formatCode>#,##0.0</c:formatCode>
                <c:ptCount val="7"/>
                <c:pt idx="0">
                  <c:v>3.1</c:v>
                </c:pt>
                <c:pt idx="1">
                  <c:v>27.3</c:v>
                </c:pt>
                <c:pt idx="2">
                  <c:v>118.7</c:v>
                </c:pt>
                <c:pt idx="3">
                  <c:v>196.8</c:v>
                </c:pt>
                <c:pt idx="4">
                  <c:v>263.8</c:v>
                </c:pt>
                <c:pt idx="5">
                  <c:v>159.1</c:v>
                </c:pt>
                <c:pt idx="6">
                  <c:v>43.1</c:v>
                </c:pt>
              </c:numCache>
            </c:numRef>
          </c:val>
          <c:extLst xmlns:c16r2="http://schemas.microsoft.com/office/drawing/2015/06/chart">
            <c:ext xmlns:c16="http://schemas.microsoft.com/office/drawing/2014/chart" uri="{C3380CC4-5D6E-409C-BE32-E72D297353CC}">
              <c16:uniqueId val="{0000000F-6E4C-404C-9521-E44F850F5028}"/>
            </c:ext>
          </c:extLst>
        </c:ser>
        <c:dLbls>
          <c:showLegendKey val="0"/>
          <c:showVal val="0"/>
          <c:showCatName val="0"/>
          <c:showSerName val="0"/>
          <c:showPercent val="0"/>
          <c:showBubbleSize val="0"/>
        </c:dLbls>
        <c:gapWidth val="53"/>
        <c:axId val="-783072144"/>
        <c:axId val="-783066160"/>
      </c:barChart>
      <c:catAx>
        <c:axId val="-783072144"/>
        <c:scaling>
          <c:orientation val="minMax"/>
        </c:scaling>
        <c:delete val="0"/>
        <c:axPos val="b"/>
        <c:numFmt formatCode="General" sourceLinked="0"/>
        <c:majorTickMark val="out"/>
        <c:minorTickMark val="none"/>
        <c:tickLblPos val="nextTo"/>
        <c:txPr>
          <a:bodyPr/>
          <a:lstStyle/>
          <a:p>
            <a:pPr>
              <a:defRPr sz="800"/>
            </a:pPr>
            <a:endParaRPr lang="en-US"/>
          </a:p>
        </c:txPr>
        <c:crossAx val="-783066160"/>
        <c:crosses val="autoZero"/>
        <c:auto val="1"/>
        <c:lblAlgn val="ctr"/>
        <c:lblOffset val="100"/>
        <c:noMultiLvlLbl val="0"/>
      </c:catAx>
      <c:valAx>
        <c:axId val="-783066160"/>
        <c:scaling>
          <c:orientation val="minMax"/>
        </c:scaling>
        <c:delete val="0"/>
        <c:axPos val="l"/>
        <c:majorGridlines/>
        <c:title>
          <c:tx>
            <c:rich>
              <a:bodyPr rot="-5400000" vert="horz"/>
              <a:lstStyle/>
              <a:p>
                <a:pPr>
                  <a:defRPr sz="800"/>
                </a:pPr>
                <a:r>
                  <a:rPr lang="en-US" sz="800"/>
                  <a:t>Rate per 100,000</a:t>
                </a:r>
              </a:p>
            </c:rich>
          </c:tx>
          <c:layout>
            <c:manualLayout>
              <c:xMode val="edge"/>
              <c:yMode val="edge"/>
              <c:x val="1.8572816519482024E-3"/>
              <c:y val="0.22768277124115624"/>
            </c:manualLayout>
          </c:layout>
          <c:overlay val="0"/>
        </c:title>
        <c:numFmt formatCode="#,##0.0" sourceLinked="1"/>
        <c:majorTickMark val="out"/>
        <c:minorTickMark val="none"/>
        <c:tickLblPos val="nextTo"/>
        <c:txPr>
          <a:bodyPr/>
          <a:lstStyle/>
          <a:p>
            <a:pPr>
              <a:defRPr sz="800"/>
            </a:pPr>
            <a:endParaRPr lang="en-US"/>
          </a:p>
        </c:txPr>
        <c:crossAx val="-783072144"/>
        <c:crosses val="autoZero"/>
        <c:crossBetween val="between"/>
      </c:valAx>
      <c:spPr>
        <a:noFill/>
      </c:spPr>
    </c:plotArea>
    <c:legend>
      <c:legendPos val="b"/>
      <c:layout>
        <c:manualLayout>
          <c:xMode val="edge"/>
          <c:yMode val="edge"/>
          <c:x val="0.44236028316759907"/>
          <c:y val="0.90972787055464222"/>
          <c:w val="0.19546318131553406"/>
          <c:h val="7.2187278985336695E-2"/>
        </c:manualLayout>
      </c:layout>
      <c:overlay val="0"/>
      <c:txPr>
        <a:bodyPr/>
        <a:lstStyle/>
        <a:p>
          <a:pPr>
            <a:defRPr sz="800"/>
          </a:pPr>
          <a:endParaRPr lang="en-US"/>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Age!$A$41</c:f>
              <c:strCache>
                <c:ptCount val="1"/>
                <c:pt idx="0">
                  <c:v>&lt; 13</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Age!$B$40:$F$40</c:f>
              <c:numCache>
                <c:formatCode>General</c:formatCode>
                <c:ptCount val="5"/>
                <c:pt idx="0">
                  <c:v>2010</c:v>
                </c:pt>
                <c:pt idx="1">
                  <c:v>2011</c:v>
                </c:pt>
                <c:pt idx="2">
                  <c:v>2012</c:v>
                </c:pt>
                <c:pt idx="3">
                  <c:v>2013</c:v>
                </c:pt>
                <c:pt idx="4">
                  <c:v>2014</c:v>
                </c:pt>
              </c:numCache>
            </c:numRef>
          </c:cat>
          <c:val>
            <c:numRef>
              <c:f>Age!$B$41:$F$41</c:f>
              <c:numCache>
                <c:formatCode>0.0</c:formatCode>
                <c:ptCount val="5"/>
                <c:pt idx="0">
                  <c:v>0</c:v>
                </c:pt>
                <c:pt idx="1">
                  <c:v>0</c:v>
                </c:pt>
                <c:pt idx="2">
                  <c:v>0</c:v>
                </c:pt>
                <c:pt idx="3">
                  <c:v>0</c:v>
                </c:pt>
                <c:pt idx="4">
                  <c:v>0</c:v>
                </c:pt>
              </c:numCache>
            </c:numRef>
          </c:val>
          <c:smooth val="0"/>
          <c:extLst xmlns:c16r2="http://schemas.microsoft.com/office/drawing/2015/06/chart">
            <c:ext xmlns:c16="http://schemas.microsoft.com/office/drawing/2014/chart" uri="{C3380CC4-5D6E-409C-BE32-E72D297353CC}">
              <c16:uniqueId val="{00000000-1983-4594-854E-40DBE67FF4A4}"/>
            </c:ext>
          </c:extLst>
        </c:ser>
        <c:ser>
          <c:idx val="4"/>
          <c:order val="1"/>
          <c:tx>
            <c:strRef>
              <c:f>Age!$A$42</c:f>
              <c:strCache>
                <c:ptCount val="1"/>
                <c:pt idx="0">
                  <c:v>13 to 24</c:v>
                </c:pt>
              </c:strCache>
            </c:strRef>
          </c:tx>
          <c:spPr>
            <a:ln w="28575" cap="rnd" cmpd="sng" algn="ctr">
              <a:solidFill>
                <a:schemeClr val="accent3">
                  <a:lumMod val="60000"/>
                  <a:shade val="95000"/>
                  <a:satMod val="105000"/>
                </a:schemeClr>
              </a:solidFill>
              <a:prstDash val="solid"/>
              <a:round/>
            </a:ln>
            <a:effectLst/>
          </c:spPr>
          <c:marker>
            <c:symbol val="square"/>
            <c:size val="7"/>
            <c:spPr>
              <a:solidFill>
                <a:schemeClr val="accent3">
                  <a:lumMod val="60000"/>
                </a:schemeClr>
              </a:solidFill>
              <a:ln w="9525" cap="flat" cmpd="sng" algn="ctr">
                <a:solidFill>
                  <a:schemeClr val="accent3">
                    <a:lumMod val="60000"/>
                    <a:shade val="95000"/>
                    <a:satMod val="105000"/>
                  </a:schemeClr>
                </a:solidFill>
                <a:prstDash val="solid"/>
                <a:round/>
              </a:ln>
              <a:effectLst/>
            </c:spPr>
          </c:marker>
          <c:cat>
            <c:numRef>
              <c:f>Age!$B$40:$F$40</c:f>
              <c:numCache>
                <c:formatCode>General</c:formatCode>
                <c:ptCount val="5"/>
                <c:pt idx="0">
                  <c:v>2010</c:v>
                </c:pt>
                <c:pt idx="1">
                  <c:v>2011</c:v>
                </c:pt>
                <c:pt idx="2">
                  <c:v>2012</c:v>
                </c:pt>
                <c:pt idx="3">
                  <c:v>2013</c:v>
                </c:pt>
                <c:pt idx="4">
                  <c:v>2014</c:v>
                </c:pt>
              </c:numCache>
            </c:numRef>
          </c:cat>
          <c:val>
            <c:numRef>
              <c:f>Age!$B$42:$F$42</c:f>
              <c:numCache>
                <c:formatCode>0.0</c:formatCode>
                <c:ptCount val="5"/>
                <c:pt idx="0">
                  <c:v>35.1</c:v>
                </c:pt>
                <c:pt idx="1">
                  <c:v>38.299999999999997</c:v>
                </c:pt>
                <c:pt idx="2">
                  <c:v>36.1</c:v>
                </c:pt>
                <c:pt idx="3">
                  <c:v>41.9</c:v>
                </c:pt>
                <c:pt idx="4">
                  <c:v>42.4</c:v>
                </c:pt>
              </c:numCache>
            </c:numRef>
          </c:val>
          <c:smooth val="0"/>
          <c:extLst xmlns:c16r2="http://schemas.microsoft.com/office/drawing/2015/06/chart">
            <c:ext xmlns:c16="http://schemas.microsoft.com/office/drawing/2014/chart" uri="{C3380CC4-5D6E-409C-BE32-E72D297353CC}">
              <c16:uniqueId val="{00000001-1983-4594-854E-40DBE67FF4A4}"/>
            </c:ext>
          </c:extLst>
        </c:ser>
        <c:ser>
          <c:idx val="5"/>
          <c:order val="2"/>
          <c:tx>
            <c:strRef>
              <c:f>Age!$A$43</c:f>
              <c:strCache>
                <c:ptCount val="1"/>
                <c:pt idx="0">
                  <c:v>25 to 34</c:v>
                </c:pt>
              </c:strCache>
            </c:strRef>
          </c:tx>
          <c:spPr>
            <a:ln w="28575" cap="rnd" cmpd="sng" algn="ctr">
              <a:solidFill>
                <a:schemeClr val="accent5">
                  <a:lumMod val="60000"/>
                  <a:shade val="95000"/>
                  <a:satMod val="105000"/>
                </a:schemeClr>
              </a:solidFill>
              <a:prstDash val="solid"/>
              <a:round/>
            </a:ln>
            <a:effectLst/>
          </c:spPr>
          <c:marker>
            <c:spPr>
              <a:solidFill>
                <a:schemeClr val="accent5">
                  <a:lumMod val="60000"/>
                </a:schemeClr>
              </a:solidFill>
              <a:ln w="9525" cap="flat" cmpd="sng" algn="ctr">
                <a:solidFill>
                  <a:schemeClr val="accent5">
                    <a:lumMod val="60000"/>
                    <a:shade val="95000"/>
                    <a:satMod val="105000"/>
                  </a:schemeClr>
                </a:solidFill>
                <a:prstDash val="solid"/>
                <a:round/>
              </a:ln>
              <a:effectLst/>
            </c:spPr>
          </c:marker>
          <c:cat>
            <c:numRef>
              <c:f>Age!$B$40:$F$40</c:f>
              <c:numCache>
                <c:formatCode>General</c:formatCode>
                <c:ptCount val="5"/>
                <c:pt idx="0">
                  <c:v>2010</c:v>
                </c:pt>
                <c:pt idx="1">
                  <c:v>2011</c:v>
                </c:pt>
                <c:pt idx="2">
                  <c:v>2012</c:v>
                </c:pt>
                <c:pt idx="3">
                  <c:v>2013</c:v>
                </c:pt>
                <c:pt idx="4">
                  <c:v>2014</c:v>
                </c:pt>
              </c:numCache>
            </c:numRef>
          </c:cat>
          <c:val>
            <c:numRef>
              <c:f>Age!$B$43:$F$43</c:f>
              <c:numCache>
                <c:formatCode>0.0</c:formatCode>
                <c:ptCount val="5"/>
                <c:pt idx="0">
                  <c:v>48.7</c:v>
                </c:pt>
                <c:pt idx="1">
                  <c:v>63.9</c:v>
                </c:pt>
                <c:pt idx="2">
                  <c:v>53.6</c:v>
                </c:pt>
                <c:pt idx="3">
                  <c:v>74.400000000000006</c:v>
                </c:pt>
                <c:pt idx="4">
                  <c:v>66.8</c:v>
                </c:pt>
              </c:numCache>
            </c:numRef>
          </c:val>
          <c:smooth val="0"/>
          <c:extLst xmlns:c16r2="http://schemas.microsoft.com/office/drawing/2015/06/chart">
            <c:ext xmlns:c16="http://schemas.microsoft.com/office/drawing/2014/chart" uri="{C3380CC4-5D6E-409C-BE32-E72D297353CC}">
              <c16:uniqueId val="{00000002-1983-4594-854E-40DBE67FF4A4}"/>
            </c:ext>
          </c:extLst>
        </c:ser>
        <c:ser>
          <c:idx val="6"/>
          <c:order val="3"/>
          <c:tx>
            <c:strRef>
              <c:f>Age!$A$44</c:f>
              <c:strCache>
                <c:ptCount val="1"/>
                <c:pt idx="0">
                  <c:v>35 to 44</c:v>
                </c:pt>
              </c:strCache>
            </c:strRef>
          </c:tx>
          <c:spPr>
            <a:ln w="28575" cap="rnd" cmpd="sng" algn="ctr">
              <a:solidFill>
                <a:schemeClr val="accent1">
                  <a:lumMod val="80000"/>
                  <a:lumOff val="20000"/>
                  <a:shade val="95000"/>
                  <a:satMod val="105000"/>
                </a:schemeClr>
              </a:solidFill>
              <a:prstDash val="solid"/>
              <a:round/>
            </a:ln>
            <a:effectLst/>
          </c:spPr>
          <c:marker>
            <c:symbol val="none"/>
          </c:marker>
          <c:cat>
            <c:numRef>
              <c:f>Age!$B$40:$F$40</c:f>
              <c:numCache>
                <c:formatCode>General</c:formatCode>
                <c:ptCount val="5"/>
                <c:pt idx="0">
                  <c:v>2010</c:v>
                </c:pt>
                <c:pt idx="1">
                  <c:v>2011</c:v>
                </c:pt>
                <c:pt idx="2">
                  <c:v>2012</c:v>
                </c:pt>
                <c:pt idx="3">
                  <c:v>2013</c:v>
                </c:pt>
                <c:pt idx="4">
                  <c:v>2014</c:v>
                </c:pt>
              </c:numCache>
            </c:numRef>
          </c:cat>
          <c:val>
            <c:numRef>
              <c:f>Age!$B$44:$F$44</c:f>
              <c:numCache>
                <c:formatCode>0.0</c:formatCode>
                <c:ptCount val="5"/>
                <c:pt idx="0">
                  <c:v>38.5</c:v>
                </c:pt>
                <c:pt idx="1">
                  <c:v>26.1</c:v>
                </c:pt>
                <c:pt idx="2">
                  <c:v>37.5</c:v>
                </c:pt>
                <c:pt idx="3">
                  <c:v>33</c:v>
                </c:pt>
                <c:pt idx="4">
                  <c:v>35.200000000000003</c:v>
                </c:pt>
              </c:numCache>
            </c:numRef>
          </c:val>
          <c:smooth val="0"/>
          <c:extLst xmlns:c16r2="http://schemas.microsoft.com/office/drawing/2015/06/chart">
            <c:ext xmlns:c16="http://schemas.microsoft.com/office/drawing/2014/chart" uri="{C3380CC4-5D6E-409C-BE32-E72D297353CC}">
              <c16:uniqueId val="{00000003-1983-4594-854E-40DBE67FF4A4}"/>
            </c:ext>
          </c:extLst>
        </c:ser>
        <c:ser>
          <c:idx val="7"/>
          <c:order val="4"/>
          <c:tx>
            <c:strRef>
              <c:f>Age!$A$45</c:f>
              <c:strCache>
                <c:ptCount val="1"/>
                <c:pt idx="0">
                  <c:v>45 to 54</c:v>
                </c:pt>
              </c:strCache>
            </c:strRef>
          </c:tx>
          <c:spPr>
            <a:ln w="28575" cap="rnd" cmpd="sng" algn="ctr">
              <a:solidFill>
                <a:schemeClr val="accent3">
                  <a:lumMod val="80000"/>
                  <a:lumOff val="20000"/>
                  <a:shade val="95000"/>
                  <a:satMod val="105000"/>
                </a:schemeClr>
              </a:solidFill>
              <a:prstDash val="solid"/>
              <a:round/>
            </a:ln>
            <a:effectLst/>
          </c:spPr>
          <c:marker>
            <c:symbol val="plus"/>
            <c:size val="7"/>
            <c:spPr>
              <a:noFill/>
              <a:ln w="9525" cap="flat" cmpd="sng" algn="ctr">
                <a:solidFill>
                  <a:schemeClr val="accent3">
                    <a:lumMod val="80000"/>
                    <a:lumOff val="20000"/>
                    <a:shade val="95000"/>
                    <a:satMod val="105000"/>
                  </a:schemeClr>
                </a:solidFill>
                <a:prstDash val="solid"/>
                <a:round/>
              </a:ln>
              <a:effectLst/>
            </c:spPr>
          </c:marker>
          <c:cat>
            <c:numRef>
              <c:f>Age!$B$40:$F$40</c:f>
              <c:numCache>
                <c:formatCode>General</c:formatCode>
                <c:ptCount val="5"/>
                <c:pt idx="0">
                  <c:v>2010</c:v>
                </c:pt>
                <c:pt idx="1">
                  <c:v>2011</c:v>
                </c:pt>
                <c:pt idx="2">
                  <c:v>2012</c:v>
                </c:pt>
                <c:pt idx="3">
                  <c:v>2013</c:v>
                </c:pt>
                <c:pt idx="4">
                  <c:v>2014</c:v>
                </c:pt>
              </c:numCache>
            </c:numRef>
          </c:cat>
          <c:val>
            <c:numRef>
              <c:f>Age!$B$45:$F$45</c:f>
              <c:numCache>
                <c:formatCode>0.0</c:formatCode>
                <c:ptCount val="5"/>
                <c:pt idx="0">
                  <c:v>22.1</c:v>
                </c:pt>
                <c:pt idx="1">
                  <c:v>26.2</c:v>
                </c:pt>
                <c:pt idx="2">
                  <c:v>25</c:v>
                </c:pt>
                <c:pt idx="3">
                  <c:v>26.7</c:v>
                </c:pt>
                <c:pt idx="4">
                  <c:v>31.9</c:v>
                </c:pt>
              </c:numCache>
            </c:numRef>
          </c:val>
          <c:smooth val="0"/>
          <c:extLst xmlns:c16r2="http://schemas.microsoft.com/office/drawing/2015/06/chart">
            <c:ext xmlns:c16="http://schemas.microsoft.com/office/drawing/2014/chart" uri="{C3380CC4-5D6E-409C-BE32-E72D297353CC}">
              <c16:uniqueId val="{00000004-1983-4594-854E-40DBE67FF4A4}"/>
            </c:ext>
          </c:extLst>
        </c:ser>
        <c:ser>
          <c:idx val="0"/>
          <c:order val="5"/>
          <c:tx>
            <c:strRef>
              <c:f>Age!$A$46</c:f>
              <c:strCache>
                <c:ptCount val="1"/>
                <c:pt idx="0">
                  <c:v>55 to 64</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cat>
            <c:numRef>
              <c:f>Age!$B$40:$F$40</c:f>
              <c:numCache>
                <c:formatCode>General</c:formatCode>
                <c:ptCount val="5"/>
                <c:pt idx="0">
                  <c:v>2010</c:v>
                </c:pt>
                <c:pt idx="1">
                  <c:v>2011</c:v>
                </c:pt>
                <c:pt idx="2">
                  <c:v>2012</c:v>
                </c:pt>
                <c:pt idx="3">
                  <c:v>2013</c:v>
                </c:pt>
                <c:pt idx="4">
                  <c:v>2014</c:v>
                </c:pt>
              </c:numCache>
            </c:numRef>
          </c:cat>
          <c:val>
            <c:numRef>
              <c:f>Age!$B$46:$F$46</c:f>
              <c:numCache>
                <c:formatCode>0.0</c:formatCode>
                <c:ptCount val="5"/>
                <c:pt idx="0">
                  <c:v>13.1</c:v>
                </c:pt>
                <c:pt idx="1">
                  <c:v>11.5</c:v>
                </c:pt>
                <c:pt idx="2">
                  <c:v>7.6</c:v>
                </c:pt>
                <c:pt idx="3">
                  <c:v>13.5</c:v>
                </c:pt>
                <c:pt idx="4">
                  <c:v>14.4</c:v>
                </c:pt>
              </c:numCache>
            </c:numRef>
          </c:val>
          <c:smooth val="0"/>
          <c:extLst xmlns:c16r2="http://schemas.microsoft.com/office/drawing/2015/06/chart">
            <c:ext xmlns:c16="http://schemas.microsoft.com/office/drawing/2014/chart" uri="{C3380CC4-5D6E-409C-BE32-E72D297353CC}">
              <c16:uniqueId val="{00000005-1983-4594-854E-40DBE67FF4A4}"/>
            </c:ext>
          </c:extLst>
        </c:ser>
        <c:ser>
          <c:idx val="1"/>
          <c:order val="6"/>
          <c:tx>
            <c:strRef>
              <c:f>Age!$A$47</c:f>
              <c:strCache>
                <c:ptCount val="1"/>
                <c:pt idx="0">
                  <c:v>65 +</c:v>
                </c:pt>
              </c:strCache>
            </c:strRef>
          </c:tx>
          <c:spPr>
            <a:ln w="28575" cap="rnd" cmpd="sng" algn="ctr">
              <a:solidFill>
                <a:schemeClr val="accent3">
                  <a:shade val="95000"/>
                  <a:satMod val="105000"/>
                </a:schemeClr>
              </a:solidFill>
              <a:prstDash val="solid"/>
              <a:round/>
            </a:ln>
            <a:effectLst/>
          </c:spPr>
          <c:marker>
            <c:symbol val="triangle"/>
            <c:size val="7"/>
            <c:spPr>
              <a:solidFill>
                <a:schemeClr val="accent3"/>
              </a:solidFill>
              <a:ln w="9525" cap="flat" cmpd="sng" algn="ctr">
                <a:solidFill>
                  <a:schemeClr val="accent3">
                    <a:shade val="95000"/>
                    <a:satMod val="105000"/>
                  </a:schemeClr>
                </a:solidFill>
                <a:prstDash val="solid"/>
                <a:round/>
              </a:ln>
              <a:effectLst/>
            </c:spPr>
          </c:marker>
          <c:cat>
            <c:numRef>
              <c:f>Age!$B$40:$F$40</c:f>
              <c:numCache>
                <c:formatCode>General</c:formatCode>
                <c:ptCount val="5"/>
                <c:pt idx="0">
                  <c:v>2010</c:v>
                </c:pt>
                <c:pt idx="1">
                  <c:v>2011</c:v>
                </c:pt>
                <c:pt idx="2">
                  <c:v>2012</c:v>
                </c:pt>
                <c:pt idx="3">
                  <c:v>2013</c:v>
                </c:pt>
                <c:pt idx="4">
                  <c:v>2014</c:v>
                </c:pt>
              </c:numCache>
            </c:numRef>
          </c:cat>
          <c:val>
            <c:numRef>
              <c:f>Age!$B$47:$F$47</c:f>
              <c:numCache>
                <c:formatCode>0.0</c:formatCode>
                <c:ptCount val="5"/>
                <c:pt idx="0">
                  <c:v>3.2</c:v>
                </c:pt>
                <c:pt idx="1">
                  <c:v>3.7</c:v>
                </c:pt>
                <c:pt idx="2">
                  <c:v>3.6</c:v>
                </c:pt>
                <c:pt idx="3">
                  <c:v>2.2999999999999998</c:v>
                </c:pt>
                <c:pt idx="4">
                  <c:v>1.1000000000000001</c:v>
                </c:pt>
              </c:numCache>
            </c:numRef>
          </c:val>
          <c:smooth val="0"/>
          <c:extLst xmlns:c16r2="http://schemas.microsoft.com/office/drawing/2015/06/chart">
            <c:ext xmlns:c16="http://schemas.microsoft.com/office/drawing/2014/chart" uri="{C3380CC4-5D6E-409C-BE32-E72D297353CC}">
              <c16:uniqueId val="{00000006-1983-4594-854E-40DBE67FF4A4}"/>
            </c:ext>
          </c:extLst>
        </c:ser>
        <c:dLbls>
          <c:showLegendKey val="0"/>
          <c:showVal val="0"/>
          <c:showCatName val="0"/>
          <c:showSerName val="0"/>
          <c:showPercent val="0"/>
          <c:showBubbleSize val="0"/>
        </c:dLbls>
        <c:marker val="1"/>
        <c:smooth val="0"/>
        <c:axId val="-783073232"/>
        <c:axId val="-783063440"/>
      </c:lineChart>
      <c:catAx>
        <c:axId val="-78307323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3063440"/>
        <c:crosses val="autoZero"/>
        <c:auto val="1"/>
        <c:lblAlgn val="ctr"/>
        <c:lblOffset val="100"/>
        <c:noMultiLvlLbl val="0"/>
      </c:catAx>
      <c:valAx>
        <c:axId val="-78306344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t>Rate per 100,000</a:t>
                </a:r>
              </a:p>
            </c:rich>
          </c:tx>
          <c:layout>
            <c:manualLayout>
              <c:xMode val="edge"/>
              <c:yMode val="edge"/>
              <c:x val="6.4773860489149987E-2"/>
              <c:y val="0.11055305441358235"/>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3073232"/>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r>
              <a:rPr lang="en-US" sz="1100" b="1" i="0">
                <a:effectLst/>
              </a:rPr>
              <a:t>Figure 3.  </a:t>
            </a:r>
            <a:r>
              <a:rPr lang="en-US" sz="1100" b="1">
                <a:effectLst/>
              </a:rPr>
              <a:t>Annual Rate of New HIV Diagnoses in Nevada by County, 2010 —2014</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1"/>
          <c:order val="0"/>
          <c:tx>
            <c:strRef>
              <c:f>'County level'!$B$37</c:f>
              <c:strCache>
                <c:ptCount val="1"/>
                <c:pt idx="0">
                  <c:v>Clark</c:v>
                </c:pt>
              </c:strCache>
            </c:strRef>
          </c:tx>
          <c:spPr>
            <a:ln w="28575" cap="rnd" cmpd="sng" algn="ctr">
              <a:solidFill>
                <a:schemeClr val="accent3">
                  <a:shade val="95000"/>
                  <a:satMod val="105000"/>
                </a:schemeClr>
              </a:solidFill>
              <a:prstDash val="solid"/>
              <a:round/>
            </a:ln>
            <a:effectLst/>
          </c:spPr>
          <c:marker>
            <c:symbol val="diamond"/>
            <c:size val="7"/>
            <c:spPr>
              <a:solidFill>
                <a:schemeClr val="accent3"/>
              </a:solidFill>
              <a:ln w="9525" cap="flat" cmpd="sng" algn="ctr">
                <a:solidFill>
                  <a:schemeClr val="accent3">
                    <a:shade val="95000"/>
                    <a:satMod val="105000"/>
                  </a:schemeClr>
                </a:solidFill>
                <a:prstDash val="solid"/>
                <a:round/>
              </a:ln>
              <a:effectLst/>
            </c:spPr>
          </c:marker>
          <c:cat>
            <c:numRef>
              <c:f>'County level'!$A$38:$A$42</c:f>
              <c:numCache>
                <c:formatCode>General</c:formatCode>
                <c:ptCount val="5"/>
                <c:pt idx="0">
                  <c:v>2010</c:v>
                </c:pt>
                <c:pt idx="1">
                  <c:v>2011</c:v>
                </c:pt>
                <c:pt idx="2">
                  <c:v>2012</c:v>
                </c:pt>
                <c:pt idx="3">
                  <c:v>2013</c:v>
                </c:pt>
                <c:pt idx="4">
                  <c:v>2014</c:v>
                </c:pt>
              </c:numCache>
            </c:numRef>
          </c:cat>
          <c:val>
            <c:numRef>
              <c:f>'County level'!$B$38:$B$42</c:f>
              <c:numCache>
                <c:formatCode>0.0</c:formatCode>
                <c:ptCount val="5"/>
                <c:pt idx="0">
                  <c:v>17.5</c:v>
                </c:pt>
                <c:pt idx="1">
                  <c:v>17.8</c:v>
                </c:pt>
                <c:pt idx="2">
                  <c:v>16.5</c:v>
                </c:pt>
                <c:pt idx="3">
                  <c:v>19</c:v>
                </c:pt>
                <c:pt idx="4">
                  <c:v>18.7</c:v>
                </c:pt>
              </c:numCache>
            </c:numRef>
          </c:val>
          <c:smooth val="0"/>
          <c:extLst xmlns:c16r2="http://schemas.microsoft.com/office/drawing/2015/06/chart">
            <c:ext xmlns:c16="http://schemas.microsoft.com/office/drawing/2014/chart" uri="{C3380CC4-5D6E-409C-BE32-E72D297353CC}">
              <c16:uniqueId val="{00000000-6827-4D5A-88EC-173C4C1E2B8F}"/>
            </c:ext>
          </c:extLst>
        </c:ser>
        <c:ser>
          <c:idx val="2"/>
          <c:order val="1"/>
          <c:tx>
            <c:strRef>
              <c:f>'County level'!$C$37</c:f>
              <c:strCache>
                <c:ptCount val="1"/>
                <c:pt idx="0">
                  <c:v>Washoe</c:v>
                </c:pt>
              </c:strCache>
            </c:strRef>
          </c:tx>
          <c:spPr>
            <a:ln w="28575" cap="rnd" cmpd="sng" algn="ctr">
              <a:solidFill>
                <a:schemeClr val="accent5">
                  <a:shade val="95000"/>
                  <a:satMod val="105000"/>
                </a:schemeClr>
              </a:solidFill>
              <a:prstDash val="solid"/>
              <a:round/>
            </a:ln>
            <a:effectLst/>
          </c:spPr>
          <c:marker>
            <c:symbol val="square"/>
            <c:size val="7"/>
            <c:spPr>
              <a:solidFill>
                <a:schemeClr val="accent5"/>
              </a:solidFill>
              <a:ln w="9525" cap="flat" cmpd="sng" algn="ctr">
                <a:solidFill>
                  <a:schemeClr val="accent5">
                    <a:shade val="95000"/>
                    <a:satMod val="105000"/>
                  </a:schemeClr>
                </a:solidFill>
                <a:prstDash val="solid"/>
                <a:round/>
              </a:ln>
              <a:effectLst/>
            </c:spPr>
          </c:marker>
          <c:cat>
            <c:numRef>
              <c:f>'County level'!$A$38:$A$42</c:f>
              <c:numCache>
                <c:formatCode>General</c:formatCode>
                <c:ptCount val="5"/>
                <c:pt idx="0">
                  <c:v>2010</c:v>
                </c:pt>
                <c:pt idx="1">
                  <c:v>2011</c:v>
                </c:pt>
                <c:pt idx="2">
                  <c:v>2012</c:v>
                </c:pt>
                <c:pt idx="3">
                  <c:v>2013</c:v>
                </c:pt>
                <c:pt idx="4">
                  <c:v>2014</c:v>
                </c:pt>
              </c:numCache>
            </c:numRef>
          </c:cat>
          <c:val>
            <c:numRef>
              <c:f>'County level'!$C$38:$C$42</c:f>
              <c:numCache>
                <c:formatCode>0.0</c:formatCode>
                <c:ptCount val="5"/>
                <c:pt idx="0">
                  <c:v>6.7</c:v>
                </c:pt>
                <c:pt idx="1">
                  <c:v>7.1</c:v>
                </c:pt>
                <c:pt idx="2">
                  <c:v>6.9</c:v>
                </c:pt>
                <c:pt idx="3">
                  <c:v>8.8000000000000007</c:v>
                </c:pt>
                <c:pt idx="4">
                  <c:v>9.1999999999999993</c:v>
                </c:pt>
              </c:numCache>
            </c:numRef>
          </c:val>
          <c:smooth val="0"/>
          <c:extLst xmlns:c16r2="http://schemas.microsoft.com/office/drawing/2015/06/chart">
            <c:ext xmlns:c16="http://schemas.microsoft.com/office/drawing/2014/chart" uri="{C3380CC4-5D6E-409C-BE32-E72D297353CC}">
              <c16:uniqueId val="{00000001-6827-4D5A-88EC-173C4C1E2B8F}"/>
            </c:ext>
          </c:extLst>
        </c:ser>
        <c:ser>
          <c:idx val="3"/>
          <c:order val="2"/>
          <c:tx>
            <c:strRef>
              <c:f>'County level'!$D$37</c:f>
              <c:strCache>
                <c:ptCount val="1"/>
                <c:pt idx="0">
                  <c:v>All Other</c:v>
                </c:pt>
              </c:strCache>
            </c:strRef>
          </c:tx>
          <c:spPr>
            <a:ln w="28575" cap="rnd" cmpd="sng" algn="ctr">
              <a:solidFill>
                <a:schemeClr val="accent1">
                  <a:lumMod val="60000"/>
                  <a:shade val="95000"/>
                  <a:satMod val="105000"/>
                </a:schemeClr>
              </a:solidFill>
              <a:prstDash val="solid"/>
              <a:round/>
            </a:ln>
            <a:effectLst/>
          </c:spPr>
          <c:marker>
            <c:symbol val="triangle"/>
            <c:size val="7"/>
            <c:spPr>
              <a:solidFill>
                <a:schemeClr val="accent1">
                  <a:lumMod val="60000"/>
                </a:schemeClr>
              </a:solidFill>
              <a:ln w="9525" cap="flat" cmpd="sng" algn="ctr">
                <a:solidFill>
                  <a:schemeClr val="accent1">
                    <a:lumMod val="60000"/>
                    <a:shade val="95000"/>
                    <a:satMod val="105000"/>
                  </a:schemeClr>
                </a:solidFill>
                <a:prstDash val="solid"/>
                <a:round/>
              </a:ln>
              <a:effectLst/>
            </c:spPr>
          </c:marker>
          <c:cat>
            <c:numRef>
              <c:f>'County level'!$A$38:$A$42</c:f>
              <c:numCache>
                <c:formatCode>General</c:formatCode>
                <c:ptCount val="5"/>
                <c:pt idx="0">
                  <c:v>2010</c:v>
                </c:pt>
                <c:pt idx="1">
                  <c:v>2011</c:v>
                </c:pt>
                <c:pt idx="2">
                  <c:v>2012</c:v>
                </c:pt>
                <c:pt idx="3">
                  <c:v>2013</c:v>
                </c:pt>
                <c:pt idx="4">
                  <c:v>2014</c:v>
                </c:pt>
              </c:numCache>
            </c:numRef>
          </c:cat>
          <c:val>
            <c:numRef>
              <c:f>'County level'!$D$38:$D$42</c:f>
              <c:numCache>
                <c:formatCode>0.0</c:formatCode>
                <c:ptCount val="5"/>
                <c:pt idx="0">
                  <c:v>1.5</c:v>
                </c:pt>
                <c:pt idx="1">
                  <c:v>0.9</c:v>
                </c:pt>
                <c:pt idx="2">
                  <c:v>2.7</c:v>
                </c:pt>
                <c:pt idx="3">
                  <c:v>3</c:v>
                </c:pt>
                <c:pt idx="4">
                  <c:v>3.6</c:v>
                </c:pt>
              </c:numCache>
            </c:numRef>
          </c:val>
          <c:smooth val="0"/>
          <c:extLst xmlns:c16r2="http://schemas.microsoft.com/office/drawing/2015/06/chart">
            <c:ext xmlns:c16="http://schemas.microsoft.com/office/drawing/2014/chart" uri="{C3380CC4-5D6E-409C-BE32-E72D297353CC}">
              <c16:uniqueId val="{00000002-6827-4D5A-88EC-173C4C1E2B8F}"/>
            </c:ext>
          </c:extLst>
        </c:ser>
        <c:dLbls>
          <c:showLegendKey val="0"/>
          <c:showVal val="0"/>
          <c:showCatName val="0"/>
          <c:showSerName val="0"/>
          <c:showPercent val="0"/>
          <c:showBubbleSize val="0"/>
        </c:dLbls>
        <c:marker val="1"/>
        <c:smooth val="0"/>
        <c:axId val="-788184768"/>
        <c:axId val="-788183136"/>
      </c:lineChart>
      <c:catAx>
        <c:axId val="-78818476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8183136"/>
        <c:crosses val="autoZero"/>
        <c:auto val="1"/>
        <c:lblAlgn val="ctr"/>
        <c:lblOffset val="100"/>
        <c:noMultiLvlLbl val="0"/>
      </c:catAx>
      <c:valAx>
        <c:axId val="-788183136"/>
        <c:scaling>
          <c:orientation val="minMax"/>
        </c:scaling>
        <c:delete val="0"/>
        <c:axPos val="l"/>
        <c:majorGridlines>
          <c:spPr>
            <a:ln w="9525" cap="flat" cmpd="sng" algn="ctr">
              <a:solidFill>
                <a:schemeClr val="tx1">
                  <a:tint val="75000"/>
                  <a:shade val="95000"/>
                  <a:satMod val="105000"/>
                </a:schemeClr>
              </a:solidFill>
              <a:prstDash val="solid"/>
              <a:round/>
            </a:ln>
            <a:effectLst>
              <a:outerShdw blurRad="50800" dist="50800" dir="5400000" algn="ctr" rotWithShape="0">
                <a:schemeClr val="bg1"/>
              </a:outerShdw>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a:t>Rate per 100,000</a:t>
                </a:r>
              </a:p>
            </c:rich>
          </c:tx>
          <c:layout>
            <c:manualLayout>
              <c:xMode val="edge"/>
              <c:yMode val="edge"/>
              <c:x val="8.9452159389167257E-2"/>
              <c:y val="0.29824321959755029"/>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8184768"/>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a:outerShdw blurRad="50800" dist="50800" dir="5400000" algn="ctr" rotWithShape="0">
            <a:schemeClr val="bg1"/>
          </a:outerShdw>
        </a:effectLst>
      </c:spPr>
    </c:plotArea>
    <c:plotVisOnly val="1"/>
    <c:dispBlanksAs val="gap"/>
    <c:showDLblsOverMax val="0"/>
  </c:chart>
  <c:spPr>
    <a:noFill/>
    <a:ln w="9525" cap="flat" cmpd="sng" algn="ctr">
      <a:noFill/>
      <a:prstDash val="solid"/>
      <a:round/>
    </a:ln>
    <a:effectLst/>
  </c:spPr>
  <c:txPr>
    <a:bodyPr/>
    <a:lstStyle/>
    <a:p>
      <a:pPr>
        <a:defRPr sz="80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77546611983236"/>
          <c:y val="0.10360454217382925"/>
          <c:w val="0.76965066673167404"/>
          <c:h val="0.44592272295287022"/>
        </c:manualLayout>
      </c:layout>
      <c:lineChart>
        <c:grouping val="standard"/>
        <c:varyColors val="0"/>
        <c:ser>
          <c:idx val="4"/>
          <c:order val="0"/>
          <c:tx>
            <c:strRef>
              <c:f>Age!$A$65</c:f>
              <c:strCache>
                <c:ptCount val="1"/>
                <c:pt idx="0">
                  <c:v>&lt; 13</c:v>
                </c:pt>
              </c:strCache>
            </c:strRef>
          </c:tx>
          <c:spPr>
            <a:ln w="28575" cap="rnd" cmpd="sng" algn="ctr">
              <a:solidFill>
                <a:schemeClr val="accent3">
                  <a:lumMod val="60000"/>
                  <a:shade val="95000"/>
                  <a:satMod val="105000"/>
                </a:schemeClr>
              </a:solidFill>
              <a:prstDash val="solid"/>
              <a:round/>
            </a:ln>
            <a:effectLst/>
          </c:spPr>
          <c:marker>
            <c:symbol val="x"/>
            <c:size val="7"/>
            <c:spPr>
              <a:noFill/>
              <a:ln w="9525" cap="flat" cmpd="sng" algn="ctr">
                <a:solidFill>
                  <a:schemeClr val="accent3">
                    <a:lumMod val="60000"/>
                    <a:shade val="95000"/>
                    <a:satMod val="105000"/>
                  </a:schemeClr>
                </a:solidFill>
                <a:prstDash val="solid"/>
                <a:round/>
              </a:ln>
              <a:effectLst/>
            </c:spPr>
          </c:marker>
          <c:cat>
            <c:numRef>
              <c:f>Age!$B$64:$F$64</c:f>
              <c:numCache>
                <c:formatCode>General</c:formatCode>
                <c:ptCount val="5"/>
                <c:pt idx="0">
                  <c:v>2010</c:v>
                </c:pt>
                <c:pt idx="1">
                  <c:v>2011</c:v>
                </c:pt>
                <c:pt idx="2">
                  <c:v>2012</c:v>
                </c:pt>
                <c:pt idx="3">
                  <c:v>2013</c:v>
                </c:pt>
                <c:pt idx="4">
                  <c:v>2014</c:v>
                </c:pt>
              </c:numCache>
            </c:numRef>
          </c:cat>
          <c:val>
            <c:numRef>
              <c:f>Age!$B$65:$F$65</c:f>
              <c:numCache>
                <c:formatCode>0.0</c:formatCode>
                <c:ptCount val="5"/>
                <c:pt idx="0">
                  <c:v>0.4</c:v>
                </c:pt>
                <c:pt idx="1">
                  <c:v>0.4</c:v>
                </c:pt>
                <c:pt idx="2">
                  <c:v>0</c:v>
                </c:pt>
                <c:pt idx="3">
                  <c:v>0.8</c:v>
                </c:pt>
                <c:pt idx="4">
                  <c:v>0.8</c:v>
                </c:pt>
              </c:numCache>
            </c:numRef>
          </c:val>
          <c:smooth val="0"/>
          <c:extLst xmlns:c16r2="http://schemas.microsoft.com/office/drawing/2015/06/chart">
            <c:ext xmlns:c16="http://schemas.microsoft.com/office/drawing/2014/chart" uri="{C3380CC4-5D6E-409C-BE32-E72D297353CC}">
              <c16:uniqueId val="{00000000-26B7-4313-AAC5-CE103724DA65}"/>
            </c:ext>
          </c:extLst>
        </c:ser>
        <c:ser>
          <c:idx val="5"/>
          <c:order val="1"/>
          <c:tx>
            <c:strRef>
              <c:f>Age!$A$66</c:f>
              <c:strCache>
                <c:ptCount val="1"/>
                <c:pt idx="0">
                  <c:v>13 to 24</c:v>
                </c:pt>
              </c:strCache>
            </c:strRef>
          </c:tx>
          <c:spPr>
            <a:ln w="28575" cap="rnd" cmpd="sng" algn="ctr">
              <a:solidFill>
                <a:schemeClr val="accent5">
                  <a:lumMod val="60000"/>
                  <a:shade val="95000"/>
                  <a:satMod val="105000"/>
                </a:schemeClr>
              </a:solidFill>
              <a:prstDash val="solid"/>
              <a:round/>
            </a:ln>
            <a:effectLst/>
          </c:spPr>
          <c:marker>
            <c:symbol val="square"/>
            <c:size val="7"/>
            <c:spPr>
              <a:solidFill>
                <a:schemeClr val="accent5">
                  <a:lumMod val="60000"/>
                </a:schemeClr>
              </a:solidFill>
              <a:ln w="9525" cap="flat" cmpd="sng" algn="ctr">
                <a:solidFill>
                  <a:schemeClr val="accent5">
                    <a:lumMod val="60000"/>
                    <a:shade val="95000"/>
                    <a:satMod val="105000"/>
                  </a:schemeClr>
                </a:solidFill>
                <a:prstDash val="solid"/>
                <a:round/>
              </a:ln>
              <a:effectLst/>
            </c:spPr>
          </c:marker>
          <c:cat>
            <c:numRef>
              <c:f>Age!$B$64:$F$64</c:f>
              <c:numCache>
                <c:formatCode>General</c:formatCode>
                <c:ptCount val="5"/>
                <c:pt idx="0">
                  <c:v>2010</c:v>
                </c:pt>
                <c:pt idx="1">
                  <c:v>2011</c:v>
                </c:pt>
                <c:pt idx="2">
                  <c:v>2012</c:v>
                </c:pt>
                <c:pt idx="3">
                  <c:v>2013</c:v>
                </c:pt>
                <c:pt idx="4">
                  <c:v>2014</c:v>
                </c:pt>
              </c:numCache>
            </c:numRef>
          </c:cat>
          <c:val>
            <c:numRef>
              <c:f>Age!$B$66:$F$66</c:f>
              <c:numCache>
                <c:formatCode>0.0</c:formatCode>
                <c:ptCount val="5"/>
                <c:pt idx="0">
                  <c:v>5.2</c:v>
                </c:pt>
                <c:pt idx="1">
                  <c:v>4.7</c:v>
                </c:pt>
                <c:pt idx="2">
                  <c:v>1.5</c:v>
                </c:pt>
                <c:pt idx="3">
                  <c:v>5</c:v>
                </c:pt>
                <c:pt idx="4">
                  <c:v>4</c:v>
                </c:pt>
              </c:numCache>
            </c:numRef>
          </c:val>
          <c:smooth val="0"/>
          <c:extLst xmlns:c16r2="http://schemas.microsoft.com/office/drawing/2015/06/chart">
            <c:ext xmlns:c16="http://schemas.microsoft.com/office/drawing/2014/chart" uri="{C3380CC4-5D6E-409C-BE32-E72D297353CC}">
              <c16:uniqueId val="{00000001-26B7-4313-AAC5-CE103724DA65}"/>
            </c:ext>
          </c:extLst>
        </c:ser>
        <c:ser>
          <c:idx val="6"/>
          <c:order val="2"/>
          <c:tx>
            <c:strRef>
              <c:f>Age!$A$67</c:f>
              <c:strCache>
                <c:ptCount val="1"/>
                <c:pt idx="0">
                  <c:v>25 to 34</c:v>
                </c:pt>
              </c:strCache>
            </c:strRef>
          </c:tx>
          <c:spPr>
            <a:ln w="28575" cap="rnd" cmpd="sng" algn="ctr">
              <a:solidFill>
                <a:schemeClr val="accent1">
                  <a:lumMod val="80000"/>
                  <a:lumOff val="20000"/>
                  <a:shade val="95000"/>
                  <a:satMod val="105000"/>
                </a:schemeClr>
              </a:solidFill>
              <a:prstDash val="solid"/>
              <a:round/>
            </a:ln>
            <a:effectLst/>
          </c:spPr>
          <c:marker>
            <c:symbol val="circle"/>
            <c:size val="7"/>
            <c:spPr>
              <a:solidFill>
                <a:schemeClr val="accent1">
                  <a:lumMod val="80000"/>
                  <a:lumOff val="20000"/>
                </a:schemeClr>
              </a:solidFill>
              <a:ln w="9525" cap="flat" cmpd="sng" algn="ctr">
                <a:solidFill>
                  <a:schemeClr val="accent1">
                    <a:lumMod val="80000"/>
                    <a:lumOff val="20000"/>
                    <a:shade val="95000"/>
                    <a:satMod val="105000"/>
                  </a:schemeClr>
                </a:solidFill>
                <a:prstDash val="solid"/>
                <a:round/>
              </a:ln>
              <a:effectLst/>
            </c:spPr>
          </c:marker>
          <c:cat>
            <c:numRef>
              <c:f>Age!$B$64:$F$64</c:f>
              <c:numCache>
                <c:formatCode>General</c:formatCode>
                <c:ptCount val="5"/>
                <c:pt idx="0">
                  <c:v>2010</c:v>
                </c:pt>
                <c:pt idx="1">
                  <c:v>2011</c:v>
                </c:pt>
                <c:pt idx="2">
                  <c:v>2012</c:v>
                </c:pt>
                <c:pt idx="3">
                  <c:v>2013</c:v>
                </c:pt>
                <c:pt idx="4">
                  <c:v>2014</c:v>
                </c:pt>
              </c:numCache>
            </c:numRef>
          </c:cat>
          <c:val>
            <c:numRef>
              <c:f>Age!$B$67:$F$67</c:f>
              <c:numCache>
                <c:formatCode>0.0</c:formatCode>
                <c:ptCount val="5"/>
                <c:pt idx="0">
                  <c:v>8.1</c:v>
                </c:pt>
                <c:pt idx="1">
                  <c:v>7.6</c:v>
                </c:pt>
                <c:pt idx="2">
                  <c:v>6</c:v>
                </c:pt>
                <c:pt idx="3">
                  <c:v>7</c:v>
                </c:pt>
                <c:pt idx="4">
                  <c:v>10.7</c:v>
                </c:pt>
              </c:numCache>
            </c:numRef>
          </c:val>
          <c:smooth val="0"/>
          <c:extLst xmlns:c16r2="http://schemas.microsoft.com/office/drawing/2015/06/chart">
            <c:ext xmlns:c16="http://schemas.microsoft.com/office/drawing/2014/chart" uri="{C3380CC4-5D6E-409C-BE32-E72D297353CC}">
              <c16:uniqueId val="{00000002-26B7-4313-AAC5-CE103724DA65}"/>
            </c:ext>
          </c:extLst>
        </c:ser>
        <c:ser>
          <c:idx val="7"/>
          <c:order val="3"/>
          <c:tx>
            <c:strRef>
              <c:f>Age!$A$68</c:f>
              <c:strCache>
                <c:ptCount val="1"/>
                <c:pt idx="0">
                  <c:v>35 to 44</c:v>
                </c:pt>
              </c:strCache>
            </c:strRef>
          </c:tx>
          <c:spPr>
            <a:ln w="28575" cap="rnd" cmpd="sng" algn="ctr">
              <a:solidFill>
                <a:schemeClr val="accent3">
                  <a:lumMod val="80000"/>
                  <a:lumOff val="20000"/>
                  <a:shade val="95000"/>
                  <a:satMod val="105000"/>
                </a:schemeClr>
              </a:solidFill>
              <a:prstDash val="solid"/>
              <a:round/>
            </a:ln>
            <a:effectLst/>
          </c:spPr>
          <c:marker>
            <c:symbol val="none"/>
          </c:marker>
          <c:cat>
            <c:numRef>
              <c:f>Age!$B$64:$F$64</c:f>
              <c:numCache>
                <c:formatCode>General</c:formatCode>
                <c:ptCount val="5"/>
                <c:pt idx="0">
                  <c:v>2010</c:v>
                </c:pt>
                <c:pt idx="1">
                  <c:v>2011</c:v>
                </c:pt>
                <c:pt idx="2">
                  <c:v>2012</c:v>
                </c:pt>
                <c:pt idx="3">
                  <c:v>2013</c:v>
                </c:pt>
                <c:pt idx="4">
                  <c:v>2014</c:v>
                </c:pt>
              </c:numCache>
            </c:numRef>
          </c:cat>
          <c:val>
            <c:numRef>
              <c:f>Age!$B$68:$F$68</c:f>
              <c:numCache>
                <c:formatCode>0.0</c:formatCode>
                <c:ptCount val="5"/>
                <c:pt idx="0">
                  <c:v>9</c:v>
                </c:pt>
                <c:pt idx="1">
                  <c:v>5.3</c:v>
                </c:pt>
                <c:pt idx="2">
                  <c:v>7.4</c:v>
                </c:pt>
                <c:pt idx="3">
                  <c:v>4.7</c:v>
                </c:pt>
                <c:pt idx="4">
                  <c:v>5.0999999999999996</c:v>
                </c:pt>
              </c:numCache>
            </c:numRef>
          </c:val>
          <c:smooth val="0"/>
          <c:extLst xmlns:c16r2="http://schemas.microsoft.com/office/drawing/2015/06/chart">
            <c:ext xmlns:c16="http://schemas.microsoft.com/office/drawing/2014/chart" uri="{C3380CC4-5D6E-409C-BE32-E72D297353CC}">
              <c16:uniqueId val="{00000003-26B7-4313-AAC5-CE103724DA65}"/>
            </c:ext>
          </c:extLst>
        </c:ser>
        <c:ser>
          <c:idx val="0"/>
          <c:order val="4"/>
          <c:tx>
            <c:strRef>
              <c:f>Age!$A$69</c:f>
              <c:strCache>
                <c:ptCount val="1"/>
                <c:pt idx="0">
                  <c:v>45 to 54</c:v>
                </c:pt>
              </c:strCache>
            </c:strRef>
          </c:tx>
          <c:spPr>
            <a:ln w="28575" cap="rnd" cmpd="sng" algn="ctr">
              <a:solidFill>
                <a:schemeClr val="accent1">
                  <a:shade val="95000"/>
                  <a:satMod val="105000"/>
                </a:schemeClr>
              </a:solidFill>
              <a:prstDash val="solid"/>
              <a:round/>
            </a:ln>
            <a:effectLst/>
          </c:spPr>
          <c:marker>
            <c:symbol val="plus"/>
            <c:size val="7"/>
            <c:spPr>
              <a:noFill/>
              <a:ln w="9525" cap="flat" cmpd="sng" algn="ctr">
                <a:solidFill>
                  <a:schemeClr val="accent1">
                    <a:shade val="95000"/>
                    <a:satMod val="105000"/>
                  </a:schemeClr>
                </a:solidFill>
                <a:prstDash val="solid"/>
                <a:round/>
              </a:ln>
              <a:effectLst/>
            </c:spPr>
          </c:marker>
          <c:cat>
            <c:numRef>
              <c:f>Age!$B$64:$F$64</c:f>
              <c:numCache>
                <c:formatCode>General</c:formatCode>
                <c:ptCount val="5"/>
                <c:pt idx="0">
                  <c:v>2010</c:v>
                </c:pt>
                <c:pt idx="1">
                  <c:v>2011</c:v>
                </c:pt>
                <c:pt idx="2">
                  <c:v>2012</c:v>
                </c:pt>
                <c:pt idx="3">
                  <c:v>2013</c:v>
                </c:pt>
                <c:pt idx="4">
                  <c:v>2014</c:v>
                </c:pt>
              </c:numCache>
            </c:numRef>
          </c:cat>
          <c:val>
            <c:numRef>
              <c:f>Age!$B$69:$F$69</c:f>
              <c:numCache>
                <c:formatCode>0.0</c:formatCode>
                <c:ptCount val="5"/>
                <c:pt idx="0">
                  <c:v>5.5</c:v>
                </c:pt>
                <c:pt idx="1">
                  <c:v>6</c:v>
                </c:pt>
                <c:pt idx="2">
                  <c:v>5.5</c:v>
                </c:pt>
                <c:pt idx="3">
                  <c:v>9.1999999999999993</c:v>
                </c:pt>
                <c:pt idx="4">
                  <c:v>7.4</c:v>
                </c:pt>
              </c:numCache>
            </c:numRef>
          </c:val>
          <c:smooth val="0"/>
          <c:extLst xmlns:c16r2="http://schemas.microsoft.com/office/drawing/2015/06/chart">
            <c:ext xmlns:c16="http://schemas.microsoft.com/office/drawing/2014/chart" uri="{C3380CC4-5D6E-409C-BE32-E72D297353CC}">
              <c16:uniqueId val="{00000004-26B7-4313-AAC5-CE103724DA65}"/>
            </c:ext>
          </c:extLst>
        </c:ser>
        <c:ser>
          <c:idx val="1"/>
          <c:order val="5"/>
          <c:tx>
            <c:strRef>
              <c:f>Age!$A$70</c:f>
              <c:strCache>
                <c:ptCount val="1"/>
                <c:pt idx="0">
                  <c:v>55 to 64</c:v>
                </c:pt>
              </c:strCache>
            </c:strRef>
          </c:tx>
          <c:spPr>
            <a:ln w="28575" cap="rnd" cmpd="sng" algn="ctr">
              <a:solidFill>
                <a:schemeClr val="accent3">
                  <a:shade val="95000"/>
                  <a:satMod val="105000"/>
                </a:schemeClr>
              </a:solidFill>
              <a:prstDash val="solid"/>
              <a:round/>
            </a:ln>
            <a:effectLst/>
          </c:spPr>
          <c:marker>
            <c:symbol val="diamond"/>
            <c:size val="7"/>
            <c:spPr>
              <a:solidFill>
                <a:schemeClr val="accent3"/>
              </a:solidFill>
              <a:ln w="9525" cap="flat" cmpd="sng" algn="ctr">
                <a:solidFill>
                  <a:schemeClr val="accent3">
                    <a:shade val="95000"/>
                    <a:satMod val="105000"/>
                  </a:schemeClr>
                </a:solidFill>
                <a:prstDash val="solid"/>
                <a:round/>
              </a:ln>
              <a:effectLst/>
            </c:spPr>
          </c:marker>
          <c:cat>
            <c:numRef>
              <c:f>Age!$B$64:$F$64</c:f>
              <c:numCache>
                <c:formatCode>General</c:formatCode>
                <c:ptCount val="5"/>
                <c:pt idx="0">
                  <c:v>2010</c:v>
                </c:pt>
                <c:pt idx="1">
                  <c:v>2011</c:v>
                </c:pt>
                <c:pt idx="2">
                  <c:v>2012</c:v>
                </c:pt>
                <c:pt idx="3">
                  <c:v>2013</c:v>
                </c:pt>
                <c:pt idx="4">
                  <c:v>2014</c:v>
                </c:pt>
              </c:numCache>
            </c:numRef>
          </c:cat>
          <c:val>
            <c:numRef>
              <c:f>Age!$B$70:$F$70</c:f>
              <c:numCache>
                <c:formatCode>0.0</c:formatCode>
                <c:ptCount val="5"/>
                <c:pt idx="0">
                  <c:v>5.7</c:v>
                </c:pt>
                <c:pt idx="1">
                  <c:v>4.9000000000000004</c:v>
                </c:pt>
                <c:pt idx="2">
                  <c:v>4.3</c:v>
                </c:pt>
                <c:pt idx="3">
                  <c:v>3.6</c:v>
                </c:pt>
                <c:pt idx="4">
                  <c:v>0.6</c:v>
                </c:pt>
              </c:numCache>
            </c:numRef>
          </c:val>
          <c:smooth val="0"/>
          <c:extLst xmlns:c16r2="http://schemas.microsoft.com/office/drawing/2015/06/chart">
            <c:ext xmlns:c16="http://schemas.microsoft.com/office/drawing/2014/chart" uri="{C3380CC4-5D6E-409C-BE32-E72D297353CC}">
              <c16:uniqueId val="{00000005-26B7-4313-AAC5-CE103724DA65}"/>
            </c:ext>
          </c:extLst>
        </c:ser>
        <c:ser>
          <c:idx val="2"/>
          <c:order val="6"/>
          <c:tx>
            <c:strRef>
              <c:f>Age!$A$71</c:f>
              <c:strCache>
                <c:ptCount val="1"/>
                <c:pt idx="0">
                  <c:v>65 +</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Age!$B$64:$F$64</c:f>
              <c:numCache>
                <c:formatCode>General</c:formatCode>
                <c:ptCount val="5"/>
                <c:pt idx="0">
                  <c:v>2010</c:v>
                </c:pt>
                <c:pt idx="1">
                  <c:v>2011</c:v>
                </c:pt>
                <c:pt idx="2">
                  <c:v>2012</c:v>
                </c:pt>
                <c:pt idx="3">
                  <c:v>2013</c:v>
                </c:pt>
                <c:pt idx="4">
                  <c:v>2014</c:v>
                </c:pt>
              </c:numCache>
            </c:numRef>
          </c:cat>
          <c:val>
            <c:numRef>
              <c:f>Age!$B$71:$F$71</c:f>
              <c:numCache>
                <c:formatCode>0.0</c:formatCode>
                <c:ptCount val="5"/>
                <c:pt idx="0">
                  <c:v>0.6</c:v>
                </c:pt>
                <c:pt idx="1">
                  <c:v>0</c:v>
                </c:pt>
                <c:pt idx="2">
                  <c:v>0</c:v>
                </c:pt>
                <c:pt idx="3">
                  <c:v>0</c:v>
                </c:pt>
                <c:pt idx="4">
                  <c:v>0.5</c:v>
                </c:pt>
              </c:numCache>
            </c:numRef>
          </c:val>
          <c:smooth val="0"/>
          <c:extLst xmlns:c16r2="http://schemas.microsoft.com/office/drawing/2015/06/chart">
            <c:ext xmlns:c16="http://schemas.microsoft.com/office/drawing/2014/chart" uri="{C3380CC4-5D6E-409C-BE32-E72D297353CC}">
              <c16:uniqueId val="{00000006-26B7-4313-AAC5-CE103724DA65}"/>
            </c:ext>
          </c:extLst>
        </c:ser>
        <c:dLbls>
          <c:showLegendKey val="0"/>
          <c:showVal val="0"/>
          <c:showCatName val="0"/>
          <c:showSerName val="0"/>
          <c:showPercent val="0"/>
          <c:showBubbleSize val="0"/>
        </c:dLbls>
        <c:marker val="1"/>
        <c:smooth val="0"/>
        <c:axId val="-783065072"/>
        <c:axId val="-783067248"/>
      </c:lineChart>
      <c:catAx>
        <c:axId val="-78306507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3067248"/>
        <c:crosses val="autoZero"/>
        <c:auto val="1"/>
        <c:lblAlgn val="ctr"/>
        <c:lblOffset val="100"/>
        <c:noMultiLvlLbl val="0"/>
      </c:catAx>
      <c:valAx>
        <c:axId val="-78306724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a:t>Rate per 100,000</a:t>
                </a:r>
              </a:p>
            </c:rich>
          </c:tx>
          <c:layout>
            <c:manualLayout>
              <c:xMode val="edge"/>
              <c:yMode val="edge"/>
              <c:x val="5.5001571311346621E-2"/>
              <c:y val="0.15565436630665877"/>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3065072"/>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Age!$A$140</c:f>
              <c:strCache>
                <c:ptCount val="1"/>
                <c:pt idx="0">
                  <c:v>&lt; 13</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Age!$B$139:$F$139</c:f>
              <c:numCache>
                <c:formatCode>General</c:formatCode>
                <c:ptCount val="5"/>
                <c:pt idx="0">
                  <c:v>2010</c:v>
                </c:pt>
                <c:pt idx="1">
                  <c:v>2011</c:v>
                </c:pt>
                <c:pt idx="2">
                  <c:v>2012</c:v>
                </c:pt>
                <c:pt idx="3">
                  <c:v>2013</c:v>
                </c:pt>
                <c:pt idx="4">
                  <c:v>2014</c:v>
                </c:pt>
              </c:numCache>
            </c:numRef>
          </c:cat>
          <c:val>
            <c:numRef>
              <c:f>Age!$B$140:$F$140</c:f>
              <c:numCache>
                <c:formatCode>#,##0.0</c:formatCode>
                <c:ptCount val="5"/>
                <c:pt idx="0">
                  <c:v>3</c:v>
                </c:pt>
                <c:pt idx="1">
                  <c:v>2.2000000000000002</c:v>
                </c:pt>
                <c:pt idx="2">
                  <c:v>1.9</c:v>
                </c:pt>
                <c:pt idx="3">
                  <c:v>1.8</c:v>
                </c:pt>
                <c:pt idx="4">
                  <c:v>1.8</c:v>
                </c:pt>
              </c:numCache>
            </c:numRef>
          </c:val>
          <c:smooth val="0"/>
          <c:extLst xmlns:c16r2="http://schemas.microsoft.com/office/drawing/2015/06/chart">
            <c:ext xmlns:c16="http://schemas.microsoft.com/office/drawing/2014/chart" uri="{C3380CC4-5D6E-409C-BE32-E72D297353CC}">
              <c16:uniqueId val="{00000000-64CD-4974-802D-CD3D9F15DC07}"/>
            </c:ext>
          </c:extLst>
        </c:ser>
        <c:ser>
          <c:idx val="4"/>
          <c:order val="1"/>
          <c:tx>
            <c:strRef>
              <c:f>Age!$A$141</c:f>
              <c:strCache>
                <c:ptCount val="1"/>
                <c:pt idx="0">
                  <c:v>13 to 24</c:v>
                </c:pt>
              </c:strCache>
            </c:strRef>
          </c:tx>
          <c:spPr>
            <a:ln w="28575" cap="rnd" cmpd="sng" algn="ctr">
              <a:solidFill>
                <a:schemeClr val="accent3">
                  <a:lumMod val="60000"/>
                  <a:shade val="95000"/>
                  <a:satMod val="105000"/>
                </a:schemeClr>
              </a:solidFill>
              <a:prstDash val="solid"/>
              <a:round/>
            </a:ln>
            <a:effectLst/>
          </c:spPr>
          <c:marker>
            <c:spPr>
              <a:noFill/>
              <a:ln w="9525" cap="flat" cmpd="sng" algn="ctr">
                <a:solidFill>
                  <a:schemeClr val="accent3">
                    <a:lumMod val="60000"/>
                    <a:shade val="95000"/>
                    <a:satMod val="105000"/>
                  </a:schemeClr>
                </a:solidFill>
                <a:prstDash val="solid"/>
                <a:round/>
              </a:ln>
              <a:effectLst/>
            </c:spPr>
          </c:marker>
          <c:cat>
            <c:numRef>
              <c:f>Age!$B$139:$F$139</c:f>
              <c:numCache>
                <c:formatCode>General</c:formatCode>
                <c:ptCount val="5"/>
                <c:pt idx="0">
                  <c:v>2010</c:v>
                </c:pt>
                <c:pt idx="1">
                  <c:v>2011</c:v>
                </c:pt>
                <c:pt idx="2">
                  <c:v>2012</c:v>
                </c:pt>
                <c:pt idx="3">
                  <c:v>2013</c:v>
                </c:pt>
                <c:pt idx="4">
                  <c:v>2014</c:v>
                </c:pt>
              </c:numCache>
            </c:numRef>
          </c:cat>
          <c:val>
            <c:numRef>
              <c:f>Age!$B$141:$F$141</c:f>
              <c:numCache>
                <c:formatCode>#,##0.0</c:formatCode>
                <c:ptCount val="5"/>
                <c:pt idx="0">
                  <c:v>99.3</c:v>
                </c:pt>
                <c:pt idx="1">
                  <c:v>118.4</c:v>
                </c:pt>
                <c:pt idx="2">
                  <c:v>124.1</c:v>
                </c:pt>
                <c:pt idx="3">
                  <c:v>131.9</c:v>
                </c:pt>
                <c:pt idx="4">
                  <c:v>139.6</c:v>
                </c:pt>
              </c:numCache>
            </c:numRef>
          </c:val>
          <c:smooth val="0"/>
          <c:extLst xmlns:c16r2="http://schemas.microsoft.com/office/drawing/2015/06/chart">
            <c:ext xmlns:c16="http://schemas.microsoft.com/office/drawing/2014/chart" uri="{C3380CC4-5D6E-409C-BE32-E72D297353CC}">
              <c16:uniqueId val="{00000001-64CD-4974-802D-CD3D9F15DC07}"/>
            </c:ext>
          </c:extLst>
        </c:ser>
        <c:ser>
          <c:idx val="5"/>
          <c:order val="2"/>
          <c:tx>
            <c:strRef>
              <c:f>Age!$A$142</c:f>
              <c:strCache>
                <c:ptCount val="1"/>
                <c:pt idx="0">
                  <c:v>25 to 34</c:v>
                </c:pt>
              </c:strCache>
            </c:strRef>
          </c:tx>
          <c:spPr>
            <a:ln w="28575" cap="rnd" cmpd="sng" algn="ctr">
              <a:solidFill>
                <a:schemeClr val="accent5">
                  <a:lumMod val="60000"/>
                  <a:shade val="95000"/>
                  <a:satMod val="105000"/>
                </a:schemeClr>
              </a:solidFill>
              <a:prstDash val="solid"/>
              <a:round/>
            </a:ln>
            <a:effectLst/>
          </c:spPr>
          <c:marker>
            <c:spPr>
              <a:solidFill>
                <a:schemeClr val="accent5">
                  <a:lumMod val="60000"/>
                </a:schemeClr>
              </a:solidFill>
              <a:ln w="9525" cap="flat" cmpd="sng" algn="ctr">
                <a:solidFill>
                  <a:schemeClr val="accent5">
                    <a:lumMod val="60000"/>
                    <a:shade val="95000"/>
                    <a:satMod val="105000"/>
                  </a:schemeClr>
                </a:solidFill>
                <a:prstDash val="solid"/>
                <a:round/>
              </a:ln>
              <a:effectLst/>
            </c:spPr>
          </c:marker>
          <c:cat>
            <c:numRef>
              <c:f>Age!$B$139:$F$139</c:f>
              <c:numCache>
                <c:formatCode>General</c:formatCode>
                <c:ptCount val="5"/>
                <c:pt idx="0">
                  <c:v>2010</c:v>
                </c:pt>
                <c:pt idx="1">
                  <c:v>2011</c:v>
                </c:pt>
                <c:pt idx="2">
                  <c:v>2012</c:v>
                </c:pt>
                <c:pt idx="3">
                  <c:v>2013</c:v>
                </c:pt>
                <c:pt idx="4">
                  <c:v>2014</c:v>
                </c:pt>
              </c:numCache>
            </c:numRef>
          </c:cat>
          <c:val>
            <c:numRef>
              <c:f>Age!$B$142:$F$142</c:f>
              <c:numCache>
                <c:formatCode>#,##0.0</c:formatCode>
                <c:ptCount val="5"/>
                <c:pt idx="0">
                  <c:v>493.8</c:v>
                </c:pt>
                <c:pt idx="1">
                  <c:v>528.1</c:v>
                </c:pt>
                <c:pt idx="2">
                  <c:v>566.5</c:v>
                </c:pt>
                <c:pt idx="3">
                  <c:v>607.4</c:v>
                </c:pt>
                <c:pt idx="4">
                  <c:v>683.5</c:v>
                </c:pt>
              </c:numCache>
            </c:numRef>
          </c:val>
          <c:smooth val="0"/>
          <c:extLst xmlns:c16r2="http://schemas.microsoft.com/office/drawing/2015/06/chart">
            <c:ext xmlns:c16="http://schemas.microsoft.com/office/drawing/2014/chart" uri="{C3380CC4-5D6E-409C-BE32-E72D297353CC}">
              <c16:uniqueId val="{00000002-64CD-4974-802D-CD3D9F15DC07}"/>
            </c:ext>
          </c:extLst>
        </c:ser>
        <c:ser>
          <c:idx val="6"/>
          <c:order val="3"/>
          <c:tx>
            <c:strRef>
              <c:f>Age!$A$143</c:f>
              <c:strCache>
                <c:ptCount val="1"/>
                <c:pt idx="0">
                  <c:v>35 to 44</c:v>
                </c:pt>
              </c:strCache>
            </c:strRef>
          </c:tx>
          <c:spPr>
            <a:ln w="28575" cap="rnd" cmpd="sng" algn="ctr">
              <a:solidFill>
                <a:schemeClr val="accent1">
                  <a:lumMod val="80000"/>
                  <a:lumOff val="20000"/>
                  <a:shade val="95000"/>
                  <a:satMod val="105000"/>
                </a:schemeClr>
              </a:solidFill>
              <a:prstDash val="solid"/>
              <a:round/>
            </a:ln>
            <a:effectLst/>
          </c:spPr>
          <c:marker>
            <c:symbol val="none"/>
          </c:marker>
          <c:cat>
            <c:numRef>
              <c:f>Age!$B$139:$F$139</c:f>
              <c:numCache>
                <c:formatCode>General</c:formatCode>
                <c:ptCount val="5"/>
                <c:pt idx="0">
                  <c:v>2010</c:v>
                </c:pt>
                <c:pt idx="1">
                  <c:v>2011</c:v>
                </c:pt>
                <c:pt idx="2">
                  <c:v>2012</c:v>
                </c:pt>
                <c:pt idx="3">
                  <c:v>2013</c:v>
                </c:pt>
                <c:pt idx="4">
                  <c:v>2014</c:v>
                </c:pt>
              </c:numCache>
            </c:numRef>
          </c:cat>
          <c:val>
            <c:numRef>
              <c:f>Age!$B$143:$F$143</c:f>
              <c:numCache>
                <c:formatCode>#,##0.0</c:formatCode>
                <c:ptCount val="5"/>
                <c:pt idx="0">
                  <c:v>998.2</c:v>
                </c:pt>
                <c:pt idx="1">
                  <c:v>935.4</c:v>
                </c:pt>
                <c:pt idx="2">
                  <c:v>889.4</c:v>
                </c:pt>
                <c:pt idx="3">
                  <c:v>862.3</c:v>
                </c:pt>
                <c:pt idx="4">
                  <c:v>867.5</c:v>
                </c:pt>
              </c:numCache>
            </c:numRef>
          </c:val>
          <c:smooth val="0"/>
          <c:extLst xmlns:c16r2="http://schemas.microsoft.com/office/drawing/2015/06/chart">
            <c:ext xmlns:c16="http://schemas.microsoft.com/office/drawing/2014/chart" uri="{C3380CC4-5D6E-409C-BE32-E72D297353CC}">
              <c16:uniqueId val="{00000003-64CD-4974-802D-CD3D9F15DC07}"/>
            </c:ext>
          </c:extLst>
        </c:ser>
        <c:ser>
          <c:idx val="7"/>
          <c:order val="4"/>
          <c:tx>
            <c:strRef>
              <c:f>Age!$A$144</c:f>
              <c:strCache>
                <c:ptCount val="1"/>
                <c:pt idx="0">
                  <c:v>45 to 54</c:v>
                </c:pt>
              </c:strCache>
            </c:strRef>
          </c:tx>
          <c:spPr>
            <a:ln w="28575" cap="rnd" cmpd="sng" algn="ctr">
              <a:solidFill>
                <a:schemeClr val="accent3">
                  <a:lumMod val="80000"/>
                  <a:lumOff val="20000"/>
                  <a:shade val="95000"/>
                  <a:satMod val="105000"/>
                </a:schemeClr>
              </a:solidFill>
              <a:prstDash val="solid"/>
              <a:round/>
            </a:ln>
            <a:effectLst/>
          </c:spPr>
          <c:marker>
            <c:symbol val="plus"/>
            <c:size val="7"/>
            <c:spPr>
              <a:noFill/>
              <a:ln w="9525" cap="flat" cmpd="sng" algn="ctr">
                <a:solidFill>
                  <a:schemeClr val="accent3">
                    <a:lumMod val="80000"/>
                    <a:lumOff val="20000"/>
                    <a:shade val="95000"/>
                    <a:satMod val="105000"/>
                  </a:schemeClr>
                </a:solidFill>
                <a:prstDash val="solid"/>
                <a:round/>
              </a:ln>
              <a:effectLst/>
            </c:spPr>
          </c:marker>
          <c:cat>
            <c:numRef>
              <c:f>Age!$B$139:$F$139</c:f>
              <c:numCache>
                <c:formatCode>General</c:formatCode>
                <c:ptCount val="5"/>
                <c:pt idx="0">
                  <c:v>2010</c:v>
                </c:pt>
                <c:pt idx="1">
                  <c:v>2011</c:v>
                </c:pt>
                <c:pt idx="2">
                  <c:v>2012</c:v>
                </c:pt>
                <c:pt idx="3">
                  <c:v>2013</c:v>
                </c:pt>
                <c:pt idx="4">
                  <c:v>2014</c:v>
                </c:pt>
              </c:numCache>
            </c:numRef>
          </c:cat>
          <c:val>
            <c:numRef>
              <c:f>Age!$B$144:$F$144</c:f>
              <c:numCache>
                <c:formatCode>#,##0.0</c:formatCode>
                <c:ptCount val="5"/>
                <c:pt idx="0">
                  <c:v>1298</c:v>
                </c:pt>
                <c:pt idx="1">
                  <c:v>1356.9</c:v>
                </c:pt>
                <c:pt idx="2">
                  <c:v>1384.8</c:v>
                </c:pt>
                <c:pt idx="3">
                  <c:v>1396.3</c:v>
                </c:pt>
                <c:pt idx="4">
                  <c:v>1440.2</c:v>
                </c:pt>
              </c:numCache>
            </c:numRef>
          </c:val>
          <c:smooth val="0"/>
          <c:extLst xmlns:c16r2="http://schemas.microsoft.com/office/drawing/2015/06/chart">
            <c:ext xmlns:c16="http://schemas.microsoft.com/office/drawing/2014/chart" uri="{C3380CC4-5D6E-409C-BE32-E72D297353CC}">
              <c16:uniqueId val="{00000004-64CD-4974-802D-CD3D9F15DC07}"/>
            </c:ext>
          </c:extLst>
        </c:ser>
        <c:ser>
          <c:idx val="0"/>
          <c:order val="5"/>
          <c:tx>
            <c:strRef>
              <c:f>Age!$A$145</c:f>
              <c:strCache>
                <c:ptCount val="1"/>
                <c:pt idx="0">
                  <c:v>55 to 64</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cat>
            <c:numRef>
              <c:f>Age!$B$139:$F$139</c:f>
              <c:numCache>
                <c:formatCode>General</c:formatCode>
                <c:ptCount val="5"/>
                <c:pt idx="0">
                  <c:v>2010</c:v>
                </c:pt>
                <c:pt idx="1">
                  <c:v>2011</c:v>
                </c:pt>
                <c:pt idx="2">
                  <c:v>2012</c:v>
                </c:pt>
                <c:pt idx="3">
                  <c:v>2013</c:v>
                </c:pt>
                <c:pt idx="4">
                  <c:v>2014</c:v>
                </c:pt>
              </c:numCache>
            </c:numRef>
          </c:cat>
          <c:val>
            <c:numRef>
              <c:f>Age!$B$145:$F$145</c:f>
              <c:numCache>
                <c:formatCode>#,##0.0</c:formatCode>
                <c:ptCount val="5"/>
                <c:pt idx="0">
                  <c:v>596.79999999999995</c:v>
                </c:pt>
                <c:pt idx="1">
                  <c:v>645.79999999999995</c:v>
                </c:pt>
                <c:pt idx="2">
                  <c:v>704.1</c:v>
                </c:pt>
                <c:pt idx="3">
                  <c:v>781.8</c:v>
                </c:pt>
                <c:pt idx="4">
                  <c:v>874.2</c:v>
                </c:pt>
              </c:numCache>
            </c:numRef>
          </c:val>
          <c:smooth val="0"/>
          <c:extLst xmlns:c16r2="http://schemas.microsoft.com/office/drawing/2015/06/chart">
            <c:ext xmlns:c16="http://schemas.microsoft.com/office/drawing/2014/chart" uri="{C3380CC4-5D6E-409C-BE32-E72D297353CC}">
              <c16:uniqueId val="{00000005-64CD-4974-802D-CD3D9F15DC07}"/>
            </c:ext>
          </c:extLst>
        </c:ser>
        <c:ser>
          <c:idx val="1"/>
          <c:order val="6"/>
          <c:tx>
            <c:strRef>
              <c:f>Age!$A$146</c:f>
              <c:strCache>
                <c:ptCount val="1"/>
                <c:pt idx="0">
                  <c:v>65 +</c:v>
                </c:pt>
              </c:strCache>
            </c:strRef>
          </c:tx>
          <c:spPr>
            <a:ln w="28575" cap="rnd" cmpd="sng" algn="ctr">
              <a:solidFill>
                <a:schemeClr val="accent3">
                  <a:shade val="95000"/>
                  <a:satMod val="105000"/>
                </a:schemeClr>
              </a:solidFill>
              <a:prstDash val="solid"/>
              <a:round/>
            </a:ln>
            <a:effectLst/>
          </c:spPr>
          <c:marker>
            <c:symbol val="triangle"/>
            <c:size val="7"/>
            <c:spPr>
              <a:solidFill>
                <a:schemeClr val="accent3"/>
              </a:solidFill>
              <a:ln w="9525" cap="flat" cmpd="sng" algn="ctr">
                <a:solidFill>
                  <a:schemeClr val="accent3">
                    <a:shade val="95000"/>
                    <a:satMod val="105000"/>
                  </a:schemeClr>
                </a:solidFill>
                <a:prstDash val="solid"/>
                <a:round/>
              </a:ln>
              <a:effectLst/>
            </c:spPr>
          </c:marker>
          <c:cat>
            <c:numRef>
              <c:f>Age!$B$139:$F$139</c:f>
              <c:numCache>
                <c:formatCode>General</c:formatCode>
                <c:ptCount val="5"/>
                <c:pt idx="0">
                  <c:v>2010</c:v>
                </c:pt>
                <c:pt idx="1">
                  <c:v>2011</c:v>
                </c:pt>
                <c:pt idx="2">
                  <c:v>2012</c:v>
                </c:pt>
                <c:pt idx="3">
                  <c:v>2013</c:v>
                </c:pt>
                <c:pt idx="4">
                  <c:v>2014</c:v>
                </c:pt>
              </c:numCache>
            </c:numRef>
          </c:cat>
          <c:val>
            <c:numRef>
              <c:f>Age!$B$146:$F$146</c:f>
              <c:numCache>
                <c:formatCode>#,##0.0</c:formatCode>
                <c:ptCount val="5"/>
                <c:pt idx="0">
                  <c:v>145.69999999999999</c:v>
                </c:pt>
                <c:pt idx="1">
                  <c:v>165.8</c:v>
                </c:pt>
                <c:pt idx="2">
                  <c:v>183.1</c:v>
                </c:pt>
                <c:pt idx="3">
                  <c:v>212</c:v>
                </c:pt>
                <c:pt idx="4">
                  <c:v>245.1</c:v>
                </c:pt>
              </c:numCache>
            </c:numRef>
          </c:val>
          <c:smooth val="0"/>
          <c:extLst xmlns:c16r2="http://schemas.microsoft.com/office/drawing/2015/06/chart">
            <c:ext xmlns:c16="http://schemas.microsoft.com/office/drawing/2014/chart" uri="{C3380CC4-5D6E-409C-BE32-E72D297353CC}">
              <c16:uniqueId val="{00000006-64CD-4974-802D-CD3D9F15DC07}"/>
            </c:ext>
          </c:extLst>
        </c:ser>
        <c:dLbls>
          <c:showLegendKey val="0"/>
          <c:showVal val="0"/>
          <c:showCatName val="0"/>
          <c:showSerName val="0"/>
          <c:showPercent val="0"/>
          <c:showBubbleSize val="0"/>
        </c:dLbls>
        <c:marker val="1"/>
        <c:smooth val="0"/>
        <c:axId val="-783059088"/>
        <c:axId val="-783061808"/>
      </c:lineChart>
      <c:catAx>
        <c:axId val="-78305908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3061808"/>
        <c:crosses val="autoZero"/>
        <c:auto val="1"/>
        <c:lblAlgn val="ctr"/>
        <c:lblOffset val="100"/>
        <c:noMultiLvlLbl val="0"/>
      </c:catAx>
      <c:valAx>
        <c:axId val="-78306180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a:t>Rate per 100,000</a:t>
                </a:r>
              </a:p>
            </c:rich>
          </c:tx>
          <c:layout>
            <c:manualLayout>
              <c:xMode val="edge"/>
              <c:yMode val="edge"/>
              <c:x val="3.0563652947636837E-2"/>
              <c:y val="0.13380249343832087"/>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3059088"/>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noFill/>
    <a:ln w="9525" cap="flat" cmpd="sng" algn="ctr">
      <a:noFill/>
      <a:prstDash val="solid"/>
      <a:round/>
    </a:ln>
    <a:effectLst/>
  </c:spPr>
  <c:txPr>
    <a:bodyPr/>
    <a:lstStyle/>
    <a:p>
      <a:pPr>
        <a:defRPr sz="8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64432265501486"/>
          <c:y val="6.9639513242662848E-2"/>
          <c:w val="0.76509642368128972"/>
          <c:h val="0.42624328322596039"/>
        </c:manualLayout>
      </c:layout>
      <c:lineChart>
        <c:grouping val="standard"/>
        <c:varyColors val="0"/>
        <c:ser>
          <c:idx val="4"/>
          <c:order val="0"/>
          <c:tx>
            <c:strRef>
              <c:f>Age!$A$165</c:f>
              <c:strCache>
                <c:ptCount val="1"/>
                <c:pt idx="0">
                  <c:v>&lt; 13</c:v>
                </c:pt>
              </c:strCache>
            </c:strRef>
          </c:tx>
          <c:spPr>
            <a:ln w="28575" cap="rnd" cmpd="sng" algn="ctr">
              <a:solidFill>
                <a:schemeClr val="accent3">
                  <a:lumMod val="60000"/>
                  <a:shade val="95000"/>
                  <a:satMod val="105000"/>
                </a:schemeClr>
              </a:solidFill>
              <a:prstDash val="solid"/>
              <a:round/>
            </a:ln>
            <a:effectLst/>
          </c:spPr>
          <c:marker>
            <c:symbol val="x"/>
            <c:size val="7"/>
            <c:spPr>
              <a:noFill/>
              <a:ln w="9525" cap="flat" cmpd="sng" algn="ctr">
                <a:solidFill>
                  <a:schemeClr val="accent3">
                    <a:lumMod val="60000"/>
                    <a:shade val="95000"/>
                    <a:satMod val="105000"/>
                  </a:schemeClr>
                </a:solidFill>
                <a:prstDash val="solid"/>
                <a:round/>
              </a:ln>
              <a:effectLst/>
            </c:spPr>
          </c:marker>
          <c:cat>
            <c:numRef>
              <c:f>Age!$B$164:$F$164</c:f>
              <c:numCache>
                <c:formatCode>General</c:formatCode>
                <c:ptCount val="5"/>
                <c:pt idx="0">
                  <c:v>2010</c:v>
                </c:pt>
                <c:pt idx="1">
                  <c:v>2011</c:v>
                </c:pt>
                <c:pt idx="2">
                  <c:v>2012</c:v>
                </c:pt>
                <c:pt idx="3">
                  <c:v>2013</c:v>
                </c:pt>
                <c:pt idx="4">
                  <c:v>2014</c:v>
                </c:pt>
              </c:numCache>
            </c:numRef>
          </c:cat>
          <c:val>
            <c:numRef>
              <c:f>Age!$B$165:$F$165</c:f>
              <c:numCache>
                <c:formatCode>0.0</c:formatCode>
                <c:ptCount val="5"/>
                <c:pt idx="0">
                  <c:v>3.1</c:v>
                </c:pt>
                <c:pt idx="1">
                  <c:v>2.4</c:v>
                </c:pt>
                <c:pt idx="2">
                  <c:v>2.2999999999999998</c:v>
                </c:pt>
                <c:pt idx="3">
                  <c:v>3.1</c:v>
                </c:pt>
                <c:pt idx="4">
                  <c:v>3.1</c:v>
                </c:pt>
              </c:numCache>
            </c:numRef>
          </c:val>
          <c:smooth val="0"/>
          <c:extLst xmlns:c16r2="http://schemas.microsoft.com/office/drawing/2015/06/chart">
            <c:ext xmlns:c16="http://schemas.microsoft.com/office/drawing/2014/chart" uri="{C3380CC4-5D6E-409C-BE32-E72D297353CC}">
              <c16:uniqueId val="{00000000-18B9-4BB5-9BD7-9AA5901C766F}"/>
            </c:ext>
          </c:extLst>
        </c:ser>
        <c:ser>
          <c:idx val="5"/>
          <c:order val="1"/>
          <c:tx>
            <c:strRef>
              <c:f>Age!$A$166</c:f>
              <c:strCache>
                <c:ptCount val="1"/>
                <c:pt idx="0">
                  <c:v>13 to 24</c:v>
                </c:pt>
              </c:strCache>
            </c:strRef>
          </c:tx>
          <c:spPr>
            <a:ln w="28575" cap="rnd" cmpd="sng" algn="ctr">
              <a:solidFill>
                <a:schemeClr val="accent5">
                  <a:lumMod val="60000"/>
                  <a:shade val="95000"/>
                  <a:satMod val="105000"/>
                </a:schemeClr>
              </a:solidFill>
              <a:prstDash val="solid"/>
              <a:round/>
            </a:ln>
            <a:effectLst/>
          </c:spPr>
          <c:marker>
            <c:symbol val="square"/>
            <c:size val="7"/>
            <c:spPr>
              <a:solidFill>
                <a:schemeClr val="accent5">
                  <a:lumMod val="60000"/>
                </a:schemeClr>
              </a:solidFill>
              <a:ln w="9525" cap="flat" cmpd="sng" algn="ctr">
                <a:solidFill>
                  <a:schemeClr val="accent5">
                    <a:lumMod val="60000"/>
                    <a:shade val="95000"/>
                    <a:satMod val="105000"/>
                  </a:schemeClr>
                </a:solidFill>
                <a:prstDash val="solid"/>
                <a:round/>
              </a:ln>
              <a:effectLst/>
            </c:spPr>
          </c:marker>
          <c:cat>
            <c:numRef>
              <c:f>Age!$B$164:$F$164</c:f>
              <c:numCache>
                <c:formatCode>General</c:formatCode>
                <c:ptCount val="5"/>
                <c:pt idx="0">
                  <c:v>2010</c:v>
                </c:pt>
                <c:pt idx="1">
                  <c:v>2011</c:v>
                </c:pt>
                <c:pt idx="2">
                  <c:v>2012</c:v>
                </c:pt>
                <c:pt idx="3">
                  <c:v>2013</c:v>
                </c:pt>
                <c:pt idx="4">
                  <c:v>2014</c:v>
                </c:pt>
              </c:numCache>
            </c:numRef>
          </c:cat>
          <c:val>
            <c:numRef>
              <c:f>Age!$B$166:$F$166</c:f>
              <c:numCache>
                <c:formatCode>0.0</c:formatCode>
                <c:ptCount val="5"/>
                <c:pt idx="0">
                  <c:v>31.6</c:v>
                </c:pt>
                <c:pt idx="1">
                  <c:v>29.5</c:v>
                </c:pt>
                <c:pt idx="2">
                  <c:v>25.6</c:v>
                </c:pt>
                <c:pt idx="3">
                  <c:v>27.5</c:v>
                </c:pt>
                <c:pt idx="4">
                  <c:v>27.3</c:v>
                </c:pt>
              </c:numCache>
            </c:numRef>
          </c:val>
          <c:smooth val="0"/>
          <c:extLst xmlns:c16r2="http://schemas.microsoft.com/office/drawing/2015/06/chart">
            <c:ext xmlns:c16="http://schemas.microsoft.com/office/drawing/2014/chart" uri="{C3380CC4-5D6E-409C-BE32-E72D297353CC}">
              <c16:uniqueId val="{00000001-18B9-4BB5-9BD7-9AA5901C766F}"/>
            </c:ext>
          </c:extLst>
        </c:ser>
        <c:ser>
          <c:idx val="6"/>
          <c:order val="2"/>
          <c:tx>
            <c:strRef>
              <c:f>Age!$A$167</c:f>
              <c:strCache>
                <c:ptCount val="1"/>
                <c:pt idx="0">
                  <c:v>25 to 34</c:v>
                </c:pt>
              </c:strCache>
            </c:strRef>
          </c:tx>
          <c:spPr>
            <a:ln w="28575" cap="rnd" cmpd="sng" algn="ctr">
              <a:solidFill>
                <a:schemeClr val="accent1">
                  <a:lumMod val="80000"/>
                  <a:lumOff val="20000"/>
                  <a:shade val="95000"/>
                  <a:satMod val="105000"/>
                </a:schemeClr>
              </a:solidFill>
              <a:prstDash val="solid"/>
              <a:round/>
            </a:ln>
            <a:effectLst/>
          </c:spPr>
          <c:marker>
            <c:symbol val="circle"/>
            <c:size val="7"/>
            <c:spPr>
              <a:solidFill>
                <a:schemeClr val="accent1">
                  <a:lumMod val="80000"/>
                  <a:lumOff val="20000"/>
                </a:schemeClr>
              </a:solidFill>
              <a:ln w="9525" cap="flat" cmpd="sng" algn="ctr">
                <a:solidFill>
                  <a:schemeClr val="accent1">
                    <a:lumMod val="80000"/>
                    <a:lumOff val="20000"/>
                    <a:shade val="95000"/>
                    <a:satMod val="105000"/>
                  </a:schemeClr>
                </a:solidFill>
                <a:prstDash val="solid"/>
                <a:round/>
              </a:ln>
              <a:effectLst/>
            </c:spPr>
          </c:marker>
          <c:cat>
            <c:numRef>
              <c:f>Age!$B$164:$F$164</c:f>
              <c:numCache>
                <c:formatCode>General</c:formatCode>
                <c:ptCount val="5"/>
                <c:pt idx="0">
                  <c:v>2010</c:v>
                </c:pt>
                <c:pt idx="1">
                  <c:v>2011</c:v>
                </c:pt>
                <c:pt idx="2">
                  <c:v>2012</c:v>
                </c:pt>
                <c:pt idx="3">
                  <c:v>2013</c:v>
                </c:pt>
                <c:pt idx="4">
                  <c:v>2014</c:v>
                </c:pt>
              </c:numCache>
            </c:numRef>
          </c:cat>
          <c:val>
            <c:numRef>
              <c:f>Age!$B$167:$F$167</c:f>
              <c:numCache>
                <c:formatCode>0.0</c:formatCode>
                <c:ptCount val="5"/>
                <c:pt idx="0">
                  <c:v>117</c:v>
                </c:pt>
                <c:pt idx="1">
                  <c:v>124.3</c:v>
                </c:pt>
                <c:pt idx="2">
                  <c:v>117.8</c:v>
                </c:pt>
                <c:pt idx="3">
                  <c:v>117</c:v>
                </c:pt>
                <c:pt idx="4">
                  <c:v>118.7</c:v>
                </c:pt>
              </c:numCache>
            </c:numRef>
          </c:val>
          <c:smooth val="0"/>
          <c:extLst xmlns:c16r2="http://schemas.microsoft.com/office/drawing/2015/06/chart">
            <c:ext xmlns:c16="http://schemas.microsoft.com/office/drawing/2014/chart" uri="{C3380CC4-5D6E-409C-BE32-E72D297353CC}">
              <c16:uniqueId val="{00000002-18B9-4BB5-9BD7-9AA5901C766F}"/>
            </c:ext>
          </c:extLst>
        </c:ser>
        <c:ser>
          <c:idx val="7"/>
          <c:order val="3"/>
          <c:tx>
            <c:strRef>
              <c:f>Age!$A$168</c:f>
              <c:strCache>
                <c:ptCount val="1"/>
                <c:pt idx="0">
                  <c:v>35 to 44</c:v>
                </c:pt>
              </c:strCache>
            </c:strRef>
          </c:tx>
          <c:spPr>
            <a:ln w="28575" cap="rnd" cmpd="sng" algn="ctr">
              <a:solidFill>
                <a:schemeClr val="accent3">
                  <a:lumMod val="80000"/>
                  <a:lumOff val="20000"/>
                  <a:shade val="95000"/>
                  <a:satMod val="105000"/>
                </a:schemeClr>
              </a:solidFill>
              <a:prstDash val="solid"/>
              <a:round/>
            </a:ln>
            <a:effectLst/>
          </c:spPr>
          <c:marker>
            <c:spPr>
              <a:solidFill>
                <a:schemeClr val="accent3">
                  <a:lumMod val="80000"/>
                  <a:lumOff val="20000"/>
                </a:schemeClr>
              </a:solidFill>
              <a:ln w="9525" cap="flat" cmpd="sng" algn="ctr">
                <a:solidFill>
                  <a:schemeClr val="accent3">
                    <a:lumMod val="80000"/>
                    <a:lumOff val="20000"/>
                    <a:shade val="95000"/>
                    <a:satMod val="105000"/>
                  </a:schemeClr>
                </a:solidFill>
                <a:prstDash val="solid"/>
                <a:round/>
              </a:ln>
              <a:effectLst/>
            </c:spPr>
          </c:marker>
          <c:cat>
            <c:numRef>
              <c:f>Age!$B$164:$F$164</c:f>
              <c:numCache>
                <c:formatCode>General</c:formatCode>
                <c:ptCount val="5"/>
                <c:pt idx="0">
                  <c:v>2010</c:v>
                </c:pt>
                <c:pt idx="1">
                  <c:v>2011</c:v>
                </c:pt>
                <c:pt idx="2">
                  <c:v>2012</c:v>
                </c:pt>
                <c:pt idx="3">
                  <c:v>2013</c:v>
                </c:pt>
                <c:pt idx="4">
                  <c:v>2014</c:v>
                </c:pt>
              </c:numCache>
            </c:numRef>
          </c:cat>
          <c:val>
            <c:numRef>
              <c:f>Age!$B$168:$F$168</c:f>
              <c:numCache>
                <c:formatCode>0.0</c:formatCode>
                <c:ptCount val="5"/>
                <c:pt idx="0">
                  <c:v>227.2</c:v>
                </c:pt>
                <c:pt idx="1">
                  <c:v>220</c:v>
                </c:pt>
                <c:pt idx="2">
                  <c:v>211.6</c:v>
                </c:pt>
                <c:pt idx="3">
                  <c:v>200.9</c:v>
                </c:pt>
                <c:pt idx="4">
                  <c:v>196.8</c:v>
                </c:pt>
              </c:numCache>
            </c:numRef>
          </c:val>
          <c:smooth val="0"/>
          <c:extLst xmlns:c16r2="http://schemas.microsoft.com/office/drawing/2015/06/chart">
            <c:ext xmlns:c16="http://schemas.microsoft.com/office/drawing/2014/chart" uri="{C3380CC4-5D6E-409C-BE32-E72D297353CC}">
              <c16:uniqueId val="{00000003-18B9-4BB5-9BD7-9AA5901C766F}"/>
            </c:ext>
          </c:extLst>
        </c:ser>
        <c:ser>
          <c:idx val="0"/>
          <c:order val="4"/>
          <c:tx>
            <c:strRef>
              <c:f>Age!$A$169</c:f>
              <c:strCache>
                <c:ptCount val="1"/>
                <c:pt idx="0">
                  <c:v>45 to 54</c:v>
                </c:pt>
              </c:strCache>
            </c:strRef>
          </c:tx>
          <c:spPr>
            <a:ln w="28575" cap="rnd" cmpd="sng" algn="ctr">
              <a:solidFill>
                <a:schemeClr val="accent1">
                  <a:shade val="95000"/>
                  <a:satMod val="105000"/>
                </a:schemeClr>
              </a:solidFill>
              <a:prstDash val="solid"/>
              <a:round/>
            </a:ln>
            <a:effectLst/>
          </c:spPr>
          <c:marker>
            <c:symbol val="plus"/>
            <c:size val="7"/>
            <c:spPr>
              <a:noFill/>
              <a:ln w="9525" cap="flat" cmpd="sng" algn="ctr">
                <a:solidFill>
                  <a:schemeClr val="accent1">
                    <a:shade val="95000"/>
                    <a:satMod val="105000"/>
                  </a:schemeClr>
                </a:solidFill>
                <a:prstDash val="solid"/>
                <a:round/>
              </a:ln>
              <a:effectLst/>
            </c:spPr>
          </c:marker>
          <c:cat>
            <c:numRef>
              <c:f>Age!$B$164:$F$164</c:f>
              <c:numCache>
                <c:formatCode>General</c:formatCode>
                <c:ptCount val="5"/>
                <c:pt idx="0">
                  <c:v>2010</c:v>
                </c:pt>
                <c:pt idx="1">
                  <c:v>2011</c:v>
                </c:pt>
                <c:pt idx="2">
                  <c:v>2012</c:v>
                </c:pt>
                <c:pt idx="3">
                  <c:v>2013</c:v>
                </c:pt>
                <c:pt idx="4">
                  <c:v>2014</c:v>
                </c:pt>
              </c:numCache>
            </c:numRef>
          </c:cat>
          <c:val>
            <c:numRef>
              <c:f>Age!$B$169:$F$169</c:f>
              <c:numCache>
                <c:formatCode>0.0</c:formatCode>
                <c:ptCount val="5"/>
                <c:pt idx="0">
                  <c:v>238.1</c:v>
                </c:pt>
                <c:pt idx="1">
                  <c:v>245.2</c:v>
                </c:pt>
                <c:pt idx="2">
                  <c:v>244.9</c:v>
                </c:pt>
                <c:pt idx="3">
                  <c:v>253.5</c:v>
                </c:pt>
                <c:pt idx="4">
                  <c:v>263.8</c:v>
                </c:pt>
              </c:numCache>
            </c:numRef>
          </c:val>
          <c:smooth val="0"/>
          <c:extLst xmlns:c16r2="http://schemas.microsoft.com/office/drawing/2015/06/chart">
            <c:ext xmlns:c16="http://schemas.microsoft.com/office/drawing/2014/chart" uri="{C3380CC4-5D6E-409C-BE32-E72D297353CC}">
              <c16:uniqueId val="{00000004-18B9-4BB5-9BD7-9AA5901C766F}"/>
            </c:ext>
          </c:extLst>
        </c:ser>
        <c:ser>
          <c:idx val="1"/>
          <c:order val="5"/>
          <c:tx>
            <c:strRef>
              <c:f>Age!$A$170</c:f>
              <c:strCache>
                <c:ptCount val="1"/>
                <c:pt idx="0">
                  <c:v>55 to 64</c:v>
                </c:pt>
              </c:strCache>
            </c:strRef>
          </c:tx>
          <c:spPr>
            <a:ln w="28575" cap="rnd" cmpd="sng" algn="ctr">
              <a:solidFill>
                <a:schemeClr val="accent3">
                  <a:shade val="95000"/>
                  <a:satMod val="105000"/>
                </a:schemeClr>
              </a:solidFill>
              <a:prstDash val="solid"/>
              <a:round/>
            </a:ln>
            <a:effectLst/>
          </c:spPr>
          <c:marker>
            <c:symbol val="diamond"/>
            <c:size val="7"/>
            <c:spPr>
              <a:solidFill>
                <a:schemeClr val="accent3"/>
              </a:solidFill>
              <a:ln w="9525" cap="flat" cmpd="sng" algn="ctr">
                <a:solidFill>
                  <a:schemeClr val="accent3">
                    <a:shade val="95000"/>
                    <a:satMod val="105000"/>
                  </a:schemeClr>
                </a:solidFill>
                <a:prstDash val="solid"/>
                <a:round/>
              </a:ln>
              <a:effectLst/>
            </c:spPr>
          </c:marker>
          <c:cat>
            <c:numRef>
              <c:f>Age!$B$164:$F$164</c:f>
              <c:numCache>
                <c:formatCode>General</c:formatCode>
                <c:ptCount val="5"/>
                <c:pt idx="0">
                  <c:v>2010</c:v>
                </c:pt>
                <c:pt idx="1">
                  <c:v>2011</c:v>
                </c:pt>
                <c:pt idx="2">
                  <c:v>2012</c:v>
                </c:pt>
                <c:pt idx="3">
                  <c:v>2013</c:v>
                </c:pt>
                <c:pt idx="4">
                  <c:v>2014</c:v>
                </c:pt>
              </c:numCache>
            </c:numRef>
          </c:cat>
          <c:val>
            <c:numRef>
              <c:f>Age!$B$170:$F$170</c:f>
              <c:numCache>
                <c:formatCode>0.0</c:formatCode>
                <c:ptCount val="5"/>
                <c:pt idx="0">
                  <c:v>108.2</c:v>
                </c:pt>
                <c:pt idx="1">
                  <c:v>119.8</c:v>
                </c:pt>
                <c:pt idx="2">
                  <c:v>130.1</c:v>
                </c:pt>
                <c:pt idx="3">
                  <c:v>143.1</c:v>
                </c:pt>
                <c:pt idx="4">
                  <c:v>159.1</c:v>
                </c:pt>
              </c:numCache>
            </c:numRef>
          </c:val>
          <c:smooth val="0"/>
          <c:extLst xmlns:c16r2="http://schemas.microsoft.com/office/drawing/2015/06/chart">
            <c:ext xmlns:c16="http://schemas.microsoft.com/office/drawing/2014/chart" uri="{C3380CC4-5D6E-409C-BE32-E72D297353CC}">
              <c16:uniqueId val="{00000005-18B9-4BB5-9BD7-9AA5901C766F}"/>
            </c:ext>
          </c:extLst>
        </c:ser>
        <c:ser>
          <c:idx val="2"/>
          <c:order val="6"/>
          <c:tx>
            <c:strRef>
              <c:f>Age!$A$171</c:f>
              <c:strCache>
                <c:ptCount val="1"/>
                <c:pt idx="0">
                  <c:v>65 +</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Age!$B$164:$F$164</c:f>
              <c:numCache>
                <c:formatCode>General</c:formatCode>
                <c:ptCount val="5"/>
                <c:pt idx="0">
                  <c:v>2010</c:v>
                </c:pt>
                <c:pt idx="1">
                  <c:v>2011</c:v>
                </c:pt>
                <c:pt idx="2">
                  <c:v>2012</c:v>
                </c:pt>
                <c:pt idx="3">
                  <c:v>2013</c:v>
                </c:pt>
                <c:pt idx="4">
                  <c:v>2014</c:v>
                </c:pt>
              </c:numCache>
            </c:numRef>
          </c:cat>
          <c:val>
            <c:numRef>
              <c:f>Age!$B$171:$F$171</c:f>
              <c:numCache>
                <c:formatCode>0.0</c:formatCode>
                <c:ptCount val="5"/>
                <c:pt idx="0">
                  <c:v>25.4</c:v>
                </c:pt>
                <c:pt idx="1">
                  <c:v>24.6</c:v>
                </c:pt>
                <c:pt idx="2">
                  <c:v>30.9</c:v>
                </c:pt>
                <c:pt idx="3">
                  <c:v>37.6</c:v>
                </c:pt>
                <c:pt idx="4">
                  <c:v>43.1</c:v>
                </c:pt>
              </c:numCache>
            </c:numRef>
          </c:val>
          <c:smooth val="0"/>
          <c:extLst xmlns:c16r2="http://schemas.microsoft.com/office/drawing/2015/06/chart">
            <c:ext xmlns:c16="http://schemas.microsoft.com/office/drawing/2014/chart" uri="{C3380CC4-5D6E-409C-BE32-E72D297353CC}">
              <c16:uniqueId val="{00000006-18B9-4BB5-9BD7-9AA5901C766F}"/>
            </c:ext>
          </c:extLst>
        </c:ser>
        <c:dLbls>
          <c:showLegendKey val="0"/>
          <c:showVal val="0"/>
          <c:showCatName val="0"/>
          <c:showSerName val="0"/>
          <c:showPercent val="0"/>
          <c:showBubbleSize val="0"/>
        </c:dLbls>
        <c:marker val="1"/>
        <c:smooth val="0"/>
        <c:axId val="-783073776"/>
        <c:axId val="-783072688"/>
      </c:lineChart>
      <c:catAx>
        <c:axId val="-78307377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3072688"/>
        <c:crosses val="autoZero"/>
        <c:auto val="1"/>
        <c:lblAlgn val="ctr"/>
        <c:lblOffset val="100"/>
        <c:noMultiLvlLbl val="0"/>
      </c:catAx>
      <c:valAx>
        <c:axId val="-78307268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t>Rate per 100,000</a:t>
                </a:r>
              </a:p>
            </c:rich>
          </c:tx>
          <c:layout>
            <c:manualLayout>
              <c:xMode val="edge"/>
              <c:yMode val="edge"/>
              <c:x val="4.7260863225430154E-2"/>
              <c:y val="0.14025098425196891"/>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307377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Gender</a:t>
            </a:r>
          </a:p>
        </c:rich>
      </c:tx>
      <c:layout>
        <c:manualLayout>
          <c:xMode val="edge"/>
          <c:yMode val="edge"/>
          <c:x val="0.45627933382524871"/>
          <c:y val="0"/>
        </c:manualLayout>
      </c:layout>
      <c:overlay val="1"/>
    </c:title>
    <c:autoTitleDeleted val="0"/>
    <c:plotArea>
      <c:layout>
        <c:manualLayout>
          <c:layoutTarget val="inner"/>
          <c:xMode val="edge"/>
          <c:yMode val="edge"/>
          <c:x val="8.1591413717701206E-2"/>
          <c:y val="7.7391076115485569E-2"/>
          <c:w val="0.87347969501244971"/>
          <c:h val="0.67079247590039193"/>
        </c:manualLayout>
      </c:layout>
      <c:barChart>
        <c:barDir val="col"/>
        <c:grouping val="clustered"/>
        <c:varyColors val="0"/>
        <c:ser>
          <c:idx val="0"/>
          <c:order val="0"/>
          <c:tx>
            <c:strRef>
              <c:f>Sheet1!$B$1</c:f>
              <c:strCache>
                <c:ptCount val="1"/>
                <c:pt idx="0">
                  <c:v>Survey</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89-4236-8998-F4545A02E52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Female</c:v>
                </c:pt>
                <c:pt idx="1">
                  <c:v>Male</c:v>
                </c:pt>
                <c:pt idx="2">
                  <c:v>Transgender</c:v>
                </c:pt>
              </c:strCache>
            </c:strRef>
          </c:cat>
          <c:val>
            <c:numRef>
              <c:f>Sheet1!$B$2:$B$4</c:f>
              <c:numCache>
                <c:formatCode>0%</c:formatCode>
                <c:ptCount val="3"/>
                <c:pt idx="0">
                  <c:v>0.26300000000000001</c:v>
                </c:pt>
                <c:pt idx="1">
                  <c:v>0.72499999999999998</c:v>
                </c:pt>
                <c:pt idx="2">
                  <c:v>1.2E-2</c:v>
                </c:pt>
              </c:numCache>
            </c:numRef>
          </c:val>
          <c:extLst xmlns:c16r2="http://schemas.microsoft.com/office/drawing/2015/06/chart">
            <c:ext xmlns:c16="http://schemas.microsoft.com/office/drawing/2014/chart" uri="{C3380CC4-5D6E-409C-BE32-E72D297353CC}">
              <c16:uniqueId val="{00000001-E489-4236-8998-F4545A02E52A}"/>
            </c:ext>
          </c:extLst>
        </c:ser>
        <c:ser>
          <c:idx val="1"/>
          <c:order val="1"/>
          <c:tx>
            <c:strRef>
              <c:f>Sheet1!$C$1</c:f>
              <c:strCache>
                <c:ptCount val="1"/>
                <c:pt idx="0">
                  <c:v>Nevada</c:v>
                </c:pt>
              </c:strCache>
            </c:strRef>
          </c:tx>
          <c:spPr>
            <a:solidFill>
              <a:schemeClr val="accent2">
                <a:lumMod val="50000"/>
              </a:schemeClr>
            </a:solid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Female</c:v>
                </c:pt>
                <c:pt idx="1">
                  <c:v>Male</c:v>
                </c:pt>
                <c:pt idx="2">
                  <c:v>Transgender</c:v>
                </c:pt>
              </c:strCache>
            </c:strRef>
          </c:cat>
          <c:val>
            <c:numRef>
              <c:f>Sheet1!$C$2:$C$4</c:f>
              <c:numCache>
                <c:formatCode>0%</c:formatCode>
                <c:ptCount val="3"/>
                <c:pt idx="0">
                  <c:v>0.16</c:v>
                </c:pt>
                <c:pt idx="1">
                  <c:v>0.84</c:v>
                </c:pt>
                <c:pt idx="2">
                  <c:v>1.2999999999999999E-2</c:v>
                </c:pt>
              </c:numCache>
            </c:numRef>
          </c:val>
          <c:extLst xmlns:c16r2="http://schemas.microsoft.com/office/drawing/2015/06/chart">
            <c:ext xmlns:c16="http://schemas.microsoft.com/office/drawing/2014/chart" uri="{C3380CC4-5D6E-409C-BE32-E72D297353CC}">
              <c16:uniqueId val="{00000002-E489-4236-8998-F4545A02E52A}"/>
            </c:ext>
          </c:extLst>
        </c:ser>
        <c:dLbls>
          <c:dLblPos val="outEnd"/>
          <c:showLegendKey val="0"/>
          <c:showVal val="1"/>
          <c:showCatName val="0"/>
          <c:showSerName val="0"/>
          <c:showPercent val="0"/>
          <c:showBubbleSize val="0"/>
        </c:dLbls>
        <c:gapWidth val="150"/>
        <c:axId val="-783060720"/>
        <c:axId val="-783069968"/>
      </c:barChart>
      <c:catAx>
        <c:axId val="-783060720"/>
        <c:scaling>
          <c:orientation val="minMax"/>
        </c:scaling>
        <c:delete val="0"/>
        <c:axPos val="b"/>
        <c:numFmt formatCode="General" sourceLinked="0"/>
        <c:majorTickMark val="out"/>
        <c:minorTickMark val="none"/>
        <c:tickLblPos val="nextTo"/>
        <c:crossAx val="-783069968"/>
        <c:crosses val="autoZero"/>
        <c:auto val="1"/>
        <c:lblAlgn val="ctr"/>
        <c:lblOffset val="100"/>
        <c:noMultiLvlLbl val="0"/>
      </c:catAx>
      <c:valAx>
        <c:axId val="-783069968"/>
        <c:scaling>
          <c:orientation val="minMax"/>
          <c:max val="1"/>
        </c:scaling>
        <c:delete val="0"/>
        <c:axPos val="l"/>
        <c:numFmt formatCode="0%" sourceLinked="1"/>
        <c:majorTickMark val="out"/>
        <c:minorTickMark val="none"/>
        <c:tickLblPos val="nextTo"/>
        <c:crossAx val="-783060720"/>
        <c:crosses val="autoZero"/>
        <c:crossBetween val="between"/>
      </c:valAx>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Age</a:t>
            </a:r>
          </a:p>
        </c:rich>
      </c:tx>
      <c:overlay val="1"/>
    </c:title>
    <c:autoTitleDeleted val="0"/>
    <c:plotArea>
      <c:layout>
        <c:manualLayout>
          <c:layoutTarget val="inner"/>
          <c:xMode val="edge"/>
          <c:yMode val="edge"/>
          <c:x val="8.1591413717701206E-2"/>
          <c:y val="4.4057617797775277E-2"/>
          <c:w val="0.87347969501244971"/>
          <c:h val="0.70406781260185614"/>
        </c:manualLayout>
      </c:layout>
      <c:barChart>
        <c:barDir val="col"/>
        <c:grouping val="clustered"/>
        <c:varyColors val="0"/>
        <c:ser>
          <c:idx val="0"/>
          <c:order val="0"/>
          <c:tx>
            <c:strRef>
              <c:f>Sheet1!$B$1</c:f>
              <c:strCache>
                <c:ptCount val="1"/>
                <c:pt idx="0">
                  <c:v>Survey</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75-4D43-94EE-5BCEC2042933}"/>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&lt;24</c:v>
                </c:pt>
                <c:pt idx="1">
                  <c:v>25-34</c:v>
                </c:pt>
                <c:pt idx="2">
                  <c:v>35-44</c:v>
                </c:pt>
                <c:pt idx="3">
                  <c:v>45-54</c:v>
                </c:pt>
                <c:pt idx="4">
                  <c:v>55-64</c:v>
                </c:pt>
                <c:pt idx="5">
                  <c:v>&gt;65</c:v>
                </c:pt>
              </c:strCache>
            </c:strRef>
          </c:cat>
          <c:val>
            <c:numRef>
              <c:f>Sheet1!$B$2:$B$7</c:f>
              <c:numCache>
                <c:formatCode>0%</c:formatCode>
                <c:ptCount val="6"/>
                <c:pt idx="0">
                  <c:v>4.2999999999999997E-2</c:v>
                </c:pt>
                <c:pt idx="1">
                  <c:v>0.19900000000000001</c:v>
                </c:pt>
                <c:pt idx="2">
                  <c:v>0.193</c:v>
                </c:pt>
                <c:pt idx="3">
                  <c:v>0.31</c:v>
                </c:pt>
                <c:pt idx="4">
                  <c:v>0.218</c:v>
                </c:pt>
                <c:pt idx="5">
                  <c:v>3.6999999999999998E-2</c:v>
                </c:pt>
              </c:numCache>
            </c:numRef>
          </c:val>
          <c:extLst xmlns:c16r2="http://schemas.microsoft.com/office/drawing/2015/06/chart">
            <c:ext xmlns:c16="http://schemas.microsoft.com/office/drawing/2014/chart" uri="{C3380CC4-5D6E-409C-BE32-E72D297353CC}">
              <c16:uniqueId val="{00000001-5E75-4D43-94EE-5BCEC2042933}"/>
            </c:ext>
          </c:extLst>
        </c:ser>
        <c:ser>
          <c:idx val="1"/>
          <c:order val="1"/>
          <c:tx>
            <c:strRef>
              <c:f>Sheet1!$C$1</c:f>
              <c:strCache>
                <c:ptCount val="1"/>
                <c:pt idx="0">
                  <c:v>Nevada</c:v>
                </c:pt>
              </c:strCache>
            </c:strRef>
          </c:tx>
          <c:spPr>
            <a:solidFill>
              <a:schemeClr val="accent2">
                <a:lumMod val="50000"/>
              </a:schemeClr>
            </a:solid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&lt;24</c:v>
                </c:pt>
                <c:pt idx="1">
                  <c:v>25-34</c:v>
                </c:pt>
                <c:pt idx="2">
                  <c:v>35-44</c:v>
                </c:pt>
                <c:pt idx="3">
                  <c:v>45-54</c:v>
                </c:pt>
                <c:pt idx="4">
                  <c:v>55-64</c:v>
                </c:pt>
                <c:pt idx="5">
                  <c:v>&gt;65</c:v>
                </c:pt>
              </c:strCache>
            </c:strRef>
          </c:cat>
          <c:val>
            <c:numRef>
              <c:f>Sheet1!$C$2:$C$7</c:f>
              <c:numCache>
                <c:formatCode>0%</c:formatCode>
                <c:ptCount val="6"/>
                <c:pt idx="0">
                  <c:v>0.23</c:v>
                </c:pt>
                <c:pt idx="1">
                  <c:v>0.35</c:v>
                </c:pt>
                <c:pt idx="2">
                  <c:v>0.19</c:v>
                </c:pt>
                <c:pt idx="3">
                  <c:v>0.17</c:v>
                </c:pt>
                <c:pt idx="4">
                  <c:v>0.05</c:v>
                </c:pt>
                <c:pt idx="5">
                  <c:v>0.01</c:v>
                </c:pt>
              </c:numCache>
            </c:numRef>
          </c:val>
          <c:extLst xmlns:c16r2="http://schemas.microsoft.com/office/drawing/2015/06/chart">
            <c:ext xmlns:c16="http://schemas.microsoft.com/office/drawing/2014/chart" uri="{C3380CC4-5D6E-409C-BE32-E72D297353CC}">
              <c16:uniqueId val="{00000002-5E75-4D43-94EE-5BCEC2042933}"/>
            </c:ext>
          </c:extLst>
        </c:ser>
        <c:dLbls>
          <c:dLblPos val="outEnd"/>
          <c:showLegendKey val="0"/>
          <c:showVal val="1"/>
          <c:showCatName val="0"/>
          <c:showSerName val="0"/>
          <c:showPercent val="0"/>
          <c:showBubbleSize val="0"/>
        </c:dLbls>
        <c:gapWidth val="150"/>
        <c:axId val="-783066704"/>
        <c:axId val="-783178304"/>
      </c:barChart>
      <c:catAx>
        <c:axId val="-783066704"/>
        <c:scaling>
          <c:orientation val="minMax"/>
        </c:scaling>
        <c:delete val="0"/>
        <c:axPos val="b"/>
        <c:numFmt formatCode="General" sourceLinked="0"/>
        <c:majorTickMark val="out"/>
        <c:minorTickMark val="none"/>
        <c:tickLblPos val="nextTo"/>
        <c:crossAx val="-783178304"/>
        <c:crosses val="autoZero"/>
        <c:auto val="1"/>
        <c:lblAlgn val="ctr"/>
        <c:lblOffset val="100"/>
        <c:noMultiLvlLbl val="0"/>
      </c:catAx>
      <c:valAx>
        <c:axId val="-783178304"/>
        <c:scaling>
          <c:orientation val="minMax"/>
          <c:max val="1"/>
        </c:scaling>
        <c:delete val="0"/>
        <c:axPos val="l"/>
        <c:numFmt formatCode="0%" sourceLinked="1"/>
        <c:majorTickMark val="out"/>
        <c:minorTickMark val="none"/>
        <c:tickLblPos val="nextTo"/>
        <c:crossAx val="-783066704"/>
        <c:crosses val="autoZero"/>
        <c:crossBetween val="between"/>
      </c:valAx>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Ethnicity</a:t>
            </a:r>
          </a:p>
        </c:rich>
      </c:tx>
      <c:overlay val="1"/>
    </c:title>
    <c:autoTitleDeleted val="0"/>
    <c:plotArea>
      <c:layout>
        <c:manualLayout>
          <c:layoutTarget val="inner"/>
          <c:xMode val="edge"/>
          <c:yMode val="edge"/>
          <c:x val="8.1591413717701206E-2"/>
          <c:y val="4.4057617797775277E-2"/>
          <c:w val="0.90129313104154662"/>
          <c:h val="0.47949704767749474"/>
        </c:manualLayout>
      </c:layout>
      <c:barChart>
        <c:barDir val="col"/>
        <c:grouping val="clustered"/>
        <c:varyColors val="0"/>
        <c:ser>
          <c:idx val="0"/>
          <c:order val="0"/>
          <c:tx>
            <c:strRef>
              <c:f>Sheet1!$B$1</c:f>
              <c:strCache>
                <c:ptCount val="1"/>
                <c:pt idx="0">
                  <c:v>Survey</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33-410E-8920-415A1EB277E8}"/>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White</c:v>
                </c:pt>
                <c:pt idx="1">
                  <c:v>Black</c:v>
                </c:pt>
                <c:pt idx="2">
                  <c:v>Hispanic</c:v>
                </c:pt>
                <c:pt idx="3">
                  <c:v>Asian/Hawaiian/Pacific Islander</c:v>
                </c:pt>
                <c:pt idx="4">
                  <c:v>American Indian/Alaska Native</c:v>
                </c:pt>
                <c:pt idx="5">
                  <c:v>Mult-race/Other</c:v>
                </c:pt>
              </c:strCache>
            </c:strRef>
          </c:cat>
          <c:val>
            <c:numRef>
              <c:f>Sheet1!$B$2:$B$7</c:f>
              <c:numCache>
                <c:formatCode>0%</c:formatCode>
                <c:ptCount val="6"/>
                <c:pt idx="0">
                  <c:v>0.32</c:v>
                </c:pt>
                <c:pt idx="1">
                  <c:v>0.3</c:v>
                </c:pt>
                <c:pt idx="2">
                  <c:v>0.22</c:v>
                </c:pt>
                <c:pt idx="3">
                  <c:v>7.0000000000000007E-2</c:v>
                </c:pt>
                <c:pt idx="4">
                  <c:v>0.01</c:v>
                </c:pt>
                <c:pt idx="5">
                  <c:v>0.08</c:v>
                </c:pt>
              </c:numCache>
            </c:numRef>
          </c:val>
          <c:extLst xmlns:c16r2="http://schemas.microsoft.com/office/drawing/2015/06/chart">
            <c:ext xmlns:c16="http://schemas.microsoft.com/office/drawing/2014/chart" uri="{C3380CC4-5D6E-409C-BE32-E72D297353CC}">
              <c16:uniqueId val="{00000001-3433-410E-8920-415A1EB277E8}"/>
            </c:ext>
          </c:extLst>
        </c:ser>
        <c:ser>
          <c:idx val="1"/>
          <c:order val="1"/>
          <c:tx>
            <c:strRef>
              <c:f>Sheet1!$C$1</c:f>
              <c:strCache>
                <c:ptCount val="1"/>
                <c:pt idx="0">
                  <c:v>Nevada</c:v>
                </c:pt>
              </c:strCache>
            </c:strRef>
          </c:tx>
          <c:spPr>
            <a:solidFill>
              <a:schemeClr val="accent2">
                <a:lumMod val="50000"/>
              </a:schemeClr>
            </a:solid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White</c:v>
                </c:pt>
                <c:pt idx="1">
                  <c:v>Black</c:v>
                </c:pt>
                <c:pt idx="2">
                  <c:v>Hispanic</c:v>
                </c:pt>
                <c:pt idx="3">
                  <c:v>Asian/Hawaiian/Pacific Islander</c:v>
                </c:pt>
                <c:pt idx="4">
                  <c:v>American Indian/Alaska Native</c:v>
                </c:pt>
                <c:pt idx="5">
                  <c:v>Mult-race/Other</c:v>
                </c:pt>
              </c:strCache>
            </c:strRef>
          </c:cat>
          <c:val>
            <c:numRef>
              <c:f>Sheet1!$C$2:$C$7</c:f>
              <c:numCache>
                <c:formatCode>0%</c:formatCode>
                <c:ptCount val="6"/>
                <c:pt idx="0">
                  <c:v>0.37</c:v>
                </c:pt>
                <c:pt idx="1">
                  <c:v>0.24</c:v>
                </c:pt>
                <c:pt idx="2">
                  <c:v>0.3</c:v>
                </c:pt>
                <c:pt idx="3">
                  <c:v>0.05</c:v>
                </c:pt>
                <c:pt idx="4">
                  <c:v>0.01</c:v>
                </c:pt>
                <c:pt idx="5">
                  <c:v>0.02</c:v>
                </c:pt>
              </c:numCache>
            </c:numRef>
          </c:val>
          <c:extLst xmlns:c16r2="http://schemas.microsoft.com/office/drawing/2015/06/chart">
            <c:ext xmlns:c16="http://schemas.microsoft.com/office/drawing/2014/chart" uri="{C3380CC4-5D6E-409C-BE32-E72D297353CC}">
              <c16:uniqueId val="{00000002-3433-410E-8920-415A1EB277E8}"/>
            </c:ext>
          </c:extLst>
        </c:ser>
        <c:dLbls>
          <c:dLblPos val="outEnd"/>
          <c:showLegendKey val="0"/>
          <c:showVal val="1"/>
          <c:showCatName val="0"/>
          <c:showSerName val="0"/>
          <c:showPercent val="0"/>
          <c:showBubbleSize val="0"/>
        </c:dLbls>
        <c:gapWidth val="150"/>
        <c:axId val="-783164704"/>
        <c:axId val="-783172864"/>
      </c:barChart>
      <c:catAx>
        <c:axId val="-783164704"/>
        <c:scaling>
          <c:orientation val="minMax"/>
        </c:scaling>
        <c:delete val="0"/>
        <c:axPos val="b"/>
        <c:numFmt formatCode="General" sourceLinked="0"/>
        <c:majorTickMark val="out"/>
        <c:minorTickMark val="none"/>
        <c:tickLblPos val="nextTo"/>
        <c:crossAx val="-783172864"/>
        <c:crosses val="autoZero"/>
        <c:auto val="1"/>
        <c:lblAlgn val="ctr"/>
        <c:lblOffset val="100"/>
        <c:noMultiLvlLbl val="0"/>
      </c:catAx>
      <c:valAx>
        <c:axId val="-783172864"/>
        <c:scaling>
          <c:orientation val="minMax"/>
          <c:max val="1"/>
        </c:scaling>
        <c:delete val="0"/>
        <c:axPos val="l"/>
        <c:numFmt formatCode="0%" sourceLinked="1"/>
        <c:majorTickMark val="out"/>
        <c:minorTickMark val="none"/>
        <c:tickLblPos val="nextTo"/>
        <c:crossAx val="-783164704"/>
        <c:crosses val="autoZero"/>
        <c:crossBetween val="between"/>
      </c:valAx>
      <c:spPr>
        <a:noFill/>
        <a:ln w="25400">
          <a:noFill/>
        </a:ln>
      </c:spPr>
    </c:plotArea>
    <c:legend>
      <c:legendPos val="b"/>
      <c:layout>
        <c:manualLayout>
          <c:xMode val="edge"/>
          <c:yMode val="edge"/>
          <c:x val="0.78870430830292559"/>
          <c:y val="0.25001703477873066"/>
          <c:w val="0.16927516602144888"/>
          <c:h val="0.17848148992511795"/>
        </c:manualLayout>
      </c:layout>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County of Residence</a:t>
            </a:r>
          </a:p>
        </c:rich>
      </c:tx>
      <c:layout>
        <c:manualLayout>
          <c:xMode val="edge"/>
          <c:yMode val="edge"/>
          <c:x val="0.38294822421908431"/>
          <c:y val="0"/>
        </c:manualLayout>
      </c:layout>
      <c:overlay val="1"/>
    </c:title>
    <c:autoTitleDeleted val="0"/>
    <c:plotArea>
      <c:layout>
        <c:manualLayout>
          <c:layoutTarget val="inner"/>
          <c:xMode val="edge"/>
          <c:yMode val="edge"/>
          <c:x val="8.8009898955185156E-2"/>
          <c:y val="4.4115984841392841E-2"/>
          <c:w val="0.87347969501244971"/>
          <c:h val="0.70406781260185614"/>
        </c:manualLayout>
      </c:layout>
      <c:barChart>
        <c:barDir val="col"/>
        <c:grouping val="clustered"/>
        <c:varyColors val="0"/>
        <c:ser>
          <c:idx val="0"/>
          <c:order val="0"/>
          <c:tx>
            <c:strRef>
              <c:f>Sheet1!$A$3</c:f>
              <c:strCache>
                <c:ptCount val="1"/>
                <c:pt idx="0">
                  <c:v>Survey</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77-435F-B3B7-672ADCA06731}"/>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Sheet1!$B$2:$D$2</c:f>
              <c:strCache>
                <c:ptCount val="3"/>
                <c:pt idx="0">
                  <c:v>Clark</c:v>
                </c:pt>
                <c:pt idx="1">
                  <c:v>Washoe</c:v>
                </c:pt>
                <c:pt idx="2">
                  <c:v>All other counties</c:v>
                </c:pt>
              </c:strCache>
            </c:strRef>
          </c:cat>
          <c:val>
            <c:numRef>
              <c:f>Sheet1!$B$3:$D$3</c:f>
              <c:numCache>
                <c:formatCode>0%</c:formatCode>
                <c:ptCount val="3"/>
                <c:pt idx="0">
                  <c:v>0.86</c:v>
                </c:pt>
                <c:pt idx="1">
                  <c:v>0.12</c:v>
                </c:pt>
                <c:pt idx="2">
                  <c:v>0.02</c:v>
                </c:pt>
              </c:numCache>
            </c:numRef>
          </c:val>
          <c:extLst xmlns:c16r2="http://schemas.microsoft.com/office/drawing/2015/06/chart">
            <c:ext xmlns:c16="http://schemas.microsoft.com/office/drawing/2014/chart" uri="{C3380CC4-5D6E-409C-BE32-E72D297353CC}">
              <c16:uniqueId val="{00000001-7377-435F-B3B7-672ADCA06731}"/>
            </c:ext>
          </c:extLst>
        </c:ser>
        <c:ser>
          <c:idx val="1"/>
          <c:order val="1"/>
          <c:tx>
            <c:strRef>
              <c:f>Sheet1!$A$4</c:f>
              <c:strCache>
                <c:ptCount val="1"/>
                <c:pt idx="0">
                  <c:v>Nevada</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Sheet1!$B$2:$D$2</c:f>
              <c:strCache>
                <c:ptCount val="3"/>
                <c:pt idx="0">
                  <c:v>Clark</c:v>
                </c:pt>
                <c:pt idx="1">
                  <c:v>Washoe</c:v>
                </c:pt>
                <c:pt idx="2">
                  <c:v>All other counties</c:v>
                </c:pt>
              </c:strCache>
            </c:strRef>
          </c:cat>
          <c:val>
            <c:numRef>
              <c:f>Sheet1!$B$4:$D$4</c:f>
              <c:numCache>
                <c:formatCode>0%</c:formatCode>
                <c:ptCount val="3"/>
                <c:pt idx="0">
                  <c:v>0.86</c:v>
                </c:pt>
                <c:pt idx="1">
                  <c:v>0.1</c:v>
                </c:pt>
                <c:pt idx="2">
                  <c:v>0.04</c:v>
                </c:pt>
              </c:numCache>
            </c:numRef>
          </c:val>
          <c:extLst xmlns:c16r2="http://schemas.microsoft.com/office/drawing/2015/06/chart">
            <c:ext xmlns:c16="http://schemas.microsoft.com/office/drawing/2014/chart" uri="{C3380CC4-5D6E-409C-BE32-E72D297353CC}">
              <c16:uniqueId val="{00000002-7377-435F-B3B7-672ADCA06731}"/>
            </c:ext>
          </c:extLst>
        </c:ser>
        <c:dLbls>
          <c:dLblPos val="outEnd"/>
          <c:showLegendKey val="0"/>
          <c:showVal val="1"/>
          <c:showCatName val="0"/>
          <c:showSerName val="0"/>
          <c:showPercent val="0"/>
          <c:showBubbleSize val="0"/>
        </c:dLbls>
        <c:gapWidth val="150"/>
        <c:axId val="-783171776"/>
        <c:axId val="-783170688"/>
      </c:barChart>
      <c:catAx>
        <c:axId val="-783171776"/>
        <c:scaling>
          <c:orientation val="minMax"/>
        </c:scaling>
        <c:delete val="0"/>
        <c:axPos val="b"/>
        <c:numFmt formatCode="General" sourceLinked="0"/>
        <c:majorTickMark val="out"/>
        <c:minorTickMark val="none"/>
        <c:tickLblPos val="nextTo"/>
        <c:crossAx val="-783170688"/>
        <c:crosses val="autoZero"/>
        <c:auto val="1"/>
        <c:lblAlgn val="ctr"/>
        <c:lblOffset val="100"/>
        <c:noMultiLvlLbl val="0"/>
      </c:catAx>
      <c:valAx>
        <c:axId val="-783170688"/>
        <c:scaling>
          <c:orientation val="minMax"/>
          <c:max val="1"/>
        </c:scaling>
        <c:delete val="0"/>
        <c:axPos val="l"/>
        <c:numFmt formatCode="0%" sourceLinked="1"/>
        <c:majorTickMark val="out"/>
        <c:minorTickMark val="none"/>
        <c:tickLblPos val="nextTo"/>
        <c:crossAx val="-783171776"/>
        <c:crosses val="autoZero"/>
        <c:crossBetween val="between"/>
      </c:valAx>
    </c:plotArea>
    <c:legend>
      <c:legendPos val="r"/>
      <c:layout>
        <c:manualLayout>
          <c:xMode val="edge"/>
          <c:yMode val="edge"/>
          <c:x val="0.87855231992021532"/>
          <c:y val="0.25283490468296727"/>
          <c:w val="0.10219222436733277"/>
          <c:h val="0.1982775590551181"/>
        </c:manualLayout>
      </c:layout>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Sexual Orientation</a:t>
            </a:r>
          </a:p>
        </c:rich>
      </c:tx>
      <c:overlay val="1"/>
    </c:title>
    <c:autoTitleDeleted val="0"/>
    <c:plotArea>
      <c:layout>
        <c:manualLayout>
          <c:layoutTarget val="inner"/>
          <c:xMode val="edge"/>
          <c:yMode val="edge"/>
          <c:x val="8.8009898955185156E-2"/>
          <c:y val="4.4115984841392841E-2"/>
          <c:w val="0.87347969501244971"/>
          <c:h val="0.76686979344973194"/>
        </c:manualLayout>
      </c:layout>
      <c:barChart>
        <c:barDir val="col"/>
        <c:grouping val="clustered"/>
        <c:varyColors val="0"/>
        <c:ser>
          <c:idx val="0"/>
          <c:order val="0"/>
          <c:tx>
            <c:strRef>
              <c:f>Sheet1!$A$2</c:f>
              <c:strCache>
                <c:ptCount val="1"/>
                <c:pt idx="0">
                  <c:v>Gay/Homosexual</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F95-4E77-B697-857AAF020F9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Sheet1!$A$3</c:f>
              <c:numCache>
                <c:formatCode>0%</c:formatCode>
                <c:ptCount val="1"/>
                <c:pt idx="0">
                  <c:v>0.5</c:v>
                </c:pt>
              </c:numCache>
            </c:numRef>
          </c:val>
          <c:extLst xmlns:c16r2="http://schemas.microsoft.com/office/drawing/2015/06/chart">
            <c:ext xmlns:c16="http://schemas.microsoft.com/office/drawing/2014/chart" uri="{C3380CC4-5D6E-409C-BE32-E72D297353CC}">
              <c16:uniqueId val="{00000001-CF95-4E77-B697-857AAF020F9D}"/>
            </c:ext>
          </c:extLst>
        </c:ser>
        <c:ser>
          <c:idx val="1"/>
          <c:order val="1"/>
          <c:tx>
            <c:strRef>
              <c:f>Sheet1!$B$2</c:f>
              <c:strCache>
                <c:ptCount val="1"/>
                <c:pt idx="0">
                  <c:v>Bisexual</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7.0000000000000007E-2</c:v>
                </c:pt>
              </c:numCache>
            </c:numRef>
          </c:val>
          <c:extLst xmlns:c16r2="http://schemas.microsoft.com/office/drawing/2015/06/chart">
            <c:ext xmlns:c16="http://schemas.microsoft.com/office/drawing/2014/chart" uri="{C3380CC4-5D6E-409C-BE32-E72D297353CC}">
              <c16:uniqueId val="{00000002-CF95-4E77-B697-857AAF020F9D}"/>
            </c:ext>
          </c:extLst>
        </c:ser>
        <c:ser>
          <c:idx val="2"/>
          <c:order val="2"/>
          <c:tx>
            <c:strRef>
              <c:f>Sheet1!$C$2</c:f>
              <c:strCache>
                <c:ptCount val="1"/>
                <c:pt idx="0">
                  <c:v>Heterosexual</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Sheet1!$C$3</c:f>
              <c:numCache>
                <c:formatCode>0%</c:formatCode>
                <c:ptCount val="1"/>
                <c:pt idx="0">
                  <c:v>0.3</c:v>
                </c:pt>
              </c:numCache>
            </c:numRef>
          </c:val>
          <c:extLst xmlns:c16r2="http://schemas.microsoft.com/office/drawing/2015/06/chart">
            <c:ext xmlns:c16="http://schemas.microsoft.com/office/drawing/2014/chart" uri="{C3380CC4-5D6E-409C-BE32-E72D297353CC}">
              <c16:uniqueId val="{00000003-CF95-4E77-B697-857AAF020F9D}"/>
            </c:ext>
          </c:extLst>
        </c:ser>
        <c:ser>
          <c:idx val="3"/>
          <c:order val="3"/>
          <c:tx>
            <c:strRef>
              <c:f>Sheet1!$D$2</c:f>
              <c:strCache>
                <c:ptCount val="1"/>
                <c:pt idx="0">
                  <c:v>Other/not indicated</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Sheet1!$D$3</c:f>
              <c:numCache>
                <c:formatCode>0%</c:formatCode>
                <c:ptCount val="1"/>
                <c:pt idx="0">
                  <c:v>0.13</c:v>
                </c:pt>
              </c:numCache>
            </c:numRef>
          </c:val>
          <c:extLst xmlns:c16r2="http://schemas.microsoft.com/office/drawing/2015/06/chart">
            <c:ext xmlns:c16="http://schemas.microsoft.com/office/drawing/2014/chart" uri="{C3380CC4-5D6E-409C-BE32-E72D297353CC}">
              <c16:uniqueId val="{00000004-CF95-4E77-B697-857AAF020F9D}"/>
            </c:ext>
          </c:extLst>
        </c:ser>
        <c:dLbls>
          <c:dLblPos val="outEnd"/>
          <c:showLegendKey val="0"/>
          <c:showVal val="1"/>
          <c:showCatName val="0"/>
          <c:showSerName val="0"/>
          <c:showPercent val="0"/>
          <c:showBubbleSize val="0"/>
        </c:dLbls>
        <c:gapWidth val="150"/>
        <c:axId val="-783169056"/>
        <c:axId val="-783177760"/>
      </c:barChart>
      <c:catAx>
        <c:axId val="-783169056"/>
        <c:scaling>
          <c:orientation val="minMax"/>
        </c:scaling>
        <c:delete val="1"/>
        <c:axPos val="b"/>
        <c:numFmt formatCode="General" sourceLinked="0"/>
        <c:majorTickMark val="out"/>
        <c:minorTickMark val="none"/>
        <c:tickLblPos val="nextTo"/>
        <c:crossAx val="-783177760"/>
        <c:crosses val="autoZero"/>
        <c:auto val="1"/>
        <c:lblAlgn val="ctr"/>
        <c:lblOffset val="100"/>
        <c:noMultiLvlLbl val="0"/>
      </c:catAx>
      <c:valAx>
        <c:axId val="-783177760"/>
        <c:scaling>
          <c:orientation val="minMax"/>
          <c:max val="1"/>
        </c:scaling>
        <c:delete val="0"/>
        <c:axPos val="l"/>
        <c:numFmt formatCode="0%" sourceLinked="1"/>
        <c:majorTickMark val="out"/>
        <c:minorTickMark val="none"/>
        <c:tickLblPos val="nextTo"/>
        <c:crossAx val="-783169056"/>
        <c:crosses val="autoZero"/>
        <c:crossBetween val="between"/>
      </c:valAx>
    </c:plotArea>
    <c:legend>
      <c:legendPos val="b"/>
      <c:layout>
        <c:manualLayout>
          <c:xMode val="edge"/>
          <c:yMode val="edge"/>
          <c:x val="0.17188400230458994"/>
          <c:y val="0.80579824261097799"/>
          <c:w val="0.72469583792398218"/>
          <c:h val="8.7357069496747694E-2"/>
        </c:manualLayout>
      </c:layou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Years</a:t>
            </a:r>
            <a:r>
              <a:rPr lang="en-US" sz="1200" baseline="0"/>
              <a:t> Since Diagnosis</a:t>
            </a:r>
            <a:endParaRPr lang="en-US" sz="1200"/>
          </a:p>
        </c:rich>
      </c:tx>
      <c:overlay val="1"/>
    </c:title>
    <c:autoTitleDeleted val="0"/>
    <c:plotArea>
      <c:layout>
        <c:manualLayout>
          <c:layoutTarget val="inner"/>
          <c:xMode val="edge"/>
          <c:yMode val="edge"/>
          <c:x val="8.8009898955185156E-2"/>
          <c:y val="4.4115984841392841E-2"/>
          <c:w val="0.87347969501244971"/>
          <c:h val="0.76686979344973194"/>
        </c:manualLayout>
      </c:layout>
      <c:barChart>
        <c:barDir val="col"/>
        <c:grouping val="clustered"/>
        <c:varyColors val="0"/>
        <c:ser>
          <c:idx val="0"/>
          <c:order val="0"/>
          <c:tx>
            <c:strRef>
              <c:f>Sheet1!$A$2</c:f>
              <c:strCache>
                <c:ptCount val="1"/>
                <c:pt idx="0">
                  <c:v>0-2 years</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4D-4379-AC6E-19724462A3C3}"/>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Sheet1!$A$3</c:f>
              <c:numCache>
                <c:formatCode>0%</c:formatCode>
                <c:ptCount val="1"/>
                <c:pt idx="0">
                  <c:v>0.16700000000000001</c:v>
                </c:pt>
              </c:numCache>
            </c:numRef>
          </c:val>
          <c:extLst xmlns:c16r2="http://schemas.microsoft.com/office/drawing/2015/06/chart">
            <c:ext xmlns:c16="http://schemas.microsoft.com/office/drawing/2014/chart" uri="{C3380CC4-5D6E-409C-BE32-E72D297353CC}">
              <c16:uniqueId val="{00000001-E54D-4379-AC6E-19724462A3C3}"/>
            </c:ext>
          </c:extLst>
        </c:ser>
        <c:ser>
          <c:idx val="1"/>
          <c:order val="1"/>
          <c:tx>
            <c:strRef>
              <c:f>Sheet1!$B$2</c:f>
              <c:strCache>
                <c:ptCount val="1"/>
                <c:pt idx="0">
                  <c:v>3-5 years</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0.16</c:v>
                </c:pt>
              </c:numCache>
            </c:numRef>
          </c:val>
          <c:extLst xmlns:c16r2="http://schemas.microsoft.com/office/drawing/2015/06/chart">
            <c:ext xmlns:c16="http://schemas.microsoft.com/office/drawing/2014/chart" uri="{C3380CC4-5D6E-409C-BE32-E72D297353CC}">
              <c16:uniqueId val="{00000002-E54D-4379-AC6E-19724462A3C3}"/>
            </c:ext>
          </c:extLst>
        </c:ser>
        <c:ser>
          <c:idx val="2"/>
          <c:order val="2"/>
          <c:tx>
            <c:strRef>
              <c:f>Sheet1!$C$2</c:f>
              <c:strCache>
                <c:ptCount val="1"/>
                <c:pt idx="0">
                  <c:v>6-10 years</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Sheet1!$C$3</c:f>
              <c:numCache>
                <c:formatCode>0%</c:formatCode>
                <c:ptCount val="1"/>
                <c:pt idx="0">
                  <c:v>0.17299999999999999</c:v>
                </c:pt>
              </c:numCache>
            </c:numRef>
          </c:val>
          <c:extLst xmlns:c16r2="http://schemas.microsoft.com/office/drawing/2015/06/chart">
            <c:ext xmlns:c16="http://schemas.microsoft.com/office/drawing/2014/chart" uri="{C3380CC4-5D6E-409C-BE32-E72D297353CC}">
              <c16:uniqueId val="{00000003-E54D-4379-AC6E-19724462A3C3}"/>
            </c:ext>
          </c:extLst>
        </c:ser>
        <c:ser>
          <c:idx val="3"/>
          <c:order val="3"/>
          <c:tx>
            <c:strRef>
              <c:f>Sheet1!$D$2</c:f>
              <c:strCache>
                <c:ptCount val="1"/>
                <c:pt idx="0">
                  <c:v>11-20 years</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Sheet1!$D$3</c:f>
              <c:numCache>
                <c:formatCode>0%</c:formatCode>
                <c:ptCount val="1"/>
                <c:pt idx="0">
                  <c:v>0.26700000000000002</c:v>
                </c:pt>
              </c:numCache>
            </c:numRef>
          </c:val>
          <c:extLst xmlns:c16r2="http://schemas.microsoft.com/office/drawing/2015/06/chart">
            <c:ext xmlns:c16="http://schemas.microsoft.com/office/drawing/2014/chart" uri="{C3380CC4-5D6E-409C-BE32-E72D297353CC}">
              <c16:uniqueId val="{00000004-E54D-4379-AC6E-19724462A3C3}"/>
            </c:ext>
          </c:extLst>
        </c:ser>
        <c:ser>
          <c:idx val="4"/>
          <c:order val="4"/>
          <c:tx>
            <c:strRef>
              <c:f>Sheet1!$E$2</c:f>
              <c:strCache>
                <c:ptCount val="1"/>
                <c:pt idx="0">
                  <c:v>21+ years</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Sheet1!$E$3</c:f>
              <c:numCache>
                <c:formatCode>0%</c:formatCode>
                <c:ptCount val="1"/>
                <c:pt idx="0">
                  <c:v>0.23300000000000001</c:v>
                </c:pt>
              </c:numCache>
            </c:numRef>
          </c:val>
          <c:extLst xmlns:c16r2="http://schemas.microsoft.com/office/drawing/2015/06/chart">
            <c:ext xmlns:c16="http://schemas.microsoft.com/office/drawing/2014/chart" uri="{C3380CC4-5D6E-409C-BE32-E72D297353CC}">
              <c16:uniqueId val="{00000005-E54D-4379-AC6E-19724462A3C3}"/>
            </c:ext>
          </c:extLst>
        </c:ser>
        <c:dLbls>
          <c:dLblPos val="outEnd"/>
          <c:showLegendKey val="0"/>
          <c:showVal val="1"/>
          <c:showCatName val="0"/>
          <c:showSerName val="0"/>
          <c:showPercent val="0"/>
          <c:showBubbleSize val="0"/>
        </c:dLbls>
        <c:gapWidth val="150"/>
        <c:axId val="-783178848"/>
        <c:axId val="-783167424"/>
      </c:barChart>
      <c:catAx>
        <c:axId val="-783178848"/>
        <c:scaling>
          <c:orientation val="minMax"/>
        </c:scaling>
        <c:delete val="1"/>
        <c:axPos val="b"/>
        <c:numFmt formatCode="General" sourceLinked="0"/>
        <c:majorTickMark val="out"/>
        <c:minorTickMark val="none"/>
        <c:tickLblPos val="nextTo"/>
        <c:crossAx val="-783167424"/>
        <c:crosses val="autoZero"/>
        <c:auto val="1"/>
        <c:lblAlgn val="ctr"/>
        <c:lblOffset val="100"/>
        <c:noMultiLvlLbl val="0"/>
      </c:catAx>
      <c:valAx>
        <c:axId val="-783167424"/>
        <c:scaling>
          <c:orientation val="minMax"/>
          <c:max val="1"/>
        </c:scaling>
        <c:delete val="0"/>
        <c:axPos val="l"/>
        <c:numFmt formatCode="0%" sourceLinked="1"/>
        <c:majorTickMark val="out"/>
        <c:minorTickMark val="none"/>
        <c:tickLblPos val="nextTo"/>
        <c:crossAx val="-783178848"/>
        <c:crosses val="autoZero"/>
        <c:crossBetween val="between"/>
      </c:valAx>
    </c:plotArea>
    <c:legend>
      <c:legendPos val="b"/>
      <c:layout>
        <c:manualLayout>
          <c:xMode val="edge"/>
          <c:yMode val="edge"/>
          <c:x val="0.1975579432545258"/>
          <c:y val="0.80579824261097799"/>
          <c:w val="0.66181776218922561"/>
          <c:h val="8.7357069496747694E-2"/>
        </c:manualLayout>
      </c:layout>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Length of time from diagnosis to first doctor visit</a:t>
            </a:r>
          </a:p>
        </c:rich>
      </c:tx>
      <c:overlay val="1"/>
    </c:title>
    <c:autoTitleDeleted val="0"/>
    <c:plotArea>
      <c:layout>
        <c:manualLayout>
          <c:layoutTarget val="inner"/>
          <c:xMode val="edge"/>
          <c:yMode val="edge"/>
          <c:x val="0.29554092163383294"/>
          <c:y val="0.1262417741260603"/>
          <c:w val="0.66594867233380173"/>
          <c:h val="0.6847441895849975"/>
        </c:manualLayout>
      </c:layout>
      <c:barChart>
        <c:barDir val="bar"/>
        <c:grouping val="clustered"/>
        <c:varyColors val="0"/>
        <c:ser>
          <c:idx val="0"/>
          <c:order val="0"/>
          <c:spPr>
            <a:scene3d>
              <a:camera prst="orthographicFront"/>
              <a:lightRig rig="threePt" dir="t"/>
            </a:scene3d>
            <a:sp3d>
              <a:bevelT/>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30-4A6F-93E3-05D243EF9CEB}"/>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Sheet1!$A$1:$A$6</c:f>
              <c:strCache>
                <c:ptCount val="6"/>
                <c:pt idx="0">
                  <c:v>I don't remember</c:v>
                </c:pt>
                <c:pt idx="1">
                  <c:v>More than 6 months</c:v>
                </c:pt>
                <c:pt idx="2">
                  <c:v>4-6 months</c:v>
                </c:pt>
                <c:pt idx="3">
                  <c:v>1-3 months</c:v>
                </c:pt>
                <c:pt idx="4">
                  <c:v>Less than a month</c:v>
                </c:pt>
                <c:pt idx="5">
                  <c:v>I got into care immediately</c:v>
                </c:pt>
              </c:strCache>
            </c:strRef>
          </c:cat>
          <c:val>
            <c:numRef>
              <c:f>Sheet1!$B$1:$B$6</c:f>
              <c:numCache>
                <c:formatCode>0%</c:formatCode>
                <c:ptCount val="6"/>
                <c:pt idx="0">
                  <c:v>0.06</c:v>
                </c:pt>
                <c:pt idx="1">
                  <c:v>0.05</c:v>
                </c:pt>
                <c:pt idx="2">
                  <c:v>0.05</c:v>
                </c:pt>
                <c:pt idx="3">
                  <c:v>0.13</c:v>
                </c:pt>
                <c:pt idx="4">
                  <c:v>0.14000000000000001</c:v>
                </c:pt>
                <c:pt idx="5">
                  <c:v>0.56999999999999995</c:v>
                </c:pt>
              </c:numCache>
            </c:numRef>
          </c:val>
          <c:extLst xmlns:c16r2="http://schemas.microsoft.com/office/drawing/2015/06/chart">
            <c:ext xmlns:c16="http://schemas.microsoft.com/office/drawing/2014/chart" uri="{C3380CC4-5D6E-409C-BE32-E72D297353CC}">
              <c16:uniqueId val="{00000001-4B30-4A6F-93E3-05D243EF9CEB}"/>
            </c:ext>
          </c:extLst>
        </c:ser>
        <c:dLbls>
          <c:dLblPos val="outEnd"/>
          <c:showLegendKey val="0"/>
          <c:showVal val="1"/>
          <c:showCatName val="0"/>
          <c:showSerName val="0"/>
          <c:showPercent val="0"/>
          <c:showBubbleSize val="0"/>
        </c:dLbls>
        <c:gapWidth val="150"/>
        <c:axId val="-783166336"/>
        <c:axId val="-783165792"/>
      </c:barChart>
      <c:catAx>
        <c:axId val="-783166336"/>
        <c:scaling>
          <c:orientation val="minMax"/>
        </c:scaling>
        <c:delete val="0"/>
        <c:axPos val="l"/>
        <c:numFmt formatCode="General" sourceLinked="0"/>
        <c:majorTickMark val="out"/>
        <c:minorTickMark val="none"/>
        <c:tickLblPos val="nextTo"/>
        <c:crossAx val="-783165792"/>
        <c:crosses val="autoZero"/>
        <c:auto val="1"/>
        <c:lblAlgn val="ctr"/>
        <c:lblOffset val="100"/>
        <c:noMultiLvlLbl val="0"/>
      </c:catAx>
      <c:valAx>
        <c:axId val="-783165792"/>
        <c:scaling>
          <c:orientation val="minMax"/>
          <c:max val="1"/>
        </c:scaling>
        <c:delete val="0"/>
        <c:axPos val="b"/>
        <c:numFmt formatCode="0%" sourceLinked="1"/>
        <c:majorTickMark val="out"/>
        <c:minorTickMark val="none"/>
        <c:tickLblPos val="nextTo"/>
        <c:crossAx val="-78316633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100" b="1" i="0">
                <a:effectLst/>
              </a:rPr>
              <a:t>Figure 4.  </a:t>
            </a:r>
            <a:r>
              <a:rPr lang="en-US" sz="1100" b="1">
                <a:effectLst/>
              </a:rPr>
              <a:t>Annual Rate of Persons Living with HIV in Nevada by County, 2010 — 2014</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20920336413592355"/>
          <c:y val="0.23767835838701981"/>
          <c:w val="0.70442284440186309"/>
          <c:h val="0.44499976139346226"/>
        </c:manualLayout>
      </c:layout>
      <c:lineChart>
        <c:grouping val="standard"/>
        <c:varyColors val="0"/>
        <c:ser>
          <c:idx val="1"/>
          <c:order val="0"/>
          <c:tx>
            <c:strRef>
              <c:f>'County level'!$B$63</c:f>
              <c:strCache>
                <c:ptCount val="1"/>
                <c:pt idx="0">
                  <c:v>Clark</c:v>
                </c:pt>
              </c:strCache>
            </c:strRef>
          </c:tx>
          <c:spPr>
            <a:ln w="28575" cap="rnd" cmpd="sng" algn="ctr">
              <a:solidFill>
                <a:schemeClr val="accent3">
                  <a:shade val="95000"/>
                  <a:satMod val="105000"/>
                </a:schemeClr>
              </a:solidFill>
              <a:prstDash val="solid"/>
              <a:round/>
            </a:ln>
            <a:effectLst/>
          </c:spPr>
          <c:marker>
            <c:symbol val="diamond"/>
            <c:size val="7"/>
            <c:spPr>
              <a:solidFill>
                <a:schemeClr val="accent3"/>
              </a:solidFill>
              <a:ln w="9525" cap="flat" cmpd="sng" algn="ctr">
                <a:solidFill>
                  <a:schemeClr val="accent3">
                    <a:shade val="95000"/>
                    <a:satMod val="105000"/>
                  </a:schemeClr>
                </a:solidFill>
                <a:prstDash val="solid"/>
                <a:round/>
              </a:ln>
              <a:effectLst/>
            </c:spPr>
          </c:marker>
          <c:cat>
            <c:numRef>
              <c:f>'County level'!$A$64:$A$68</c:f>
              <c:numCache>
                <c:formatCode>General</c:formatCode>
                <c:ptCount val="5"/>
                <c:pt idx="0">
                  <c:v>2010</c:v>
                </c:pt>
                <c:pt idx="1">
                  <c:v>2011</c:v>
                </c:pt>
                <c:pt idx="2">
                  <c:v>2012</c:v>
                </c:pt>
                <c:pt idx="3">
                  <c:v>2013</c:v>
                </c:pt>
                <c:pt idx="4">
                  <c:v>2014</c:v>
                </c:pt>
              </c:numCache>
            </c:numRef>
          </c:cat>
          <c:val>
            <c:numRef>
              <c:f>'County level'!$B$64:$B$68</c:f>
              <c:numCache>
                <c:formatCode>0.0</c:formatCode>
                <c:ptCount val="5"/>
                <c:pt idx="0">
                  <c:v>355.1</c:v>
                </c:pt>
                <c:pt idx="1">
                  <c:v>365.7</c:v>
                </c:pt>
                <c:pt idx="2">
                  <c:v>372.9</c:v>
                </c:pt>
                <c:pt idx="3">
                  <c:v>381.3</c:v>
                </c:pt>
                <c:pt idx="4">
                  <c:v>404.6</c:v>
                </c:pt>
              </c:numCache>
            </c:numRef>
          </c:val>
          <c:smooth val="0"/>
          <c:extLst xmlns:c16r2="http://schemas.microsoft.com/office/drawing/2015/06/chart">
            <c:ext xmlns:c16="http://schemas.microsoft.com/office/drawing/2014/chart" uri="{C3380CC4-5D6E-409C-BE32-E72D297353CC}">
              <c16:uniqueId val="{00000000-B563-424A-9256-A12AB6D1E255}"/>
            </c:ext>
          </c:extLst>
        </c:ser>
        <c:ser>
          <c:idx val="2"/>
          <c:order val="1"/>
          <c:tx>
            <c:strRef>
              <c:f>'County level'!$C$63</c:f>
              <c:strCache>
                <c:ptCount val="1"/>
                <c:pt idx="0">
                  <c:v>Washoe</c:v>
                </c:pt>
              </c:strCache>
            </c:strRef>
          </c:tx>
          <c:spPr>
            <a:ln w="28575" cap="rnd" cmpd="sng" algn="ctr">
              <a:solidFill>
                <a:schemeClr val="accent5">
                  <a:shade val="95000"/>
                  <a:satMod val="105000"/>
                </a:schemeClr>
              </a:solidFill>
              <a:prstDash val="solid"/>
              <a:round/>
            </a:ln>
            <a:effectLst/>
          </c:spPr>
          <c:marker>
            <c:symbol val="square"/>
            <c:size val="7"/>
            <c:spPr>
              <a:solidFill>
                <a:schemeClr val="accent5"/>
              </a:solidFill>
              <a:ln w="9525" cap="flat" cmpd="sng" algn="ctr">
                <a:solidFill>
                  <a:schemeClr val="accent5">
                    <a:shade val="95000"/>
                    <a:satMod val="105000"/>
                  </a:schemeClr>
                </a:solidFill>
                <a:prstDash val="solid"/>
                <a:round/>
              </a:ln>
              <a:effectLst/>
            </c:spPr>
          </c:marker>
          <c:cat>
            <c:numRef>
              <c:f>'County level'!$A$64:$A$68</c:f>
              <c:numCache>
                <c:formatCode>General</c:formatCode>
                <c:ptCount val="5"/>
                <c:pt idx="0">
                  <c:v>2010</c:v>
                </c:pt>
                <c:pt idx="1">
                  <c:v>2011</c:v>
                </c:pt>
                <c:pt idx="2">
                  <c:v>2012</c:v>
                </c:pt>
                <c:pt idx="3">
                  <c:v>2013</c:v>
                </c:pt>
                <c:pt idx="4">
                  <c:v>2014</c:v>
                </c:pt>
              </c:numCache>
            </c:numRef>
          </c:cat>
          <c:val>
            <c:numRef>
              <c:f>'County level'!$C$64:$C$68</c:f>
              <c:numCache>
                <c:formatCode>0.0</c:formatCode>
                <c:ptCount val="5"/>
                <c:pt idx="0">
                  <c:v>197.2</c:v>
                </c:pt>
                <c:pt idx="1">
                  <c:v>200.7</c:v>
                </c:pt>
                <c:pt idx="2">
                  <c:v>202.2</c:v>
                </c:pt>
                <c:pt idx="3">
                  <c:v>215.3</c:v>
                </c:pt>
                <c:pt idx="4">
                  <c:v>216.6</c:v>
                </c:pt>
              </c:numCache>
            </c:numRef>
          </c:val>
          <c:smooth val="0"/>
          <c:extLst xmlns:c16r2="http://schemas.microsoft.com/office/drawing/2015/06/chart">
            <c:ext xmlns:c16="http://schemas.microsoft.com/office/drawing/2014/chart" uri="{C3380CC4-5D6E-409C-BE32-E72D297353CC}">
              <c16:uniqueId val="{00000001-B563-424A-9256-A12AB6D1E255}"/>
            </c:ext>
          </c:extLst>
        </c:ser>
        <c:ser>
          <c:idx val="3"/>
          <c:order val="2"/>
          <c:tx>
            <c:strRef>
              <c:f>'County level'!$D$63</c:f>
              <c:strCache>
                <c:ptCount val="1"/>
                <c:pt idx="0">
                  <c:v>All Other</c:v>
                </c:pt>
              </c:strCache>
            </c:strRef>
          </c:tx>
          <c:spPr>
            <a:ln w="28575" cap="rnd" cmpd="sng" algn="ctr">
              <a:solidFill>
                <a:schemeClr val="accent1">
                  <a:lumMod val="60000"/>
                  <a:shade val="95000"/>
                  <a:satMod val="105000"/>
                </a:schemeClr>
              </a:solidFill>
              <a:prstDash val="solid"/>
              <a:round/>
            </a:ln>
            <a:effectLst/>
          </c:spPr>
          <c:marker>
            <c:spPr>
              <a:noFill/>
              <a:ln w="9525" cap="flat" cmpd="sng" algn="ctr">
                <a:solidFill>
                  <a:schemeClr val="accent1">
                    <a:lumMod val="60000"/>
                    <a:shade val="95000"/>
                    <a:satMod val="105000"/>
                  </a:schemeClr>
                </a:solidFill>
                <a:prstDash val="solid"/>
                <a:round/>
              </a:ln>
              <a:effectLst/>
            </c:spPr>
          </c:marker>
          <c:cat>
            <c:numRef>
              <c:f>'County level'!$A$64:$A$68</c:f>
              <c:numCache>
                <c:formatCode>General</c:formatCode>
                <c:ptCount val="5"/>
                <c:pt idx="0">
                  <c:v>2010</c:v>
                </c:pt>
                <c:pt idx="1">
                  <c:v>2011</c:v>
                </c:pt>
                <c:pt idx="2">
                  <c:v>2012</c:v>
                </c:pt>
                <c:pt idx="3">
                  <c:v>2013</c:v>
                </c:pt>
                <c:pt idx="4">
                  <c:v>2014</c:v>
                </c:pt>
              </c:numCache>
            </c:numRef>
          </c:cat>
          <c:val>
            <c:numRef>
              <c:f>'County level'!$D$64:$D$68</c:f>
              <c:numCache>
                <c:formatCode>0.0</c:formatCode>
                <c:ptCount val="5"/>
                <c:pt idx="0">
                  <c:v>124.3</c:v>
                </c:pt>
                <c:pt idx="1">
                  <c:v>119.7</c:v>
                </c:pt>
                <c:pt idx="2">
                  <c:v>114.9</c:v>
                </c:pt>
                <c:pt idx="3">
                  <c:v>119</c:v>
                </c:pt>
                <c:pt idx="4">
                  <c:v>122.5</c:v>
                </c:pt>
              </c:numCache>
            </c:numRef>
          </c:val>
          <c:smooth val="0"/>
          <c:extLst xmlns:c16r2="http://schemas.microsoft.com/office/drawing/2015/06/chart">
            <c:ext xmlns:c16="http://schemas.microsoft.com/office/drawing/2014/chart" uri="{C3380CC4-5D6E-409C-BE32-E72D297353CC}">
              <c16:uniqueId val="{00000002-B563-424A-9256-A12AB6D1E255}"/>
            </c:ext>
          </c:extLst>
        </c:ser>
        <c:dLbls>
          <c:showLegendKey val="0"/>
          <c:showVal val="0"/>
          <c:showCatName val="0"/>
          <c:showSerName val="0"/>
          <c:showPercent val="0"/>
          <c:showBubbleSize val="0"/>
        </c:dLbls>
        <c:marker val="1"/>
        <c:smooth val="0"/>
        <c:axId val="-788177696"/>
        <c:axId val="-788190208"/>
      </c:lineChart>
      <c:catAx>
        <c:axId val="-78817769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8190208"/>
        <c:crosses val="autoZero"/>
        <c:auto val="1"/>
        <c:lblAlgn val="ctr"/>
        <c:lblOffset val="100"/>
        <c:noMultiLvlLbl val="0"/>
      </c:catAx>
      <c:valAx>
        <c:axId val="-78819020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b="1"/>
                  <a:t>Rate per 100,000</a:t>
                </a:r>
              </a:p>
            </c:rich>
          </c:tx>
          <c:layout>
            <c:manualLayout>
              <c:xMode val="edge"/>
              <c:yMode val="edge"/>
              <c:x val="7.0370495533551874E-2"/>
              <c:y val="0.28500767899368618"/>
            </c:manualLayout>
          </c:layout>
          <c:overlay val="0"/>
          <c:spPr>
            <a:noFill/>
            <a:ln w="25400">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817769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w="25400">
          <a:noFill/>
        </a:ln>
        <a:effectLst/>
      </c:spPr>
    </c:plotArea>
    <c:plotVisOnly val="1"/>
    <c:dispBlanksAs val="gap"/>
    <c:showDLblsOverMax val="0"/>
  </c:chart>
  <c:spPr>
    <a:noFill/>
    <a:ln w="9525" cap="flat" cmpd="sng" algn="ctr">
      <a:noFill/>
      <a:prstDash val="solid"/>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Top Problems</a:t>
            </a:r>
            <a:r>
              <a:rPr lang="en-US" sz="1200" baseline="0"/>
              <a:t> getting into a doctor's office after diagnosis</a:t>
            </a:r>
            <a:endParaRPr lang="en-US" sz="1200"/>
          </a:p>
        </c:rich>
      </c:tx>
      <c:overlay val="1"/>
    </c:title>
    <c:autoTitleDeleted val="0"/>
    <c:plotArea>
      <c:layout>
        <c:manualLayout>
          <c:layoutTarget val="inner"/>
          <c:xMode val="edge"/>
          <c:yMode val="edge"/>
          <c:x val="0.38539971495860836"/>
          <c:y val="0.1262417741260603"/>
          <c:w val="0.57608987900902642"/>
          <c:h val="0.6847441895849975"/>
        </c:manualLayout>
      </c:layout>
      <c:barChart>
        <c:barDir val="bar"/>
        <c:grouping val="clustered"/>
        <c:varyColors val="0"/>
        <c:ser>
          <c:idx val="0"/>
          <c:order val="0"/>
          <c:spPr>
            <a:solidFill>
              <a:schemeClr val="accent2">
                <a:lumMod val="75000"/>
              </a:schemeClr>
            </a:solidFill>
            <a:ln>
              <a:solidFill>
                <a:schemeClr val="accent2">
                  <a:lumMod val="75000"/>
                </a:schemeClr>
              </a:solidFill>
            </a:ln>
            <a:scene3d>
              <a:camera prst="orthographicFront"/>
              <a:lightRig rig="threePt" dir="t"/>
            </a:scene3d>
            <a:sp3d>
              <a:bevelT/>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B5-4853-B651-BEA80047CE8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Sheet1!$A$1:$A$6</c:f>
              <c:strCache>
                <c:ptCount val="6"/>
                <c:pt idx="0">
                  <c:v>I didn't feel sick</c:v>
                </c:pt>
                <c:pt idx="1">
                  <c:v>I was too nervous to see a doctor</c:v>
                </c:pt>
                <c:pt idx="2">
                  <c:v>I didn't want anyone to know I have HIV</c:v>
                </c:pt>
                <c:pt idx="3">
                  <c:v>I didn't know where to go</c:v>
                </c:pt>
                <c:pt idx="4">
                  <c:v>I didn't want to think about having HIV</c:v>
                </c:pt>
                <c:pt idx="5">
                  <c:v>I didn't have any problems</c:v>
                </c:pt>
              </c:strCache>
            </c:strRef>
          </c:cat>
          <c:val>
            <c:numRef>
              <c:f>Sheet1!$B$1:$B$6</c:f>
              <c:numCache>
                <c:formatCode>0%</c:formatCode>
                <c:ptCount val="6"/>
                <c:pt idx="0">
                  <c:v>0.05</c:v>
                </c:pt>
                <c:pt idx="1">
                  <c:v>0.06</c:v>
                </c:pt>
                <c:pt idx="2">
                  <c:v>0.08</c:v>
                </c:pt>
                <c:pt idx="3">
                  <c:v>0.1</c:v>
                </c:pt>
                <c:pt idx="4">
                  <c:v>0.12</c:v>
                </c:pt>
                <c:pt idx="5">
                  <c:v>0.69</c:v>
                </c:pt>
              </c:numCache>
            </c:numRef>
          </c:val>
          <c:extLst xmlns:c16r2="http://schemas.microsoft.com/office/drawing/2015/06/chart">
            <c:ext xmlns:c16="http://schemas.microsoft.com/office/drawing/2014/chart" uri="{C3380CC4-5D6E-409C-BE32-E72D297353CC}">
              <c16:uniqueId val="{00000001-43B5-4853-B651-BEA80047CE8C}"/>
            </c:ext>
          </c:extLst>
        </c:ser>
        <c:dLbls>
          <c:dLblPos val="outEnd"/>
          <c:showLegendKey val="0"/>
          <c:showVal val="1"/>
          <c:showCatName val="0"/>
          <c:showSerName val="0"/>
          <c:showPercent val="0"/>
          <c:showBubbleSize val="0"/>
        </c:dLbls>
        <c:gapWidth val="150"/>
        <c:axId val="-783176672"/>
        <c:axId val="-783176128"/>
      </c:barChart>
      <c:catAx>
        <c:axId val="-783176672"/>
        <c:scaling>
          <c:orientation val="minMax"/>
        </c:scaling>
        <c:delete val="0"/>
        <c:axPos val="l"/>
        <c:numFmt formatCode="General" sourceLinked="0"/>
        <c:majorTickMark val="out"/>
        <c:minorTickMark val="none"/>
        <c:tickLblPos val="nextTo"/>
        <c:crossAx val="-783176128"/>
        <c:crosses val="autoZero"/>
        <c:auto val="1"/>
        <c:lblAlgn val="ctr"/>
        <c:lblOffset val="100"/>
        <c:noMultiLvlLbl val="0"/>
      </c:catAx>
      <c:valAx>
        <c:axId val="-783176128"/>
        <c:scaling>
          <c:orientation val="minMax"/>
          <c:max val="1"/>
        </c:scaling>
        <c:delete val="0"/>
        <c:axPos val="b"/>
        <c:numFmt formatCode="0%" sourceLinked="1"/>
        <c:majorTickMark val="out"/>
        <c:minorTickMark val="none"/>
        <c:tickLblPos val="nextTo"/>
        <c:crossAx val="-783176672"/>
        <c:crosses val="autoZero"/>
        <c:crossBetween val="between"/>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Most</a:t>
            </a:r>
            <a:r>
              <a:rPr lang="en-US" sz="1200" baseline="0"/>
              <a:t> Highly Used Services</a:t>
            </a:r>
            <a:endParaRPr lang="en-US" sz="1200"/>
          </a:p>
        </c:rich>
      </c:tx>
      <c:overlay val="1"/>
    </c:title>
    <c:autoTitleDeleted val="0"/>
    <c:plotArea>
      <c:layout>
        <c:manualLayout>
          <c:layoutTarget val="inner"/>
          <c:xMode val="edge"/>
          <c:yMode val="edge"/>
          <c:x val="0.51376941970828738"/>
          <c:y val="9.0177966548617275E-2"/>
          <c:w val="0.44772017425934724"/>
          <c:h val="0.81869581796865809"/>
        </c:manualLayout>
      </c:layout>
      <c:barChart>
        <c:barDir val="bar"/>
        <c:grouping val="clustered"/>
        <c:varyColors val="0"/>
        <c:ser>
          <c:idx val="0"/>
          <c:order val="0"/>
          <c:spPr>
            <a:solidFill>
              <a:srgbClr val="7030A0"/>
            </a:solidFill>
            <a:ln>
              <a:solidFill>
                <a:srgbClr val="7030A0"/>
              </a:solidFill>
            </a:ln>
            <a:scene3d>
              <a:camera prst="orthographicFront"/>
              <a:lightRig rig="threePt" dir="t"/>
            </a:scene3d>
            <a:sp3d>
              <a:bevelT/>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49-4786-B018-5AD73DE77231}"/>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Sheet1!$A$1:$A$14</c:f>
              <c:strCache>
                <c:ptCount val="14"/>
                <c:pt idx="0">
                  <c:v>Support groups</c:v>
                </c:pt>
                <c:pt idx="1">
                  <c:v>Help understanding medicines and how to take them</c:v>
                </c:pt>
                <c:pt idx="2">
                  <c:v>Specialty doctors</c:v>
                </c:pt>
                <c:pt idx="3">
                  <c:v>Nutrition help</c:v>
                </c:pt>
                <c:pt idx="4">
                  <c:v>Case management</c:v>
                </c:pt>
                <c:pt idx="5">
                  <c:v>Free condoms</c:v>
                </c:pt>
                <c:pt idx="6">
                  <c:v>Referrals to get other health care services</c:v>
                </c:pt>
                <c:pt idx="7">
                  <c:v>Mental health care</c:v>
                </c:pt>
                <c:pt idx="8">
                  <c:v>Transportation</c:v>
                </c:pt>
                <c:pt idx="9">
                  <c:v>Help getting food</c:v>
                </c:pt>
                <c:pt idx="10">
                  <c:v>Vision care</c:v>
                </c:pt>
                <c:pt idx="11">
                  <c:v>Dental care</c:v>
                </c:pt>
                <c:pt idx="12">
                  <c:v>Help paying for medicines</c:v>
                </c:pt>
                <c:pt idx="13">
                  <c:v>Medical care</c:v>
                </c:pt>
              </c:strCache>
            </c:strRef>
          </c:cat>
          <c:val>
            <c:numRef>
              <c:f>Sheet1!$B$1:$B$14</c:f>
              <c:numCache>
                <c:formatCode>0%</c:formatCode>
                <c:ptCount val="14"/>
                <c:pt idx="0">
                  <c:v>0.216</c:v>
                </c:pt>
                <c:pt idx="1">
                  <c:v>0.217</c:v>
                </c:pt>
                <c:pt idx="2">
                  <c:v>0.217</c:v>
                </c:pt>
                <c:pt idx="3">
                  <c:v>0.223</c:v>
                </c:pt>
                <c:pt idx="4">
                  <c:v>0.23699999999999999</c:v>
                </c:pt>
                <c:pt idx="5">
                  <c:v>0.24099999999999999</c:v>
                </c:pt>
                <c:pt idx="6">
                  <c:v>0.246</c:v>
                </c:pt>
                <c:pt idx="7">
                  <c:v>0.246</c:v>
                </c:pt>
                <c:pt idx="8">
                  <c:v>0.247</c:v>
                </c:pt>
                <c:pt idx="9">
                  <c:v>0.26</c:v>
                </c:pt>
                <c:pt idx="10">
                  <c:v>0.28999999999999998</c:v>
                </c:pt>
                <c:pt idx="11">
                  <c:v>0.43</c:v>
                </c:pt>
                <c:pt idx="12">
                  <c:v>0.59</c:v>
                </c:pt>
                <c:pt idx="13">
                  <c:v>0.72</c:v>
                </c:pt>
              </c:numCache>
            </c:numRef>
          </c:val>
          <c:extLst xmlns:c16r2="http://schemas.microsoft.com/office/drawing/2015/06/chart">
            <c:ext xmlns:c16="http://schemas.microsoft.com/office/drawing/2014/chart" uri="{C3380CC4-5D6E-409C-BE32-E72D297353CC}">
              <c16:uniqueId val="{00000001-D749-4786-B018-5AD73DE77231}"/>
            </c:ext>
          </c:extLst>
        </c:ser>
        <c:dLbls>
          <c:dLblPos val="outEnd"/>
          <c:showLegendKey val="0"/>
          <c:showVal val="1"/>
          <c:showCatName val="0"/>
          <c:showSerName val="0"/>
          <c:showPercent val="0"/>
          <c:showBubbleSize val="0"/>
        </c:dLbls>
        <c:gapWidth val="150"/>
        <c:axId val="-783174496"/>
        <c:axId val="-783173952"/>
      </c:barChart>
      <c:catAx>
        <c:axId val="-783174496"/>
        <c:scaling>
          <c:orientation val="minMax"/>
        </c:scaling>
        <c:delete val="0"/>
        <c:axPos val="l"/>
        <c:numFmt formatCode="General" sourceLinked="0"/>
        <c:majorTickMark val="out"/>
        <c:minorTickMark val="none"/>
        <c:tickLblPos val="nextTo"/>
        <c:crossAx val="-783173952"/>
        <c:crosses val="autoZero"/>
        <c:auto val="1"/>
        <c:lblAlgn val="ctr"/>
        <c:lblOffset val="100"/>
        <c:noMultiLvlLbl val="0"/>
      </c:catAx>
      <c:valAx>
        <c:axId val="-783173952"/>
        <c:scaling>
          <c:orientation val="minMax"/>
          <c:max val="1"/>
        </c:scaling>
        <c:delete val="0"/>
        <c:axPos val="b"/>
        <c:numFmt formatCode="0%" sourceLinked="1"/>
        <c:majorTickMark val="out"/>
        <c:minorTickMark val="none"/>
        <c:tickLblPos val="nextTo"/>
        <c:crossAx val="-783174496"/>
        <c:crosses val="autoZero"/>
        <c:crossBetween val="between"/>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Most</a:t>
            </a:r>
            <a:r>
              <a:rPr lang="en-US" sz="1200" baseline="0"/>
              <a:t> Needed Services</a:t>
            </a:r>
            <a:endParaRPr lang="en-US" sz="1200"/>
          </a:p>
        </c:rich>
      </c:tx>
      <c:overlay val="1"/>
    </c:title>
    <c:autoTitleDeleted val="0"/>
    <c:plotArea>
      <c:layout>
        <c:manualLayout>
          <c:layoutTarget val="inner"/>
          <c:xMode val="edge"/>
          <c:yMode val="edge"/>
          <c:x val="0.45600305257093182"/>
          <c:y val="0.14146005787738072"/>
          <c:w val="0.50548654139670279"/>
          <c:h val="0.70331112457096712"/>
        </c:manualLayout>
      </c:layout>
      <c:barChart>
        <c:barDir val="bar"/>
        <c:grouping val="clustered"/>
        <c:varyColors val="0"/>
        <c:ser>
          <c:idx val="0"/>
          <c:order val="0"/>
          <c:spPr>
            <a:solidFill>
              <a:schemeClr val="accent6">
                <a:lumMod val="60000"/>
                <a:lumOff val="40000"/>
              </a:schemeClr>
            </a:solidFill>
            <a:ln>
              <a:solidFill>
                <a:schemeClr val="accent6">
                  <a:lumMod val="60000"/>
                  <a:lumOff val="40000"/>
                </a:schemeClr>
              </a:solidFill>
            </a:ln>
            <a:scene3d>
              <a:camera prst="orthographicFront"/>
              <a:lightRig rig="threePt" dir="t"/>
            </a:scene3d>
            <a:sp3d>
              <a:bevelT/>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CD-446A-9C1C-78C0A893AE4B}"/>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Sheet1!$A$1:$A$8</c:f>
              <c:strCache>
                <c:ptCount val="8"/>
                <c:pt idx="0">
                  <c:v>Mental health care</c:v>
                </c:pt>
                <c:pt idx="1">
                  <c:v>Referrals to get other health care or services</c:v>
                </c:pt>
                <c:pt idx="2">
                  <c:v>Nutrition help</c:v>
                </c:pt>
                <c:pt idx="3">
                  <c:v>Specialty doctors</c:v>
                </c:pt>
                <c:pt idx="4">
                  <c:v>Transportation</c:v>
                </c:pt>
                <c:pt idx="5">
                  <c:v>Financial help</c:v>
                </c:pt>
                <c:pt idx="6">
                  <c:v>Dental care</c:v>
                </c:pt>
                <c:pt idx="7">
                  <c:v>Vision care</c:v>
                </c:pt>
              </c:strCache>
            </c:strRef>
          </c:cat>
          <c:val>
            <c:numRef>
              <c:f>Sheet1!$B$1:$B$8</c:f>
              <c:numCache>
                <c:formatCode>0%</c:formatCode>
                <c:ptCount val="8"/>
                <c:pt idx="0">
                  <c:v>8.5999999999999993E-2</c:v>
                </c:pt>
                <c:pt idx="1">
                  <c:v>0.10299999999999999</c:v>
                </c:pt>
                <c:pt idx="2">
                  <c:v>0.10299999999999999</c:v>
                </c:pt>
                <c:pt idx="3">
                  <c:v>0.109</c:v>
                </c:pt>
                <c:pt idx="4">
                  <c:v>0.121</c:v>
                </c:pt>
                <c:pt idx="5">
                  <c:v>0.161</c:v>
                </c:pt>
                <c:pt idx="6">
                  <c:v>0.25600000000000001</c:v>
                </c:pt>
                <c:pt idx="7">
                  <c:v>0.26700000000000002</c:v>
                </c:pt>
              </c:numCache>
            </c:numRef>
          </c:val>
          <c:extLst xmlns:c16r2="http://schemas.microsoft.com/office/drawing/2015/06/chart">
            <c:ext xmlns:c16="http://schemas.microsoft.com/office/drawing/2014/chart" uri="{C3380CC4-5D6E-409C-BE32-E72D297353CC}">
              <c16:uniqueId val="{00000001-40CD-446A-9C1C-78C0A893AE4B}"/>
            </c:ext>
          </c:extLst>
        </c:ser>
        <c:dLbls>
          <c:dLblPos val="outEnd"/>
          <c:showLegendKey val="0"/>
          <c:showVal val="1"/>
          <c:showCatName val="0"/>
          <c:showSerName val="0"/>
          <c:showPercent val="0"/>
          <c:showBubbleSize val="0"/>
        </c:dLbls>
        <c:gapWidth val="150"/>
        <c:axId val="-777878048"/>
        <c:axId val="-777870976"/>
      </c:barChart>
      <c:catAx>
        <c:axId val="-777878048"/>
        <c:scaling>
          <c:orientation val="minMax"/>
        </c:scaling>
        <c:delete val="0"/>
        <c:axPos val="l"/>
        <c:numFmt formatCode="General" sourceLinked="0"/>
        <c:majorTickMark val="out"/>
        <c:minorTickMark val="none"/>
        <c:tickLblPos val="nextTo"/>
        <c:crossAx val="-777870976"/>
        <c:crosses val="autoZero"/>
        <c:auto val="1"/>
        <c:lblAlgn val="ctr"/>
        <c:lblOffset val="100"/>
        <c:noMultiLvlLbl val="0"/>
      </c:catAx>
      <c:valAx>
        <c:axId val="-777870976"/>
        <c:scaling>
          <c:orientation val="minMax"/>
          <c:max val="1"/>
        </c:scaling>
        <c:delete val="0"/>
        <c:axPos val="b"/>
        <c:numFmt formatCode="0%" sourceLinked="1"/>
        <c:majorTickMark val="out"/>
        <c:minorTickMark val="none"/>
        <c:tickLblPos val="nextTo"/>
        <c:crossAx val="-777878048"/>
        <c:crosses val="autoZero"/>
        <c:crossBetween val="between"/>
      </c:valAx>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Mean Service Usage and Needs by Gender</a:t>
            </a:r>
          </a:p>
        </c:rich>
      </c:tx>
      <c:layout>
        <c:manualLayout>
          <c:xMode val="edge"/>
          <c:yMode val="edge"/>
          <c:x val="0.3279096290755697"/>
          <c:y val="0"/>
        </c:manualLayout>
      </c:layout>
      <c:overlay val="1"/>
    </c:title>
    <c:autoTitleDeleted val="0"/>
    <c:plotArea>
      <c:layout>
        <c:manualLayout>
          <c:layoutTarget val="inner"/>
          <c:xMode val="edge"/>
          <c:yMode val="edge"/>
          <c:x val="8.1591413717701206E-2"/>
          <c:y val="8.8800225475171315E-2"/>
          <c:w val="0.87347969501244971"/>
          <c:h val="0.65932498370589587"/>
        </c:manualLayout>
      </c:layout>
      <c:barChart>
        <c:barDir val="col"/>
        <c:grouping val="clustered"/>
        <c:varyColors val="0"/>
        <c:ser>
          <c:idx val="0"/>
          <c:order val="0"/>
          <c:tx>
            <c:strRef>
              <c:f>Sheet1!$B$1</c:f>
              <c:strCache>
                <c:ptCount val="1"/>
                <c:pt idx="0">
                  <c:v>Services Used</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69-4438-9142-4957777DB1EB}"/>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Female</c:v>
                </c:pt>
                <c:pt idx="1">
                  <c:v>Male</c:v>
                </c:pt>
              </c:strCache>
            </c:strRef>
          </c:cat>
          <c:val>
            <c:numRef>
              <c:f>Sheet1!$B$2:$B$3</c:f>
              <c:numCache>
                <c:formatCode>0.0</c:formatCode>
                <c:ptCount val="2"/>
                <c:pt idx="0">
                  <c:v>5.3</c:v>
                </c:pt>
                <c:pt idx="1">
                  <c:v>5.0999999999999996</c:v>
                </c:pt>
              </c:numCache>
            </c:numRef>
          </c:val>
          <c:extLst xmlns:c16r2="http://schemas.microsoft.com/office/drawing/2015/06/chart">
            <c:ext xmlns:c16="http://schemas.microsoft.com/office/drawing/2014/chart" uri="{C3380CC4-5D6E-409C-BE32-E72D297353CC}">
              <c16:uniqueId val="{00000001-9169-4438-9142-4957777DB1EB}"/>
            </c:ext>
          </c:extLst>
        </c:ser>
        <c:ser>
          <c:idx val="1"/>
          <c:order val="1"/>
          <c:tx>
            <c:strRef>
              <c:f>Sheet1!$C$1</c:f>
              <c:strCache>
                <c:ptCount val="1"/>
                <c:pt idx="0">
                  <c:v>Services Needed</c:v>
                </c:pt>
              </c:strCache>
            </c:strRef>
          </c:tx>
          <c:spPr>
            <a:solidFill>
              <a:schemeClr val="accent2">
                <a:lumMod val="50000"/>
              </a:schemeClr>
            </a:solid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Female</c:v>
                </c:pt>
                <c:pt idx="1">
                  <c:v>Male</c:v>
                </c:pt>
              </c:strCache>
            </c:strRef>
          </c:cat>
          <c:val>
            <c:numRef>
              <c:f>Sheet1!$C$2:$C$3</c:f>
              <c:numCache>
                <c:formatCode>0.0</c:formatCode>
                <c:ptCount val="2"/>
                <c:pt idx="0">
                  <c:v>1.2</c:v>
                </c:pt>
                <c:pt idx="1">
                  <c:v>2.1</c:v>
                </c:pt>
              </c:numCache>
            </c:numRef>
          </c:val>
          <c:extLst xmlns:c16r2="http://schemas.microsoft.com/office/drawing/2015/06/chart">
            <c:ext xmlns:c16="http://schemas.microsoft.com/office/drawing/2014/chart" uri="{C3380CC4-5D6E-409C-BE32-E72D297353CC}">
              <c16:uniqueId val="{00000002-9169-4438-9142-4957777DB1EB}"/>
            </c:ext>
          </c:extLst>
        </c:ser>
        <c:dLbls>
          <c:dLblPos val="outEnd"/>
          <c:showLegendKey val="0"/>
          <c:showVal val="1"/>
          <c:showCatName val="0"/>
          <c:showSerName val="0"/>
          <c:showPercent val="0"/>
          <c:showBubbleSize val="0"/>
        </c:dLbls>
        <c:gapWidth val="150"/>
        <c:axId val="-777871520"/>
        <c:axId val="-777866080"/>
      </c:barChart>
      <c:catAx>
        <c:axId val="-777871520"/>
        <c:scaling>
          <c:orientation val="minMax"/>
        </c:scaling>
        <c:delete val="0"/>
        <c:axPos val="b"/>
        <c:numFmt formatCode="General" sourceLinked="0"/>
        <c:majorTickMark val="out"/>
        <c:minorTickMark val="none"/>
        <c:tickLblPos val="nextTo"/>
        <c:crossAx val="-777866080"/>
        <c:crosses val="autoZero"/>
        <c:auto val="1"/>
        <c:lblAlgn val="ctr"/>
        <c:lblOffset val="100"/>
        <c:noMultiLvlLbl val="0"/>
      </c:catAx>
      <c:valAx>
        <c:axId val="-777866080"/>
        <c:scaling>
          <c:orientation val="minMax"/>
        </c:scaling>
        <c:delete val="0"/>
        <c:axPos val="l"/>
        <c:title>
          <c:tx>
            <c:rich>
              <a:bodyPr/>
              <a:lstStyle/>
              <a:p>
                <a:pPr>
                  <a:defRPr/>
                </a:pPr>
                <a:r>
                  <a:rPr lang="en-US"/>
                  <a:t>Mean</a:t>
                </a:r>
              </a:p>
            </c:rich>
          </c:tx>
          <c:overlay val="0"/>
        </c:title>
        <c:numFmt formatCode="0.0" sourceLinked="1"/>
        <c:majorTickMark val="out"/>
        <c:minorTickMark val="none"/>
        <c:tickLblPos val="nextTo"/>
        <c:crossAx val="-777871520"/>
        <c:crosses val="autoZero"/>
        <c:crossBetween val="between"/>
      </c:valAx>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Mean Service Usage and Needs by Age Group</a:t>
            </a:r>
          </a:p>
        </c:rich>
      </c:tx>
      <c:layout>
        <c:manualLayout>
          <c:xMode val="edge"/>
          <c:yMode val="edge"/>
          <c:x val="0.3279096290755697"/>
          <c:y val="0"/>
        </c:manualLayout>
      </c:layout>
      <c:overlay val="1"/>
    </c:title>
    <c:autoTitleDeleted val="0"/>
    <c:plotArea>
      <c:layout>
        <c:manualLayout>
          <c:layoutTarget val="inner"/>
          <c:xMode val="edge"/>
          <c:yMode val="edge"/>
          <c:x val="8.1591413717701206E-2"/>
          <c:y val="8.8800225475171315E-2"/>
          <c:w val="0.87347969501244971"/>
          <c:h val="0.65932498370589587"/>
        </c:manualLayout>
      </c:layout>
      <c:barChart>
        <c:barDir val="col"/>
        <c:grouping val="clustered"/>
        <c:varyColors val="0"/>
        <c:ser>
          <c:idx val="0"/>
          <c:order val="0"/>
          <c:tx>
            <c:strRef>
              <c:f>Sheet1!$B$1</c:f>
              <c:strCache>
                <c:ptCount val="1"/>
                <c:pt idx="0">
                  <c:v>Services Used</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F9-4C90-BB21-AB68900212D4}"/>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&gt;35 years</c:v>
                </c:pt>
                <c:pt idx="1">
                  <c:v>35-44 years</c:v>
                </c:pt>
                <c:pt idx="2">
                  <c:v>45-54 years</c:v>
                </c:pt>
                <c:pt idx="3">
                  <c:v>55+ years</c:v>
                </c:pt>
              </c:strCache>
            </c:strRef>
          </c:cat>
          <c:val>
            <c:numRef>
              <c:f>Sheet1!$B$2:$B$5</c:f>
              <c:numCache>
                <c:formatCode>0.0</c:formatCode>
                <c:ptCount val="4"/>
                <c:pt idx="0">
                  <c:v>4.5</c:v>
                </c:pt>
                <c:pt idx="1">
                  <c:v>4.9000000000000004</c:v>
                </c:pt>
                <c:pt idx="2">
                  <c:v>5.66</c:v>
                </c:pt>
                <c:pt idx="3">
                  <c:v>5.98</c:v>
                </c:pt>
              </c:numCache>
            </c:numRef>
          </c:val>
          <c:extLst xmlns:c16r2="http://schemas.microsoft.com/office/drawing/2015/06/chart">
            <c:ext xmlns:c16="http://schemas.microsoft.com/office/drawing/2014/chart" uri="{C3380CC4-5D6E-409C-BE32-E72D297353CC}">
              <c16:uniqueId val="{00000001-C8F9-4C90-BB21-AB68900212D4}"/>
            </c:ext>
          </c:extLst>
        </c:ser>
        <c:ser>
          <c:idx val="1"/>
          <c:order val="1"/>
          <c:tx>
            <c:strRef>
              <c:f>Sheet1!$C$1</c:f>
              <c:strCache>
                <c:ptCount val="1"/>
                <c:pt idx="0">
                  <c:v>Services Needed</c:v>
                </c:pt>
              </c:strCache>
            </c:strRef>
          </c:tx>
          <c:spPr>
            <a:solidFill>
              <a:schemeClr val="accent2">
                <a:lumMod val="50000"/>
              </a:schemeClr>
            </a:solid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&gt;35 years</c:v>
                </c:pt>
                <c:pt idx="1">
                  <c:v>35-44 years</c:v>
                </c:pt>
                <c:pt idx="2">
                  <c:v>45-54 years</c:v>
                </c:pt>
                <c:pt idx="3">
                  <c:v>55+ years</c:v>
                </c:pt>
              </c:strCache>
            </c:strRef>
          </c:cat>
          <c:val>
            <c:numRef>
              <c:f>Sheet1!$C$2:$C$5</c:f>
              <c:numCache>
                <c:formatCode>0.0</c:formatCode>
                <c:ptCount val="4"/>
                <c:pt idx="0">
                  <c:v>2.0299999999999998</c:v>
                </c:pt>
                <c:pt idx="1">
                  <c:v>2.29</c:v>
                </c:pt>
                <c:pt idx="2">
                  <c:v>1.6</c:v>
                </c:pt>
                <c:pt idx="3">
                  <c:v>1.73</c:v>
                </c:pt>
              </c:numCache>
            </c:numRef>
          </c:val>
          <c:extLst xmlns:c16r2="http://schemas.microsoft.com/office/drawing/2015/06/chart">
            <c:ext xmlns:c16="http://schemas.microsoft.com/office/drawing/2014/chart" uri="{C3380CC4-5D6E-409C-BE32-E72D297353CC}">
              <c16:uniqueId val="{00000002-C8F9-4C90-BB21-AB68900212D4}"/>
            </c:ext>
          </c:extLst>
        </c:ser>
        <c:dLbls>
          <c:dLblPos val="outEnd"/>
          <c:showLegendKey val="0"/>
          <c:showVal val="1"/>
          <c:showCatName val="0"/>
          <c:showSerName val="0"/>
          <c:showPercent val="0"/>
          <c:showBubbleSize val="0"/>
        </c:dLbls>
        <c:gapWidth val="150"/>
        <c:axId val="-777885664"/>
        <c:axId val="-777863360"/>
      </c:barChart>
      <c:catAx>
        <c:axId val="-777885664"/>
        <c:scaling>
          <c:orientation val="minMax"/>
        </c:scaling>
        <c:delete val="0"/>
        <c:axPos val="b"/>
        <c:numFmt formatCode="General" sourceLinked="0"/>
        <c:majorTickMark val="out"/>
        <c:minorTickMark val="none"/>
        <c:tickLblPos val="nextTo"/>
        <c:crossAx val="-777863360"/>
        <c:crosses val="autoZero"/>
        <c:auto val="1"/>
        <c:lblAlgn val="ctr"/>
        <c:lblOffset val="100"/>
        <c:noMultiLvlLbl val="0"/>
      </c:catAx>
      <c:valAx>
        <c:axId val="-777863360"/>
        <c:scaling>
          <c:orientation val="minMax"/>
        </c:scaling>
        <c:delete val="0"/>
        <c:axPos val="l"/>
        <c:title>
          <c:tx>
            <c:rich>
              <a:bodyPr/>
              <a:lstStyle/>
              <a:p>
                <a:pPr>
                  <a:defRPr/>
                </a:pPr>
                <a:r>
                  <a:rPr lang="en-US"/>
                  <a:t>Mean</a:t>
                </a:r>
              </a:p>
            </c:rich>
          </c:tx>
          <c:overlay val="0"/>
        </c:title>
        <c:numFmt formatCode="0.0" sourceLinked="1"/>
        <c:majorTickMark val="out"/>
        <c:minorTickMark val="none"/>
        <c:tickLblPos val="nextTo"/>
        <c:crossAx val="-777885664"/>
        <c:crosses val="autoZero"/>
        <c:crossBetween val="between"/>
      </c:valAx>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Mean Service Usage and Needs by Years Since Diagnosis</a:t>
            </a:r>
          </a:p>
        </c:rich>
      </c:tx>
      <c:layout>
        <c:manualLayout>
          <c:xMode val="edge"/>
          <c:yMode val="edge"/>
          <c:x val="0.24446932098827825"/>
          <c:y val="0"/>
        </c:manualLayout>
      </c:layout>
      <c:overlay val="1"/>
    </c:title>
    <c:autoTitleDeleted val="0"/>
    <c:plotArea>
      <c:layout>
        <c:manualLayout>
          <c:layoutTarget val="inner"/>
          <c:xMode val="edge"/>
          <c:yMode val="edge"/>
          <c:x val="8.1591413717701206E-2"/>
          <c:y val="0.11564586305906392"/>
          <c:w val="0.87347969501244971"/>
          <c:h val="0.63247934612200318"/>
        </c:manualLayout>
      </c:layout>
      <c:barChart>
        <c:barDir val="col"/>
        <c:grouping val="clustered"/>
        <c:varyColors val="0"/>
        <c:ser>
          <c:idx val="0"/>
          <c:order val="0"/>
          <c:tx>
            <c:strRef>
              <c:f>Sheet1!$B$1</c:f>
              <c:strCache>
                <c:ptCount val="1"/>
                <c:pt idx="0">
                  <c:v>Services Used</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DF-42C7-B072-AB10A76C899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0-2 years</c:v>
                </c:pt>
                <c:pt idx="1">
                  <c:v>3-5 years</c:v>
                </c:pt>
                <c:pt idx="2">
                  <c:v>6-10 years</c:v>
                </c:pt>
                <c:pt idx="3">
                  <c:v>11-20 years</c:v>
                </c:pt>
                <c:pt idx="4">
                  <c:v>21+ years</c:v>
                </c:pt>
              </c:strCache>
            </c:strRef>
          </c:cat>
          <c:val>
            <c:numRef>
              <c:f>Sheet1!$B$2:$B$6</c:f>
              <c:numCache>
                <c:formatCode>0.0</c:formatCode>
                <c:ptCount val="5"/>
                <c:pt idx="0">
                  <c:v>5.04</c:v>
                </c:pt>
                <c:pt idx="1">
                  <c:v>4</c:v>
                </c:pt>
                <c:pt idx="2">
                  <c:v>6.6</c:v>
                </c:pt>
                <c:pt idx="3">
                  <c:v>6.13</c:v>
                </c:pt>
                <c:pt idx="4">
                  <c:v>4.97</c:v>
                </c:pt>
              </c:numCache>
            </c:numRef>
          </c:val>
          <c:extLst xmlns:c16r2="http://schemas.microsoft.com/office/drawing/2015/06/chart">
            <c:ext xmlns:c16="http://schemas.microsoft.com/office/drawing/2014/chart" uri="{C3380CC4-5D6E-409C-BE32-E72D297353CC}">
              <c16:uniqueId val="{00000001-BEDF-42C7-B072-AB10A76C899D}"/>
            </c:ext>
          </c:extLst>
        </c:ser>
        <c:ser>
          <c:idx val="1"/>
          <c:order val="1"/>
          <c:tx>
            <c:strRef>
              <c:f>Sheet1!$C$1</c:f>
              <c:strCache>
                <c:ptCount val="1"/>
                <c:pt idx="0">
                  <c:v>Services Needed</c:v>
                </c:pt>
              </c:strCache>
            </c:strRef>
          </c:tx>
          <c:spPr>
            <a:solidFill>
              <a:schemeClr val="accent2">
                <a:lumMod val="50000"/>
              </a:schemeClr>
            </a:solid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0-2 years</c:v>
                </c:pt>
                <c:pt idx="1">
                  <c:v>3-5 years</c:v>
                </c:pt>
                <c:pt idx="2">
                  <c:v>6-10 years</c:v>
                </c:pt>
                <c:pt idx="3">
                  <c:v>11-20 years</c:v>
                </c:pt>
                <c:pt idx="4">
                  <c:v>21+ years</c:v>
                </c:pt>
              </c:strCache>
            </c:strRef>
          </c:cat>
          <c:val>
            <c:numRef>
              <c:f>Sheet1!$C$2:$C$6</c:f>
              <c:numCache>
                <c:formatCode>0.0</c:formatCode>
                <c:ptCount val="5"/>
                <c:pt idx="0">
                  <c:v>2.36</c:v>
                </c:pt>
                <c:pt idx="1">
                  <c:v>2.21</c:v>
                </c:pt>
                <c:pt idx="2">
                  <c:v>1.3</c:v>
                </c:pt>
                <c:pt idx="3">
                  <c:v>1.63</c:v>
                </c:pt>
                <c:pt idx="4">
                  <c:v>1.86</c:v>
                </c:pt>
              </c:numCache>
            </c:numRef>
          </c:val>
          <c:extLst xmlns:c16r2="http://schemas.microsoft.com/office/drawing/2015/06/chart">
            <c:ext xmlns:c16="http://schemas.microsoft.com/office/drawing/2014/chart" uri="{C3380CC4-5D6E-409C-BE32-E72D297353CC}">
              <c16:uniqueId val="{00000002-BEDF-42C7-B072-AB10A76C899D}"/>
            </c:ext>
          </c:extLst>
        </c:ser>
        <c:dLbls>
          <c:dLblPos val="outEnd"/>
          <c:showLegendKey val="0"/>
          <c:showVal val="1"/>
          <c:showCatName val="0"/>
          <c:showSerName val="0"/>
          <c:showPercent val="0"/>
          <c:showBubbleSize val="0"/>
        </c:dLbls>
        <c:gapWidth val="150"/>
        <c:axId val="-777892736"/>
        <c:axId val="-777870432"/>
      </c:barChart>
      <c:catAx>
        <c:axId val="-777892736"/>
        <c:scaling>
          <c:orientation val="minMax"/>
        </c:scaling>
        <c:delete val="0"/>
        <c:axPos val="b"/>
        <c:numFmt formatCode="General" sourceLinked="0"/>
        <c:majorTickMark val="out"/>
        <c:minorTickMark val="none"/>
        <c:tickLblPos val="nextTo"/>
        <c:crossAx val="-777870432"/>
        <c:crosses val="autoZero"/>
        <c:auto val="1"/>
        <c:lblAlgn val="ctr"/>
        <c:lblOffset val="100"/>
        <c:noMultiLvlLbl val="0"/>
      </c:catAx>
      <c:valAx>
        <c:axId val="-777870432"/>
        <c:scaling>
          <c:orientation val="minMax"/>
        </c:scaling>
        <c:delete val="0"/>
        <c:axPos val="l"/>
        <c:title>
          <c:tx>
            <c:rich>
              <a:bodyPr/>
              <a:lstStyle/>
              <a:p>
                <a:pPr>
                  <a:defRPr/>
                </a:pPr>
                <a:r>
                  <a:rPr lang="en-US"/>
                  <a:t>Mean</a:t>
                </a:r>
              </a:p>
            </c:rich>
          </c:tx>
          <c:overlay val="0"/>
        </c:title>
        <c:numFmt formatCode="0.0" sourceLinked="1"/>
        <c:majorTickMark val="out"/>
        <c:minorTickMark val="none"/>
        <c:tickLblPos val="nextTo"/>
        <c:crossAx val="-777892736"/>
        <c:crosses val="autoZero"/>
        <c:crossBetween val="between"/>
      </c:valAx>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Mean Service Usage and Needs by County</a:t>
            </a:r>
          </a:p>
        </c:rich>
      </c:tx>
      <c:layout>
        <c:manualLayout>
          <c:xMode val="edge"/>
          <c:yMode val="edge"/>
          <c:x val="0.3279096290755697"/>
          <c:y val="0"/>
        </c:manualLayout>
      </c:layout>
      <c:overlay val="1"/>
    </c:title>
    <c:autoTitleDeleted val="0"/>
    <c:plotArea>
      <c:layout>
        <c:manualLayout>
          <c:layoutTarget val="inner"/>
          <c:xMode val="edge"/>
          <c:yMode val="edge"/>
          <c:x val="8.1591413717701206E-2"/>
          <c:y val="8.8800225475171315E-2"/>
          <c:w val="0.87347969501244971"/>
          <c:h val="0.65932498370589587"/>
        </c:manualLayout>
      </c:layout>
      <c:barChart>
        <c:barDir val="col"/>
        <c:grouping val="clustered"/>
        <c:varyColors val="0"/>
        <c:ser>
          <c:idx val="0"/>
          <c:order val="0"/>
          <c:tx>
            <c:strRef>
              <c:f>Sheet1!$B$1</c:f>
              <c:strCache>
                <c:ptCount val="1"/>
                <c:pt idx="0">
                  <c:v>Services Used</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BB-4FCB-8DC2-6364EA0CAB02}"/>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Clark</c:v>
                </c:pt>
                <c:pt idx="1">
                  <c:v>Washoe</c:v>
                </c:pt>
              </c:strCache>
            </c:strRef>
          </c:cat>
          <c:val>
            <c:numRef>
              <c:f>Sheet1!$B$2:$B$3</c:f>
              <c:numCache>
                <c:formatCode>0.0</c:formatCode>
                <c:ptCount val="2"/>
                <c:pt idx="0">
                  <c:v>5.24</c:v>
                </c:pt>
                <c:pt idx="1">
                  <c:v>4.55</c:v>
                </c:pt>
              </c:numCache>
            </c:numRef>
          </c:val>
          <c:extLst xmlns:c16r2="http://schemas.microsoft.com/office/drawing/2015/06/chart">
            <c:ext xmlns:c16="http://schemas.microsoft.com/office/drawing/2014/chart" uri="{C3380CC4-5D6E-409C-BE32-E72D297353CC}">
              <c16:uniqueId val="{00000001-DFBB-4FCB-8DC2-6364EA0CAB02}"/>
            </c:ext>
          </c:extLst>
        </c:ser>
        <c:ser>
          <c:idx val="1"/>
          <c:order val="1"/>
          <c:tx>
            <c:strRef>
              <c:f>Sheet1!$C$1</c:f>
              <c:strCache>
                <c:ptCount val="1"/>
                <c:pt idx="0">
                  <c:v>Services Needed</c:v>
                </c:pt>
              </c:strCache>
            </c:strRef>
          </c:tx>
          <c:spPr>
            <a:solidFill>
              <a:schemeClr val="accent2">
                <a:lumMod val="50000"/>
              </a:schemeClr>
            </a:solidFill>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Clark</c:v>
                </c:pt>
                <c:pt idx="1">
                  <c:v>Washoe</c:v>
                </c:pt>
              </c:strCache>
            </c:strRef>
          </c:cat>
          <c:val>
            <c:numRef>
              <c:f>Sheet1!$C$2:$C$3</c:f>
              <c:numCache>
                <c:formatCode>0.0</c:formatCode>
                <c:ptCount val="2"/>
                <c:pt idx="0">
                  <c:v>1.76</c:v>
                </c:pt>
                <c:pt idx="1">
                  <c:v>2.27</c:v>
                </c:pt>
              </c:numCache>
            </c:numRef>
          </c:val>
          <c:extLst xmlns:c16r2="http://schemas.microsoft.com/office/drawing/2015/06/chart">
            <c:ext xmlns:c16="http://schemas.microsoft.com/office/drawing/2014/chart" uri="{C3380CC4-5D6E-409C-BE32-E72D297353CC}">
              <c16:uniqueId val="{00000002-DFBB-4FCB-8DC2-6364EA0CAB02}"/>
            </c:ext>
          </c:extLst>
        </c:ser>
        <c:dLbls>
          <c:dLblPos val="outEnd"/>
          <c:showLegendKey val="0"/>
          <c:showVal val="1"/>
          <c:showCatName val="0"/>
          <c:showSerName val="0"/>
          <c:showPercent val="0"/>
          <c:showBubbleSize val="0"/>
        </c:dLbls>
        <c:gapWidth val="150"/>
        <c:axId val="-777880224"/>
        <c:axId val="-777869888"/>
      </c:barChart>
      <c:catAx>
        <c:axId val="-777880224"/>
        <c:scaling>
          <c:orientation val="minMax"/>
        </c:scaling>
        <c:delete val="0"/>
        <c:axPos val="b"/>
        <c:numFmt formatCode="General" sourceLinked="0"/>
        <c:majorTickMark val="out"/>
        <c:minorTickMark val="none"/>
        <c:tickLblPos val="nextTo"/>
        <c:crossAx val="-777869888"/>
        <c:crosses val="autoZero"/>
        <c:auto val="1"/>
        <c:lblAlgn val="ctr"/>
        <c:lblOffset val="100"/>
        <c:noMultiLvlLbl val="0"/>
      </c:catAx>
      <c:valAx>
        <c:axId val="-777869888"/>
        <c:scaling>
          <c:orientation val="minMax"/>
        </c:scaling>
        <c:delete val="0"/>
        <c:axPos val="l"/>
        <c:title>
          <c:tx>
            <c:rich>
              <a:bodyPr/>
              <a:lstStyle/>
              <a:p>
                <a:pPr>
                  <a:defRPr/>
                </a:pPr>
                <a:r>
                  <a:rPr lang="en-US"/>
                  <a:t>Mean</a:t>
                </a:r>
              </a:p>
            </c:rich>
          </c:tx>
          <c:overlay val="0"/>
        </c:title>
        <c:numFmt formatCode="0.0" sourceLinked="1"/>
        <c:majorTickMark val="out"/>
        <c:minorTickMark val="none"/>
        <c:tickLblPos val="nextTo"/>
        <c:crossAx val="-777880224"/>
        <c:crosses val="autoZero"/>
        <c:crossBetween val="between"/>
      </c:valAx>
      <c:spPr>
        <a:noFill/>
        <a:ln w="25400">
          <a:noFill/>
        </a:ln>
      </c:spPr>
    </c:plotArea>
    <c:legend>
      <c:legendPos val="b"/>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Top Reasons for Not</a:t>
            </a:r>
            <a:r>
              <a:rPr lang="en-US" sz="1200" baseline="0"/>
              <a:t> Receiving Needed Services</a:t>
            </a:r>
            <a:endParaRPr lang="en-US" sz="1200"/>
          </a:p>
        </c:rich>
      </c:tx>
      <c:overlay val="1"/>
    </c:title>
    <c:autoTitleDeleted val="0"/>
    <c:plotArea>
      <c:layout>
        <c:manualLayout>
          <c:layoutTarget val="inner"/>
          <c:xMode val="edge"/>
          <c:yMode val="edge"/>
          <c:x val="0.45600305257093182"/>
          <c:y val="0.14146005787738072"/>
          <c:w val="0.50548654139670279"/>
          <c:h val="0.70331112457096712"/>
        </c:manualLayout>
      </c:layout>
      <c:barChart>
        <c:barDir val="bar"/>
        <c:grouping val="clustered"/>
        <c:varyColors val="0"/>
        <c:ser>
          <c:idx val="0"/>
          <c:order val="0"/>
          <c:spPr>
            <a:scene3d>
              <a:camera prst="orthographicFront"/>
              <a:lightRig rig="threePt" dir="t"/>
            </a:scene3d>
            <a:sp3d>
              <a:bevelT/>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A5-48E2-B606-F68CC5433A2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Sheet1!$A$1:$A$8</c:f>
              <c:strCache>
                <c:ptCount val="8"/>
                <c:pt idx="0">
                  <c:v>It takes too much time</c:v>
                </c:pt>
                <c:pt idx="1">
                  <c:v>Eligibility process is too hard</c:v>
                </c:pt>
                <c:pt idx="2">
                  <c:v>Services not available</c:v>
                </c:pt>
                <c:pt idx="3">
                  <c:v>I don't have transportation</c:v>
                </c:pt>
                <c:pt idx="4">
                  <c:v>I don't qualify for the services</c:v>
                </c:pt>
                <c:pt idx="5">
                  <c:v>Services cost too much</c:v>
                </c:pt>
                <c:pt idx="6">
                  <c:v>Services not covered by insurance</c:v>
                </c:pt>
                <c:pt idx="7">
                  <c:v>I don't know where to go</c:v>
                </c:pt>
              </c:strCache>
            </c:strRef>
          </c:cat>
          <c:val>
            <c:numRef>
              <c:f>Sheet1!$B$1:$B$8</c:f>
              <c:numCache>
                <c:formatCode>0%</c:formatCode>
                <c:ptCount val="8"/>
                <c:pt idx="0">
                  <c:v>5.1999999999999998E-2</c:v>
                </c:pt>
                <c:pt idx="1">
                  <c:v>5.1999999999999998E-2</c:v>
                </c:pt>
                <c:pt idx="2">
                  <c:v>5.1999999999999998E-2</c:v>
                </c:pt>
                <c:pt idx="3">
                  <c:v>6.3E-2</c:v>
                </c:pt>
                <c:pt idx="4">
                  <c:v>9.8000000000000004E-2</c:v>
                </c:pt>
                <c:pt idx="5">
                  <c:v>0.10199999999999999</c:v>
                </c:pt>
                <c:pt idx="6">
                  <c:v>0.17599999999999999</c:v>
                </c:pt>
                <c:pt idx="7">
                  <c:v>0.24099999999999999</c:v>
                </c:pt>
              </c:numCache>
            </c:numRef>
          </c:val>
          <c:extLst xmlns:c16r2="http://schemas.microsoft.com/office/drawing/2015/06/chart">
            <c:ext xmlns:c16="http://schemas.microsoft.com/office/drawing/2014/chart" uri="{C3380CC4-5D6E-409C-BE32-E72D297353CC}">
              <c16:uniqueId val="{00000001-1AA5-48E2-B606-F68CC5433A20}"/>
            </c:ext>
          </c:extLst>
        </c:ser>
        <c:dLbls>
          <c:dLblPos val="outEnd"/>
          <c:showLegendKey val="0"/>
          <c:showVal val="1"/>
          <c:showCatName val="0"/>
          <c:showSerName val="0"/>
          <c:showPercent val="0"/>
          <c:showBubbleSize val="0"/>
        </c:dLbls>
        <c:gapWidth val="150"/>
        <c:axId val="-777867168"/>
        <c:axId val="-777892192"/>
      </c:barChart>
      <c:catAx>
        <c:axId val="-777867168"/>
        <c:scaling>
          <c:orientation val="minMax"/>
        </c:scaling>
        <c:delete val="0"/>
        <c:axPos val="l"/>
        <c:numFmt formatCode="General" sourceLinked="0"/>
        <c:majorTickMark val="out"/>
        <c:minorTickMark val="none"/>
        <c:tickLblPos val="nextTo"/>
        <c:crossAx val="-777892192"/>
        <c:crosses val="autoZero"/>
        <c:auto val="1"/>
        <c:lblAlgn val="ctr"/>
        <c:lblOffset val="100"/>
        <c:noMultiLvlLbl val="0"/>
      </c:catAx>
      <c:valAx>
        <c:axId val="-777892192"/>
        <c:scaling>
          <c:orientation val="minMax"/>
          <c:max val="1"/>
        </c:scaling>
        <c:delete val="0"/>
        <c:axPos val="b"/>
        <c:numFmt formatCode="0%" sourceLinked="1"/>
        <c:majorTickMark val="out"/>
        <c:minorTickMark val="none"/>
        <c:tickLblPos val="nextTo"/>
        <c:crossAx val="-777867168"/>
        <c:crosses val="autoZero"/>
        <c:crossBetween val="between"/>
      </c:valAx>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Ever Stopped Taking HIV medicines in Last</a:t>
            </a:r>
            <a:r>
              <a:rPr lang="en-US" sz="1200" baseline="0"/>
              <a:t> </a:t>
            </a:r>
            <a:r>
              <a:rPr lang="en-US" sz="1200"/>
              <a:t>Two Years</a:t>
            </a:r>
          </a:p>
        </c:rich>
      </c:tx>
      <c:layout>
        <c:manualLayout>
          <c:xMode val="edge"/>
          <c:yMode val="edge"/>
          <c:x val="0.23960205391527603"/>
          <c:y val="1.6447368421052631E-2"/>
        </c:manualLayout>
      </c:layout>
      <c:overlay val="1"/>
    </c:title>
    <c:autoTitleDeleted val="0"/>
    <c:plotArea>
      <c:layout>
        <c:manualLayout>
          <c:layoutTarget val="inner"/>
          <c:xMode val="edge"/>
          <c:yMode val="edge"/>
          <c:x val="8.8009898955185156E-2"/>
          <c:y val="0.1373178270479348"/>
          <c:w val="0.80073686232096475"/>
          <c:h val="0.61086605539439154"/>
        </c:manualLayout>
      </c:layout>
      <c:barChart>
        <c:barDir val="col"/>
        <c:grouping val="clustered"/>
        <c:varyColors val="0"/>
        <c:ser>
          <c:idx val="0"/>
          <c:order val="0"/>
          <c:tx>
            <c:strRef>
              <c:f>Sheet1!$A$2</c:f>
              <c:strCache>
                <c:ptCount val="1"/>
                <c:pt idx="0">
                  <c:v>No</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A9-4726-8C05-AC4F0406FDF4}"/>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Sheet1!$A$3</c:f>
              <c:numCache>
                <c:formatCode>0%</c:formatCode>
                <c:ptCount val="1"/>
                <c:pt idx="0">
                  <c:v>0.67</c:v>
                </c:pt>
              </c:numCache>
            </c:numRef>
          </c:val>
          <c:extLst xmlns:c16r2="http://schemas.microsoft.com/office/drawing/2015/06/chart">
            <c:ext xmlns:c16="http://schemas.microsoft.com/office/drawing/2014/chart" uri="{C3380CC4-5D6E-409C-BE32-E72D297353CC}">
              <c16:uniqueId val="{00000001-ABA9-4726-8C05-AC4F0406FDF4}"/>
            </c:ext>
          </c:extLst>
        </c:ser>
        <c:ser>
          <c:idx val="1"/>
          <c:order val="1"/>
          <c:tx>
            <c:strRef>
              <c:f>Sheet1!$B$2</c:f>
              <c:strCache>
                <c:ptCount val="1"/>
                <c:pt idx="0">
                  <c:v>Yes</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0.3</c:v>
                </c:pt>
              </c:numCache>
            </c:numRef>
          </c:val>
          <c:extLst xmlns:c16r2="http://schemas.microsoft.com/office/drawing/2015/06/chart">
            <c:ext xmlns:c16="http://schemas.microsoft.com/office/drawing/2014/chart" uri="{C3380CC4-5D6E-409C-BE32-E72D297353CC}">
              <c16:uniqueId val="{00000002-ABA9-4726-8C05-AC4F0406FDF4}"/>
            </c:ext>
          </c:extLst>
        </c:ser>
        <c:ser>
          <c:idx val="2"/>
          <c:order val="2"/>
          <c:tx>
            <c:strRef>
              <c:f>Sheet1!$C$2</c:f>
              <c:strCache>
                <c:ptCount val="1"/>
                <c:pt idx="0">
                  <c:v>I don't take HIV meds</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Sheet1!$C$3</c:f>
              <c:numCache>
                <c:formatCode>0%</c:formatCode>
                <c:ptCount val="1"/>
                <c:pt idx="0">
                  <c:v>0.03</c:v>
                </c:pt>
              </c:numCache>
            </c:numRef>
          </c:val>
          <c:extLst xmlns:c16r2="http://schemas.microsoft.com/office/drawing/2015/06/chart">
            <c:ext xmlns:c16="http://schemas.microsoft.com/office/drawing/2014/chart" uri="{C3380CC4-5D6E-409C-BE32-E72D297353CC}">
              <c16:uniqueId val="{00000003-ABA9-4726-8C05-AC4F0406FDF4}"/>
            </c:ext>
          </c:extLst>
        </c:ser>
        <c:dLbls>
          <c:dLblPos val="outEnd"/>
          <c:showLegendKey val="0"/>
          <c:showVal val="1"/>
          <c:showCatName val="0"/>
          <c:showSerName val="0"/>
          <c:showPercent val="0"/>
          <c:showBubbleSize val="0"/>
        </c:dLbls>
        <c:gapWidth val="150"/>
        <c:axId val="-777878592"/>
        <c:axId val="-777876416"/>
      </c:barChart>
      <c:catAx>
        <c:axId val="-777878592"/>
        <c:scaling>
          <c:orientation val="minMax"/>
        </c:scaling>
        <c:delete val="1"/>
        <c:axPos val="b"/>
        <c:numFmt formatCode="General" sourceLinked="0"/>
        <c:majorTickMark val="out"/>
        <c:minorTickMark val="none"/>
        <c:tickLblPos val="nextTo"/>
        <c:crossAx val="-777876416"/>
        <c:crosses val="autoZero"/>
        <c:auto val="1"/>
        <c:lblAlgn val="ctr"/>
        <c:lblOffset val="100"/>
        <c:noMultiLvlLbl val="0"/>
      </c:catAx>
      <c:valAx>
        <c:axId val="-777876416"/>
        <c:scaling>
          <c:orientation val="minMax"/>
          <c:max val="1"/>
        </c:scaling>
        <c:delete val="0"/>
        <c:axPos val="l"/>
        <c:numFmt formatCode="0%" sourceLinked="1"/>
        <c:majorTickMark val="out"/>
        <c:minorTickMark val="none"/>
        <c:tickLblPos val="nextTo"/>
        <c:crossAx val="-777878592"/>
        <c:crosses val="autoZero"/>
        <c:crossBetween val="between"/>
      </c:valAx>
    </c:plotArea>
    <c:legend>
      <c:legendPos val="b"/>
      <c:layout>
        <c:manualLayout>
          <c:xMode val="edge"/>
          <c:yMode val="edge"/>
          <c:x val="0.17830248754207392"/>
          <c:y val="0.77198188733673812"/>
          <c:w val="0.72469583792398218"/>
          <c:h val="7.9730658667666543E-2"/>
        </c:manualLayout>
      </c:layout>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Top Ways</a:t>
            </a:r>
            <a:r>
              <a:rPr lang="en-US" sz="1200" baseline="0"/>
              <a:t> Prevent HIV Transmission</a:t>
            </a:r>
            <a:endParaRPr lang="en-US" sz="1200"/>
          </a:p>
        </c:rich>
      </c:tx>
      <c:overlay val="1"/>
    </c:title>
    <c:autoTitleDeleted val="0"/>
    <c:plotArea>
      <c:layout>
        <c:manualLayout>
          <c:layoutTarget val="inner"/>
          <c:xMode val="edge"/>
          <c:yMode val="edge"/>
          <c:x val="0.45600305257093182"/>
          <c:y val="0.14146005787738072"/>
          <c:w val="0.50548654139670279"/>
          <c:h val="0.70331112457096712"/>
        </c:manualLayout>
      </c:layout>
      <c:barChart>
        <c:barDir val="bar"/>
        <c:grouping val="clustered"/>
        <c:varyColors val="0"/>
        <c:ser>
          <c:idx val="0"/>
          <c:order val="0"/>
          <c:spPr>
            <a:scene3d>
              <a:camera prst="orthographicFront"/>
              <a:lightRig rig="threePt" dir="t"/>
            </a:scene3d>
            <a:sp3d>
              <a:bevelT/>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42-41B6-8B74-54B650144C8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Sheet1!$A$1:$A$5</c:f>
              <c:strCache>
                <c:ptCount val="5"/>
                <c:pt idx="0">
                  <c:v>Partner takes PrEP</c:v>
                </c:pt>
                <c:pt idx="1">
                  <c:v>Partner is HIV positive</c:v>
                </c:pt>
                <c:pt idx="2">
                  <c:v>Do not have sexual partners</c:v>
                </c:pt>
                <c:pt idx="3">
                  <c:v>Take HIV medicines regularly</c:v>
                </c:pt>
                <c:pt idx="4">
                  <c:v>Use condoms</c:v>
                </c:pt>
              </c:strCache>
            </c:strRef>
          </c:cat>
          <c:val>
            <c:numRef>
              <c:f>Sheet1!$B$1:$B$5</c:f>
              <c:numCache>
                <c:formatCode>0%</c:formatCode>
                <c:ptCount val="5"/>
                <c:pt idx="0">
                  <c:v>6.9000000000000006E-2</c:v>
                </c:pt>
                <c:pt idx="1">
                  <c:v>0.16600000000000001</c:v>
                </c:pt>
                <c:pt idx="2">
                  <c:v>0.27</c:v>
                </c:pt>
                <c:pt idx="3">
                  <c:v>0.57999999999999996</c:v>
                </c:pt>
                <c:pt idx="4">
                  <c:v>0.60199999999999998</c:v>
                </c:pt>
              </c:numCache>
            </c:numRef>
          </c:val>
          <c:extLst xmlns:c16r2="http://schemas.microsoft.com/office/drawing/2015/06/chart">
            <c:ext xmlns:c16="http://schemas.microsoft.com/office/drawing/2014/chart" uri="{C3380CC4-5D6E-409C-BE32-E72D297353CC}">
              <c16:uniqueId val="{00000001-3642-41B6-8B74-54B650144C86}"/>
            </c:ext>
          </c:extLst>
        </c:ser>
        <c:dLbls>
          <c:dLblPos val="outEnd"/>
          <c:showLegendKey val="0"/>
          <c:showVal val="1"/>
          <c:showCatName val="0"/>
          <c:showSerName val="0"/>
          <c:showPercent val="0"/>
          <c:showBubbleSize val="0"/>
        </c:dLbls>
        <c:gapWidth val="150"/>
        <c:axId val="-777875328"/>
        <c:axId val="-777881856"/>
      </c:barChart>
      <c:catAx>
        <c:axId val="-777875328"/>
        <c:scaling>
          <c:orientation val="minMax"/>
        </c:scaling>
        <c:delete val="0"/>
        <c:axPos val="l"/>
        <c:numFmt formatCode="General" sourceLinked="0"/>
        <c:majorTickMark val="out"/>
        <c:minorTickMark val="none"/>
        <c:tickLblPos val="nextTo"/>
        <c:crossAx val="-777881856"/>
        <c:crosses val="autoZero"/>
        <c:auto val="1"/>
        <c:lblAlgn val="ctr"/>
        <c:lblOffset val="100"/>
        <c:noMultiLvlLbl val="0"/>
      </c:catAx>
      <c:valAx>
        <c:axId val="-777881856"/>
        <c:scaling>
          <c:orientation val="minMax"/>
          <c:max val="1"/>
        </c:scaling>
        <c:delete val="0"/>
        <c:axPos val="b"/>
        <c:numFmt formatCode="0%" sourceLinked="1"/>
        <c:majorTickMark val="out"/>
        <c:minorTickMark val="none"/>
        <c:tickLblPos val="nextTo"/>
        <c:crossAx val="-77787532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effectLst/>
              </a:rPr>
              <a:t>Figure 6.</a:t>
            </a:r>
            <a:r>
              <a:rPr lang="en-US" sz="1050" baseline="0">
                <a:effectLst/>
              </a:rPr>
              <a:t> </a:t>
            </a:r>
            <a:r>
              <a:rPr lang="en-US" sz="1050" b="1" i="0" u="none" strike="noStrike" baseline="0">
                <a:effectLst/>
              </a:rPr>
              <a:t>Annual Rate of New HIV </a:t>
            </a:r>
            <a:r>
              <a:rPr lang="en-US" sz="1050">
                <a:effectLst/>
              </a:rPr>
              <a:t>Diagnoses and New HIV Stage 3 (AIDS) Diagnoses in Nevada by Sex, 2010– 2014</a:t>
            </a:r>
          </a:p>
        </c:rich>
      </c:tx>
      <c:layout>
        <c:manualLayout>
          <c:xMode val="edge"/>
          <c:yMode val="edge"/>
          <c:x val="0.11239404719080168"/>
          <c:y val="0"/>
        </c:manualLayout>
      </c:layout>
      <c:overlay val="0"/>
    </c:title>
    <c:autoTitleDeleted val="0"/>
    <c:plotArea>
      <c:layout>
        <c:manualLayout>
          <c:layoutTarget val="inner"/>
          <c:xMode val="edge"/>
          <c:yMode val="edge"/>
          <c:x val="0.35817901287284859"/>
          <c:y val="0.1762261262320024"/>
          <c:w val="0.5563746686579768"/>
          <c:h val="0.3661106046697773"/>
        </c:manualLayout>
      </c:layout>
      <c:lineChart>
        <c:grouping val="standard"/>
        <c:varyColors val="0"/>
        <c:ser>
          <c:idx val="1"/>
          <c:order val="0"/>
          <c:tx>
            <c:strRef>
              <c:f>Sex!$C$4:$D$4</c:f>
              <c:strCache>
                <c:ptCount val="1"/>
                <c:pt idx="0">
                  <c:v>Male HIV Diagnoses</c:v>
                </c:pt>
              </c:strCache>
            </c:strRef>
          </c:tx>
          <c:spPr>
            <a:ln w="22225">
              <a:solidFill>
                <a:srgbClr val="1F497D">
                  <a:lumMod val="75000"/>
                </a:srgbClr>
              </a:solidFill>
            </a:ln>
          </c:spPr>
          <c:marker>
            <c:spPr>
              <a:solidFill>
                <a:schemeClr val="tx2">
                  <a:lumMod val="75000"/>
                </a:schemeClr>
              </a:solidFill>
              <a:ln>
                <a:solidFill>
                  <a:schemeClr val="tx2">
                    <a:lumMod val="75000"/>
                  </a:schemeClr>
                </a:solidFill>
              </a:ln>
            </c:spPr>
          </c:marker>
          <c:cat>
            <c:numRef>
              <c:f>Sex!$B$6:$B$10</c:f>
              <c:numCache>
                <c:formatCode>General</c:formatCode>
                <c:ptCount val="5"/>
                <c:pt idx="0">
                  <c:v>2010</c:v>
                </c:pt>
                <c:pt idx="1">
                  <c:v>2011</c:v>
                </c:pt>
                <c:pt idx="2">
                  <c:v>2012</c:v>
                </c:pt>
                <c:pt idx="3">
                  <c:v>2013</c:v>
                </c:pt>
                <c:pt idx="4">
                  <c:v>2014</c:v>
                </c:pt>
              </c:numCache>
            </c:numRef>
          </c:cat>
          <c:val>
            <c:numRef>
              <c:f>Sex!$D$6:$D$10</c:f>
              <c:numCache>
                <c:formatCode>General</c:formatCode>
                <c:ptCount val="5"/>
                <c:pt idx="0">
                  <c:v>22.7</c:v>
                </c:pt>
                <c:pt idx="1">
                  <c:v>23.8</c:v>
                </c:pt>
                <c:pt idx="2">
                  <c:v>22.9</c:v>
                </c:pt>
                <c:pt idx="3">
                  <c:v>26.7</c:v>
                </c:pt>
                <c:pt idx="4">
                  <c:v>26.7</c:v>
                </c:pt>
              </c:numCache>
            </c:numRef>
          </c:val>
          <c:smooth val="0"/>
          <c:extLst xmlns:c16r2="http://schemas.microsoft.com/office/drawing/2015/06/chart">
            <c:ext xmlns:c16="http://schemas.microsoft.com/office/drawing/2014/chart" uri="{C3380CC4-5D6E-409C-BE32-E72D297353CC}">
              <c16:uniqueId val="{00000000-89DD-42B5-9C74-2B6D9E1C8B3E}"/>
            </c:ext>
          </c:extLst>
        </c:ser>
        <c:ser>
          <c:idx val="2"/>
          <c:order val="1"/>
          <c:tx>
            <c:strRef>
              <c:f>Sex!$E$4</c:f>
              <c:strCache>
                <c:ptCount val="1"/>
                <c:pt idx="0">
                  <c:v>Male HIV Stage 3 (AIDS) Diagnoses</c:v>
                </c:pt>
              </c:strCache>
            </c:strRef>
          </c:tx>
          <c:spPr>
            <a:ln w="22225">
              <a:solidFill>
                <a:srgbClr val="1F497D">
                  <a:lumMod val="75000"/>
                </a:srgbClr>
              </a:solidFill>
              <a:prstDash val="dash"/>
            </a:ln>
          </c:spPr>
          <c:marker>
            <c:symbol val="square"/>
            <c:size val="7"/>
            <c:spPr>
              <a:solidFill>
                <a:schemeClr val="tx2">
                  <a:lumMod val="75000"/>
                </a:schemeClr>
              </a:solidFill>
              <a:ln>
                <a:solidFill>
                  <a:schemeClr val="tx2">
                    <a:lumMod val="75000"/>
                  </a:schemeClr>
                </a:solidFill>
              </a:ln>
            </c:spPr>
          </c:marker>
          <c:val>
            <c:numRef>
              <c:f>Sex!$F$6:$F$10</c:f>
              <c:numCache>
                <c:formatCode>0.0</c:formatCode>
                <c:ptCount val="5"/>
                <c:pt idx="0">
                  <c:v>13.9</c:v>
                </c:pt>
                <c:pt idx="1">
                  <c:v>12.7</c:v>
                </c:pt>
                <c:pt idx="2">
                  <c:v>13.4</c:v>
                </c:pt>
                <c:pt idx="3">
                  <c:v>15.1</c:v>
                </c:pt>
                <c:pt idx="4">
                  <c:v>12.4</c:v>
                </c:pt>
              </c:numCache>
            </c:numRef>
          </c:val>
          <c:smooth val="0"/>
          <c:extLst xmlns:c16r2="http://schemas.microsoft.com/office/drawing/2015/06/chart">
            <c:ext xmlns:c16="http://schemas.microsoft.com/office/drawing/2014/chart" uri="{C3380CC4-5D6E-409C-BE32-E72D297353CC}">
              <c16:uniqueId val="{00000001-89DD-42B5-9C74-2B6D9E1C8B3E}"/>
            </c:ext>
          </c:extLst>
        </c:ser>
        <c:ser>
          <c:idx val="3"/>
          <c:order val="2"/>
          <c:tx>
            <c:strRef>
              <c:f>Sex!$G$4:$H$4</c:f>
              <c:strCache>
                <c:ptCount val="1"/>
                <c:pt idx="0">
                  <c:v>Female HIV Diagnoses</c:v>
                </c:pt>
              </c:strCache>
            </c:strRef>
          </c:tx>
          <c:spPr>
            <a:ln w="22225">
              <a:solidFill>
                <a:srgbClr val="1F497D">
                  <a:lumMod val="40000"/>
                  <a:lumOff val="60000"/>
                </a:srgbClr>
              </a:solidFill>
            </a:ln>
          </c:spPr>
          <c:marker>
            <c:symbol val="circle"/>
            <c:size val="7"/>
            <c:spPr>
              <a:solidFill>
                <a:schemeClr val="tx2">
                  <a:lumMod val="40000"/>
                  <a:lumOff val="60000"/>
                </a:schemeClr>
              </a:solidFill>
              <a:ln>
                <a:solidFill>
                  <a:schemeClr val="tx2">
                    <a:lumMod val="40000"/>
                    <a:lumOff val="60000"/>
                  </a:schemeClr>
                </a:solidFill>
              </a:ln>
            </c:spPr>
          </c:marker>
          <c:cat>
            <c:numRef>
              <c:f>Sex!$B$6:$B$10</c:f>
              <c:numCache>
                <c:formatCode>General</c:formatCode>
                <c:ptCount val="5"/>
                <c:pt idx="0">
                  <c:v>2010</c:v>
                </c:pt>
                <c:pt idx="1">
                  <c:v>2011</c:v>
                </c:pt>
                <c:pt idx="2">
                  <c:v>2012</c:v>
                </c:pt>
                <c:pt idx="3">
                  <c:v>2013</c:v>
                </c:pt>
                <c:pt idx="4">
                  <c:v>2014</c:v>
                </c:pt>
              </c:numCache>
            </c:numRef>
          </c:cat>
          <c:val>
            <c:numRef>
              <c:f>Sex!$H$6:$H$10</c:f>
              <c:numCache>
                <c:formatCode>0.0</c:formatCode>
                <c:ptCount val="5"/>
                <c:pt idx="0">
                  <c:v>4.7</c:v>
                </c:pt>
                <c:pt idx="1">
                  <c:v>3.9</c:v>
                </c:pt>
                <c:pt idx="2">
                  <c:v>3.3</c:v>
                </c:pt>
                <c:pt idx="3">
                  <c:v>4.0999999999999996</c:v>
                </c:pt>
                <c:pt idx="4">
                  <c:v>4</c:v>
                </c:pt>
              </c:numCache>
            </c:numRef>
          </c:val>
          <c:smooth val="0"/>
          <c:extLst xmlns:c16r2="http://schemas.microsoft.com/office/drawing/2015/06/chart">
            <c:ext xmlns:c16="http://schemas.microsoft.com/office/drawing/2014/chart" uri="{C3380CC4-5D6E-409C-BE32-E72D297353CC}">
              <c16:uniqueId val="{00000002-89DD-42B5-9C74-2B6D9E1C8B3E}"/>
            </c:ext>
          </c:extLst>
        </c:ser>
        <c:ser>
          <c:idx val="0"/>
          <c:order val="3"/>
          <c:tx>
            <c:strRef>
              <c:f>Sex!$I$4</c:f>
              <c:strCache>
                <c:ptCount val="1"/>
                <c:pt idx="0">
                  <c:v>Female HIV Stage 3 (AIDS) Diagnoses</c:v>
                </c:pt>
              </c:strCache>
            </c:strRef>
          </c:tx>
          <c:spPr>
            <a:ln w="22225">
              <a:solidFill>
                <a:srgbClr val="1F497D">
                  <a:lumMod val="40000"/>
                  <a:lumOff val="60000"/>
                </a:srgbClr>
              </a:solidFill>
              <a:prstDash val="dash"/>
            </a:ln>
          </c:spPr>
          <c:marker>
            <c:symbol val="circle"/>
            <c:size val="7"/>
            <c:spPr>
              <a:solidFill>
                <a:schemeClr val="tx2">
                  <a:lumMod val="40000"/>
                  <a:lumOff val="60000"/>
                </a:schemeClr>
              </a:solidFill>
              <a:ln>
                <a:solidFill>
                  <a:schemeClr val="tx2">
                    <a:lumMod val="40000"/>
                    <a:lumOff val="60000"/>
                  </a:schemeClr>
                </a:solidFill>
              </a:ln>
            </c:spPr>
          </c:marker>
          <c:val>
            <c:numRef>
              <c:f>Sex!$J$6:$J$10</c:f>
              <c:numCache>
                <c:formatCode>0.0</c:formatCode>
                <c:ptCount val="5"/>
                <c:pt idx="0">
                  <c:v>2.8</c:v>
                </c:pt>
                <c:pt idx="1">
                  <c:v>3</c:v>
                </c:pt>
                <c:pt idx="2">
                  <c:v>2.9</c:v>
                </c:pt>
                <c:pt idx="3">
                  <c:v>2.7</c:v>
                </c:pt>
                <c:pt idx="4">
                  <c:v>2.6</c:v>
                </c:pt>
              </c:numCache>
            </c:numRef>
          </c:val>
          <c:smooth val="0"/>
          <c:extLst xmlns:c16r2="http://schemas.microsoft.com/office/drawing/2015/06/chart">
            <c:ext xmlns:c16="http://schemas.microsoft.com/office/drawing/2014/chart" uri="{C3380CC4-5D6E-409C-BE32-E72D297353CC}">
              <c16:uniqueId val="{00000003-89DD-42B5-9C74-2B6D9E1C8B3E}"/>
            </c:ext>
          </c:extLst>
        </c:ser>
        <c:dLbls>
          <c:showLegendKey val="0"/>
          <c:showVal val="0"/>
          <c:showCatName val="0"/>
          <c:showSerName val="0"/>
          <c:showPercent val="0"/>
          <c:showBubbleSize val="0"/>
        </c:dLbls>
        <c:marker val="1"/>
        <c:smooth val="0"/>
        <c:axId val="-788185312"/>
        <c:axId val="-788184224"/>
      </c:lineChart>
      <c:catAx>
        <c:axId val="-788185312"/>
        <c:scaling>
          <c:orientation val="minMax"/>
        </c:scaling>
        <c:delete val="0"/>
        <c:axPos val="b"/>
        <c:numFmt formatCode="General" sourceLinked="1"/>
        <c:majorTickMark val="none"/>
        <c:minorTickMark val="none"/>
        <c:tickLblPos val="nextTo"/>
        <c:crossAx val="-788184224"/>
        <c:crosses val="autoZero"/>
        <c:auto val="1"/>
        <c:lblAlgn val="ctr"/>
        <c:lblOffset val="100"/>
        <c:noMultiLvlLbl val="0"/>
      </c:catAx>
      <c:valAx>
        <c:axId val="-788184224"/>
        <c:scaling>
          <c:orientation val="minMax"/>
        </c:scaling>
        <c:delete val="0"/>
        <c:axPos val="l"/>
        <c:majorGridlines/>
        <c:title>
          <c:tx>
            <c:rich>
              <a:bodyPr rot="-5400000" vert="horz"/>
              <a:lstStyle/>
              <a:p>
                <a:pPr>
                  <a:defRPr sz="800"/>
                </a:pPr>
                <a:r>
                  <a:rPr lang="en-US" sz="800"/>
                  <a:t>Rate per 100,000</a:t>
                </a:r>
              </a:p>
            </c:rich>
          </c:tx>
          <c:layout>
            <c:manualLayout>
              <c:xMode val="edge"/>
              <c:yMode val="edge"/>
              <c:x val="0.23888191641019496"/>
              <c:y val="0.18218919264305442"/>
            </c:manualLayout>
          </c:layout>
          <c:overlay val="0"/>
        </c:title>
        <c:numFmt formatCode="General" sourceLinked="1"/>
        <c:majorTickMark val="none"/>
        <c:minorTickMark val="none"/>
        <c:tickLblPos val="nextTo"/>
        <c:txPr>
          <a:bodyPr/>
          <a:lstStyle/>
          <a:p>
            <a:pPr>
              <a:defRPr sz="800"/>
            </a:pPr>
            <a:endParaRPr lang="en-US"/>
          </a:p>
        </c:txPr>
        <c:crossAx val="-788185312"/>
        <c:crosses val="autoZero"/>
        <c:crossBetween val="between"/>
      </c:valAx>
      <c:dTable>
        <c:showHorzBorder val="1"/>
        <c:showVertBorder val="1"/>
        <c:showOutline val="1"/>
        <c:showKeys val="1"/>
        <c:txPr>
          <a:bodyPr/>
          <a:lstStyle/>
          <a:p>
            <a:pPr rtl="0">
              <a:defRPr sz="800"/>
            </a:pPr>
            <a:endParaRPr lang="en-US"/>
          </a:p>
        </c:txPr>
      </c:dTable>
      <c:spPr>
        <a:noFill/>
      </c:spPr>
    </c:plotArea>
    <c:plotVisOnly val="1"/>
    <c:dispBlanksAs val="gap"/>
    <c:showDLblsOverMax val="0"/>
  </c:chart>
  <c:spPr>
    <a:noFill/>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Number of HIV+ People Clients Know</a:t>
            </a:r>
            <a:r>
              <a:rPr lang="en-US" sz="1200" baseline="0"/>
              <a:t> Who are Not in Care</a:t>
            </a:r>
            <a:endParaRPr lang="en-US" sz="1200"/>
          </a:p>
        </c:rich>
      </c:tx>
      <c:layout>
        <c:manualLayout>
          <c:xMode val="edge"/>
          <c:yMode val="edge"/>
          <c:x val="0.23960205391527603"/>
          <c:y val="1.6447368421052631E-2"/>
        </c:manualLayout>
      </c:layout>
      <c:overlay val="1"/>
    </c:title>
    <c:autoTitleDeleted val="0"/>
    <c:plotArea>
      <c:layout>
        <c:manualLayout>
          <c:layoutTarget val="inner"/>
          <c:xMode val="edge"/>
          <c:yMode val="edge"/>
          <c:x val="8.8009898955185156E-2"/>
          <c:y val="0.1373178270479348"/>
          <c:w val="0.80073686232096475"/>
          <c:h val="0.61086605539439154"/>
        </c:manualLayout>
      </c:layout>
      <c:barChart>
        <c:barDir val="col"/>
        <c:grouping val="clustered"/>
        <c:varyColors val="0"/>
        <c:ser>
          <c:idx val="0"/>
          <c:order val="0"/>
          <c:tx>
            <c:strRef>
              <c:f>Sheet1!$A$1</c:f>
              <c:strCache>
                <c:ptCount val="1"/>
                <c:pt idx="0">
                  <c:v>None</c:v>
                </c:pt>
              </c:strCache>
            </c:strRef>
          </c:tx>
          <c:spPr>
            <a:scene3d>
              <a:camera prst="orthographicFront"/>
              <a:lightRig rig="threePt" dir="t"/>
            </a:scene3d>
            <a:sp3d>
              <a:bevelT/>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FA-4652-B927-C2C5A25153F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Sheet1!$A$2</c:f>
              <c:numCache>
                <c:formatCode>0%</c:formatCode>
                <c:ptCount val="1"/>
                <c:pt idx="0">
                  <c:v>0.7</c:v>
                </c:pt>
              </c:numCache>
            </c:numRef>
          </c:val>
          <c:extLst xmlns:c16r2="http://schemas.microsoft.com/office/drawing/2015/06/chart">
            <c:ext xmlns:c16="http://schemas.microsoft.com/office/drawing/2014/chart" uri="{C3380CC4-5D6E-409C-BE32-E72D297353CC}">
              <c16:uniqueId val="{00000001-98FA-4652-B927-C2C5A25153F0}"/>
            </c:ext>
          </c:extLst>
        </c:ser>
        <c:ser>
          <c:idx val="1"/>
          <c:order val="1"/>
          <c:tx>
            <c:strRef>
              <c:f>Sheet1!$B$1</c:f>
              <c:strCache>
                <c:ptCount val="1"/>
                <c:pt idx="0">
                  <c:v>1-10 people</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Sheet1!$B$2</c:f>
              <c:numCache>
                <c:formatCode>0%</c:formatCode>
                <c:ptCount val="1"/>
                <c:pt idx="0">
                  <c:v>0.15</c:v>
                </c:pt>
              </c:numCache>
            </c:numRef>
          </c:val>
          <c:extLst xmlns:c16r2="http://schemas.microsoft.com/office/drawing/2015/06/chart">
            <c:ext xmlns:c16="http://schemas.microsoft.com/office/drawing/2014/chart" uri="{C3380CC4-5D6E-409C-BE32-E72D297353CC}">
              <c16:uniqueId val="{00000002-98FA-4652-B927-C2C5A25153F0}"/>
            </c:ext>
          </c:extLst>
        </c:ser>
        <c:ser>
          <c:idx val="2"/>
          <c:order val="2"/>
          <c:tx>
            <c:strRef>
              <c:f>Sheet1!$C$1</c:f>
              <c:strCache>
                <c:ptCount val="1"/>
                <c:pt idx="0">
                  <c:v>More than 10 people</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Sheet1!$C$2</c:f>
              <c:numCache>
                <c:formatCode>0%</c:formatCode>
                <c:ptCount val="1"/>
                <c:pt idx="0">
                  <c:v>0.03</c:v>
                </c:pt>
              </c:numCache>
            </c:numRef>
          </c:val>
          <c:extLst xmlns:c16r2="http://schemas.microsoft.com/office/drawing/2015/06/chart">
            <c:ext xmlns:c16="http://schemas.microsoft.com/office/drawing/2014/chart" uri="{C3380CC4-5D6E-409C-BE32-E72D297353CC}">
              <c16:uniqueId val="{00000003-98FA-4652-B927-C2C5A25153F0}"/>
            </c:ext>
          </c:extLst>
        </c:ser>
        <c:ser>
          <c:idx val="3"/>
          <c:order val="3"/>
          <c:tx>
            <c:strRef>
              <c:f>Sheet1!$D$1</c:f>
              <c:strCache>
                <c:ptCount val="1"/>
                <c:pt idx="0">
                  <c:v>Don't know</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Sheet1!$D$2</c:f>
              <c:numCache>
                <c:formatCode>0%</c:formatCode>
                <c:ptCount val="1"/>
                <c:pt idx="0">
                  <c:v>0.06</c:v>
                </c:pt>
              </c:numCache>
            </c:numRef>
          </c:val>
          <c:extLst xmlns:c16r2="http://schemas.microsoft.com/office/drawing/2015/06/chart">
            <c:ext xmlns:c16="http://schemas.microsoft.com/office/drawing/2014/chart" uri="{C3380CC4-5D6E-409C-BE32-E72D297353CC}">
              <c16:uniqueId val="{00000004-98FA-4652-B927-C2C5A25153F0}"/>
            </c:ext>
          </c:extLst>
        </c:ser>
        <c:dLbls>
          <c:dLblPos val="outEnd"/>
          <c:showLegendKey val="0"/>
          <c:showVal val="1"/>
          <c:showCatName val="0"/>
          <c:showSerName val="0"/>
          <c:showPercent val="0"/>
          <c:showBubbleSize val="0"/>
        </c:dLbls>
        <c:gapWidth val="150"/>
        <c:axId val="-777874784"/>
        <c:axId val="-777874240"/>
      </c:barChart>
      <c:catAx>
        <c:axId val="-777874784"/>
        <c:scaling>
          <c:orientation val="minMax"/>
        </c:scaling>
        <c:delete val="1"/>
        <c:axPos val="b"/>
        <c:numFmt formatCode="General" sourceLinked="0"/>
        <c:majorTickMark val="out"/>
        <c:minorTickMark val="none"/>
        <c:tickLblPos val="nextTo"/>
        <c:crossAx val="-777874240"/>
        <c:crosses val="autoZero"/>
        <c:auto val="1"/>
        <c:lblAlgn val="ctr"/>
        <c:lblOffset val="100"/>
        <c:noMultiLvlLbl val="0"/>
      </c:catAx>
      <c:valAx>
        <c:axId val="-777874240"/>
        <c:scaling>
          <c:orientation val="minMax"/>
          <c:max val="1"/>
        </c:scaling>
        <c:delete val="0"/>
        <c:axPos val="l"/>
        <c:numFmt formatCode="0%" sourceLinked="1"/>
        <c:majorTickMark val="out"/>
        <c:minorTickMark val="none"/>
        <c:tickLblPos val="nextTo"/>
        <c:crossAx val="-777874784"/>
        <c:crosses val="autoZero"/>
        <c:crossBetween val="between"/>
      </c:valAx>
    </c:plotArea>
    <c:legend>
      <c:legendPos val="b"/>
      <c:layout>
        <c:manualLayout>
          <c:xMode val="edge"/>
          <c:yMode val="edge"/>
          <c:x val="0.20611592357117106"/>
          <c:y val="0.76649960284569685"/>
          <c:w val="0.63431059403838963"/>
          <c:h val="9.9138779527559048E-2"/>
        </c:manualLayout>
      </c:layout>
      <c:overlay val="0"/>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Gender</a:t>
            </a:r>
          </a:p>
        </c:rich>
      </c:tx>
      <c:layout>
        <c:manualLayout>
          <c:xMode val="edge"/>
          <c:yMode val="edge"/>
          <c:x val="0.45627933382524871"/>
          <c:y val="0"/>
        </c:manualLayout>
      </c:layout>
      <c:overlay val="1"/>
    </c:title>
    <c:autoTitleDeleted val="0"/>
    <c:plotArea>
      <c:layout>
        <c:manualLayout>
          <c:layoutTarget val="inner"/>
          <c:xMode val="edge"/>
          <c:yMode val="edge"/>
          <c:x val="8.1591413717701206E-2"/>
          <c:y val="4.4057617797775277E-2"/>
          <c:w val="0.87347969501244971"/>
          <c:h val="0.70406781260185614"/>
        </c:manualLayout>
      </c:layout>
      <c:barChart>
        <c:barDir val="col"/>
        <c:grouping val="clustered"/>
        <c:varyColors val="0"/>
        <c:ser>
          <c:idx val="0"/>
          <c:order val="0"/>
          <c:tx>
            <c:strRef>
              <c:f>Sheet1!$A$2</c:f>
              <c:strCache>
                <c:ptCount val="1"/>
                <c:pt idx="0">
                  <c:v>Male</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B0-43C6-A38D-A394CDA0C7D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Sheet1!$B$2</c:f>
              <c:numCache>
                <c:formatCode>0%</c:formatCode>
                <c:ptCount val="1"/>
                <c:pt idx="0">
                  <c:v>0.39900000000000002</c:v>
                </c:pt>
              </c:numCache>
            </c:numRef>
          </c:val>
          <c:extLst xmlns:c16r2="http://schemas.microsoft.com/office/drawing/2015/06/chart">
            <c:ext xmlns:c16="http://schemas.microsoft.com/office/drawing/2014/chart" uri="{C3380CC4-5D6E-409C-BE32-E72D297353CC}">
              <c16:uniqueId val="{00000001-33B0-43C6-A38D-A394CDA0C7DC}"/>
            </c:ext>
          </c:extLst>
        </c:ser>
        <c:ser>
          <c:idx val="1"/>
          <c:order val="1"/>
          <c:tx>
            <c:strRef>
              <c:f>Sheet1!$A$3</c:f>
              <c:strCache>
                <c:ptCount val="1"/>
                <c:pt idx="0">
                  <c:v>Female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Sheet1!$B$3</c:f>
              <c:numCache>
                <c:formatCode>0%</c:formatCode>
                <c:ptCount val="1"/>
                <c:pt idx="0">
                  <c:v>0.58399999999999996</c:v>
                </c:pt>
              </c:numCache>
            </c:numRef>
          </c:val>
          <c:extLst xmlns:c16r2="http://schemas.microsoft.com/office/drawing/2015/06/chart">
            <c:ext xmlns:c16="http://schemas.microsoft.com/office/drawing/2014/chart" uri="{C3380CC4-5D6E-409C-BE32-E72D297353CC}">
              <c16:uniqueId val="{00000002-33B0-43C6-A38D-A394CDA0C7DC}"/>
            </c:ext>
          </c:extLst>
        </c:ser>
        <c:ser>
          <c:idx val="2"/>
          <c:order val="2"/>
          <c:tx>
            <c:strRef>
              <c:f>Sheet1!$A$4</c:f>
              <c:strCache>
                <c:ptCount val="1"/>
                <c:pt idx="0">
                  <c:v>Transgender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Sheet1!$B$4</c:f>
              <c:numCache>
                <c:formatCode>0%</c:formatCode>
                <c:ptCount val="1"/>
                <c:pt idx="0">
                  <c:v>1.7999999999999999E-2</c:v>
                </c:pt>
              </c:numCache>
            </c:numRef>
          </c:val>
          <c:extLst xmlns:c16r2="http://schemas.microsoft.com/office/drawing/2015/06/chart">
            <c:ext xmlns:c16="http://schemas.microsoft.com/office/drawing/2014/chart" uri="{C3380CC4-5D6E-409C-BE32-E72D297353CC}">
              <c16:uniqueId val="{00000003-33B0-43C6-A38D-A394CDA0C7DC}"/>
            </c:ext>
          </c:extLst>
        </c:ser>
        <c:dLbls>
          <c:dLblPos val="outEnd"/>
          <c:showLegendKey val="0"/>
          <c:showVal val="1"/>
          <c:showCatName val="0"/>
          <c:showSerName val="0"/>
          <c:showPercent val="0"/>
          <c:showBubbleSize val="0"/>
        </c:dLbls>
        <c:gapWidth val="150"/>
        <c:axId val="-777880768"/>
        <c:axId val="-777884032"/>
      </c:barChart>
      <c:catAx>
        <c:axId val="-777880768"/>
        <c:scaling>
          <c:orientation val="minMax"/>
        </c:scaling>
        <c:delete val="0"/>
        <c:axPos val="b"/>
        <c:numFmt formatCode="General" sourceLinked="0"/>
        <c:majorTickMark val="out"/>
        <c:minorTickMark val="none"/>
        <c:tickLblPos val="none"/>
        <c:crossAx val="-777884032"/>
        <c:crosses val="autoZero"/>
        <c:auto val="1"/>
        <c:lblAlgn val="ctr"/>
        <c:lblOffset val="100"/>
        <c:noMultiLvlLbl val="0"/>
      </c:catAx>
      <c:valAx>
        <c:axId val="-777884032"/>
        <c:scaling>
          <c:orientation val="minMax"/>
          <c:max val="1"/>
        </c:scaling>
        <c:delete val="0"/>
        <c:axPos val="l"/>
        <c:numFmt formatCode="0%" sourceLinked="1"/>
        <c:majorTickMark val="out"/>
        <c:minorTickMark val="none"/>
        <c:tickLblPos val="nextTo"/>
        <c:crossAx val="-777880768"/>
        <c:crosses val="autoZero"/>
        <c:crossBetween val="between"/>
      </c:valAx>
      <c:spPr>
        <a:noFill/>
        <a:ln w="25400">
          <a:noFill/>
        </a:ln>
      </c:spPr>
    </c:plotArea>
    <c:legend>
      <c:legendPos val="b"/>
      <c:layout>
        <c:manualLayout>
          <c:xMode val="edge"/>
          <c:yMode val="edge"/>
          <c:x val="0.32993271540672309"/>
          <c:y val="0.83287270341207353"/>
          <c:w val="0.344413390880697"/>
          <c:h val="0.10046062992125984"/>
        </c:manualLayout>
      </c:layout>
      <c:overlay val="0"/>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Age</a:t>
            </a:r>
          </a:p>
        </c:rich>
      </c:tx>
      <c:overlay val="1"/>
    </c:title>
    <c:autoTitleDeleted val="0"/>
    <c:plotArea>
      <c:layout>
        <c:manualLayout>
          <c:layoutTarget val="inner"/>
          <c:xMode val="edge"/>
          <c:yMode val="edge"/>
          <c:x val="8.1591413717701206E-2"/>
          <c:y val="4.4057617797775277E-2"/>
          <c:w val="0.87347969501244971"/>
          <c:h val="0.89173544995883558"/>
        </c:manualLayout>
      </c:layout>
      <c:barChart>
        <c:barDir val="col"/>
        <c:grouping val="clustered"/>
        <c:varyColors val="0"/>
        <c:ser>
          <c:idx val="0"/>
          <c:order val="0"/>
          <c:tx>
            <c:strRef>
              <c:f>Sheet1!$A$2</c:f>
              <c:strCache>
                <c:ptCount val="1"/>
                <c:pt idx="0">
                  <c:v>&lt;18</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EF-43B7-87AD-9E161840AD7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Sheet1!$B$2</c:f>
              <c:numCache>
                <c:formatCode>0%</c:formatCode>
                <c:ptCount val="1"/>
                <c:pt idx="0">
                  <c:v>2.5000000000000001E-2</c:v>
                </c:pt>
              </c:numCache>
            </c:numRef>
          </c:val>
          <c:extLst xmlns:c16r2="http://schemas.microsoft.com/office/drawing/2015/06/chart">
            <c:ext xmlns:c16="http://schemas.microsoft.com/office/drawing/2014/chart" uri="{C3380CC4-5D6E-409C-BE32-E72D297353CC}">
              <c16:uniqueId val="{00000001-DFEF-43B7-87AD-9E161840AD76}"/>
            </c:ext>
          </c:extLst>
        </c:ser>
        <c:ser>
          <c:idx val="1"/>
          <c:order val="1"/>
          <c:tx>
            <c:strRef>
              <c:f>Sheet1!$A$3</c:f>
              <c:strCache>
                <c:ptCount val="1"/>
                <c:pt idx="0">
                  <c:v>18-24</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Sheet1!$B$3</c:f>
              <c:numCache>
                <c:formatCode>0%</c:formatCode>
                <c:ptCount val="1"/>
                <c:pt idx="0">
                  <c:v>0.57099999999999995</c:v>
                </c:pt>
              </c:numCache>
            </c:numRef>
          </c:val>
          <c:extLst xmlns:c16r2="http://schemas.microsoft.com/office/drawing/2015/06/chart">
            <c:ext xmlns:c16="http://schemas.microsoft.com/office/drawing/2014/chart" uri="{C3380CC4-5D6E-409C-BE32-E72D297353CC}">
              <c16:uniqueId val="{00000002-DFEF-43B7-87AD-9E161840AD76}"/>
            </c:ext>
          </c:extLst>
        </c:ser>
        <c:ser>
          <c:idx val="2"/>
          <c:order val="2"/>
          <c:tx>
            <c:strRef>
              <c:f>Sheet1!$A$4</c:f>
              <c:strCache>
                <c:ptCount val="1"/>
                <c:pt idx="0">
                  <c:v>25-44</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Sheet1!$B$4</c:f>
              <c:numCache>
                <c:formatCode>0%</c:formatCode>
                <c:ptCount val="1"/>
                <c:pt idx="0">
                  <c:v>0.28100000000000003</c:v>
                </c:pt>
              </c:numCache>
            </c:numRef>
          </c:val>
          <c:extLst xmlns:c16r2="http://schemas.microsoft.com/office/drawing/2015/06/chart">
            <c:ext xmlns:c16="http://schemas.microsoft.com/office/drawing/2014/chart" uri="{C3380CC4-5D6E-409C-BE32-E72D297353CC}">
              <c16:uniqueId val="{00000003-DFEF-43B7-87AD-9E161840AD76}"/>
            </c:ext>
          </c:extLst>
        </c:ser>
        <c:ser>
          <c:idx val="3"/>
          <c:order val="3"/>
          <c:tx>
            <c:strRef>
              <c:f>Sheet1!$A$5</c:f>
              <c:strCache>
                <c:ptCount val="1"/>
                <c:pt idx="0">
                  <c:v>45-64</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Sheet1!$B$5</c:f>
              <c:numCache>
                <c:formatCode>0%</c:formatCode>
                <c:ptCount val="1"/>
                <c:pt idx="0">
                  <c:v>0.10199999999999999</c:v>
                </c:pt>
              </c:numCache>
            </c:numRef>
          </c:val>
          <c:extLst xmlns:c16r2="http://schemas.microsoft.com/office/drawing/2015/06/chart">
            <c:ext xmlns:c16="http://schemas.microsoft.com/office/drawing/2014/chart" uri="{C3380CC4-5D6E-409C-BE32-E72D297353CC}">
              <c16:uniqueId val="{00000004-DFEF-43B7-87AD-9E161840AD76}"/>
            </c:ext>
          </c:extLst>
        </c:ser>
        <c:ser>
          <c:idx val="4"/>
          <c:order val="4"/>
          <c:tx>
            <c:strRef>
              <c:f>Sheet1!$A$6</c:f>
              <c:strCache>
                <c:ptCount val="1"/>
                <c:pt idx="0">
                  <c:v>65+</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Sheet1!$B$6</c:f>
              <c:numCache>
                <c:formatCode>0%</c:formatCode>
                <c:ptCount val="1"/>
                <c:pt idx="0">
                  <c:v>2.1000000000000001E-2</c:v>
                </c:pt>
              </c:numCache>
            </c:numRef>
          </c:val>
          <c:extLst xmlns:c16r2="http://schemas.microsoft.com/office/drawing/2015/06/chart">
            <c:ext xmlns:c16="http://schemas.microsoft.com/office/drawing/2014/chart" uri="{C3380CC4-5D6E-409C-BE32-E72D297353CC}">
              <c16:uniqueId val="{00000005-DFEF-43B7-87AD-9E161840AD76}"/>
            </c:ext>
          </c:extLst>
        </c:ser>
        <c:dLbls>
          <c:dLblPos val="outEnd"/>
          <c:showLegendKey val="0"/>
          <c:showVal val="1"/>
          <c:showCatName val="0"/>
          <c:showSerName val="0"/>
          <c:showPercent val="0"/>
          <c:showBubbleSize val="0"/>
        </c:dLbls>
        <c:gapWidth val="150"/>
        <c:axId val="-777889472"/>
        <c:axId val="-777884576"/>
      </c:barChart>
      <c:catAx>
        <c:axId val="-777889472"/>
        <c:scaling>
          <c:orientation val="minMax"/>
        </c:scaling>
        <c:delete val="0"/>
        <c:axPos val="b"/>
        <c:numFmt formatCode="General" sourceLinked="0"/>
        <c:majorTickMark val="out"/>
        <c:minorTickMark val="none"/>
        <c:tickLblPos val="none"/>
        <c:crossAx val="-777884576"/>
        <c:crosses val="autoZero"/>
        <c:auto val="1"/>
        <c:lblAlgn val="ctr"/>
        <c:lblOffset val="100"/>
        <c:noMultiLvlLbl val="0"/>
      </c:catAx>
      <c:valAx>
        <c:axId val="-777884576"/>
        <c:scaling>
          <c:orientation val="minMax"/>
          <c:max val="1"/>
        </c:scaling>
        <c:delete val="0"/>
        <c:axPos val="l"/>
        <c:numFmt formatCode="0%" sourceLinked="1"/>
        <c:majorTickMark val="out"/>
        <c:minorTickMark val="none"/>
        <c:tickLblPos val="nextTo"/>
        <c:crossAx val="-777889472"/>
        <c:crosses val="autoZero"/>
        <c:crossBetween val="between"/>
      </c:valAx>
      <c:spPr>
        <a:noFill/>
        <a:ln w="25400">
          <a:noFill/>
        </a:ln>
      </c:spPr>
    </c:plotArea>
    <c:legend>
      <c:legendPos val="r"/>
      <c:layout>
        <c:manualLayout>
          <c:xMode val="edge"/>
          <c:yMode val="edge"/>
          <c:x val="0.87093605436676003"/>
          <c:y val="0.23097710976476463"/>
          <c:w val="8.627404405001364E-2"/>
          <c:h val="0.56864507502599915"/>
        </c:manualLayout>
      </c:layout>
      <c:overlay val="0"/>
    </c:legend>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Ethnicity</a:t>
            </a:r>
          </a:p>
        </c:rich>
      </c:tx>
      <c:overlay val="1"/>
    </c:title>
    <c:autoTitleDeleted val="0"/>
    <c:plotArea>
      <c:layout>
        <c:manualLayout>
          <c:layoutTarget val="inner"/>
          <c:xMode val="edge"/>
          <c:yMode val="edge"/>
          <c:x val="8.1591413717701206E-2"/>
          <c:y val="4.4057617797775277E-2"/>
          <c:w val="0.90129313104154662"/>
          <c:h val="0.83955655320367795"/>
        </c:manualLayout>
      </c:layout>
      <c:barChart>
        <c:barDir val="col"/>
        <c:grouping val="clustered"/>
        <c:varyColors val="0"/>
        <c:ser>
          <c:idx val="0"/>
          <c:order val="0"/>
          <c:tx>
            <c:strRef>
              <c:f>Sheet1!$A$2</c:f>
              <c:strCache>
                <c:ptCount val="1"/>
                <c:pt idx="0">
                  <c:v>Black</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59-44B7-9688-84C50DC93F12}"/>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Sheet1!$B$2</c:f>
              <c:numCache>
                <c:formatCode>0%</c:formatCode>
                <c:ptCount val="1"/>
                <c:pt idx="0">
                  <c:v>0.115</c:v>
                </c:pt>
              </c:numCache>
            </c:numRef>
          </c:val>
          <c:extLst xmlns:c16r2="http://schemas.microsoft.com/office/drawing/2015/06/chart">
            <c:ext xmlns:c16="http://schemas.microsoft.com/office/drawing/2014/chart" uri="{C3380CC4-5D6E-409C-BE32-E72D297353CC}">
              <c16:uniqueId val="{00000001-4959-44B7-9688-84C50DC93F12}"/>
            </c:ext>
          </c:extLst>
        </c:ser>
        <c:ser>
          <c:idx val="1"/>
          <c:order val="1"/>
          <c:tx>
            <c:strRef>
              <c:f>Sheet1!$A$3</c:f>
              <c:strCache>
                <c:ptCount val="1"/>
                <c:pt idx="0">
                  <c:v>Asian/Pacific Islander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Sheet1!$B$3</c:f>
              <c:numCache>
                <c:formatCode>0%</c:formatCode>
                <c:ptCount val="1"/>
                <c:pt idx="0">
                  <c:v>9.6000000000000002E-2</c:v>
                </c:pt>
              </c:numCache>
            </c:numRef>
          </c:val>
          <c:extLst xmlns:c16r2="http://schemas.microsoft.com/office/drawing/2015/06/chart">
            <c:ext xmlns:c16="http://schemas.microsoft.com/office/drawing/2014/chart" uri="{C3380CC4-5D6E-409C-BE32-E72D297353CC}">
              <c16:uniqueId val="{00000002-4959-44B7-9688-84C50DC93F12}"/>
            </c:ext>
          </c:extLst>
        </c:ser>
        <c:ser>
          <c:idx val="2"/>
          <c:order val="2"/>
          <c:tx>
            <c:strRef>
              <c:f>Sheet1!$A$4</c:f>
              <c:strCache>
                <c:ptCount val="1"/>
                <c:pt idx="0">
                  <c:v>White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Sheet1!$B$4</c:f>
              <c:numCache>
                <c:formatCode>0%</c:formatCode>
                <c:ptCount val="1"/>
                <c:pt idx="0">
                  <c:v>0.57099999999999995</c:v>
                </c:pt>
              </c:numCache>
            </c:numRef>
          </c:val>
          <c:extLst xmlns:c16r2="http://schemas.microsoft.com/office/drawing/2015/06/chart">
            <c:ext xmlns:c16="http://schemas.microsoft.com/office/drawing/2014/chart" uri="{C3380CC4-5D6E-409C-BE32-E72D297353CC}">
              <c16:uniqueId val="{00000003-4959-44B7-9688-84C50DC93F12}"/>
            </c:ext>
          </c:extLst>
        </c:ser>
        <c:ser>
          <c:idx val="3"/>
          <c:order val="3"/>
          <c:tx>
            <c:strRef>
              <c:f>Sheet1!$A$5</c:f>
              <c:strCache>
                <c:ptCount val="1"/>
                <c:pt idx="0">
                  <c:v>Hispanic</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Sheet1!$B$5</c:f>
              <c:numCache>
                <c:formatCode>0%</c:formatCode>
                <c:ptCount val="1"/>
                <c:pt idx="0">
                  <c:v>0.17499999999999999</c:v>
                </c:pt>
              </c:numCache>
            </c:numRef>
          </c:val>
          <c:extLst xmlns:c16r2="http://schemas.microsoft.com/office/drawing/2015/06/chart">
            <c:ext xmlns:c16="http://schemas.microsoft.com/office/drawing/2014/chart" uri="{C3380CC4-5D6E-409C-BE32-E72D297353CC}">
              <c16:uniqueId val="{00000004-4959-44B7-9688-84C50DC93F12}"/>
            </c:ext>
          </c:extLst>
        </c:ser>
        <c:ser>
          <c:idx val="4"/>
          <c:order val="4"/>
          <c:tx>
            <c:strRef>
              <c:f>Sheet1!$A$6</c:f>
              <c:strCache>
                <c:ptCount val="1"/>
                <c:pt idx="0">
                  <c:v>Native American</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Sheet1!$B$6</c:f>
              <c:numCache>
                <c:formatCode>0%</c:formatCode>
                <c:ptCount val="1"/>
                <c:pt idx="0">
                  <c:v>2.5999999999999999E-2</c:v>
                </c:pt>
              </c:numCache>
            </c:numRef>
          </c:val>
          <c:extLst xmlns:c16r2="http://schemas.microsoft.com/office/drawing/2015/06/chart">
            <c:ext xmlns:c16="http://schemas.microsoft.com/office/drawing/2014/chart" uri="{C3380CC4-5D6E-409C-BE32-E72D297353CC}">
              <c16:uniqueId val="{00000005-4959-44B7-9688-84C50DC93F12}"/>
            </c:ext>
          </c:extLst>
        </c:ser>
        <c:ser>
          <c:idx val="5"/>
          <c:order val="5"/>
          <c:tx>
            <c:strRef>
              <c:f>Sheet1!$A$7</c:f>
              <c:strCache>
                <c:ptCount val="1"/>
                <c:pt idx="0">
                  <c:v>Other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Sheet1!$B$7</c:f>
              <c:numCache>
                <c:formatCode>0%</c:formatCode>
                <c:ptCount val="1"/>
                <c:pt idx="0">
                  <c:v>1.6E-2</c:v>
                </c:pt>
              </c:numCache>
            </c:numRef>
          </c:val>
          <c:extLst xmlns:c16r2="http://schemas.microsoft.com/office/drawing/2015/06/chart">
            <c:ext xmlns:c16="http://schemas.microsoft.com/office/drawing/2014/chart" uri="{C3380CC4-5D6E-409C-BE32-E72D297353CC}">
              <c16:uniqueId val="{00000006-4959-44B7-9688-84C50DC93F12}"/>
            </c:ext>
          </c:extLst>
        </c:ser>
        <c:dLbls>
          <c:dLblPos val="outEnd"/>
          <c:showLegendKey val="0"/>
          <c:showVal val="1"/>
          <c:showCatName val="0"/>
          <c:showSerName val="0"/>
          <c:showPercent val="0"/>
          <c:showBubbleSize val="0"/>
        </c:dLbls>
        <c:gapWidth val="150"/>
        <c:axId val="-777873696"/>
        <c:axId val="-777883488"/>
      </c:barChart>
      <c:catAx>
        <c:axId val="-777873696"/>
        <c:scaling>
          <c:orientation val="minMax"/>
        </c:scaling>
        <c:delete val="0"/>
        <c:axPos val="b"/>
        <c:numFmt formatCode="General" sourceLinked="0"/>
        <c:majorTickMark val="out"/>
        <c:minorTickMark val="none"/>
        <c:tickLblPos val="none"/>
        <c:crossAx val="-777883488"/>
        <c:crosses val="autoZero"/>
        <c:auto val="1"/>
        <c:lblAlgn val="ctr"/>
        <c:lblOffset val="100"/>
        <c:noMultiLvlLbl val="0"/>
      </c:catAx>
      <c:valAx>
        <c:axId val="-777883488"/>
        <c:scaling>
          <c:orientation val="minMax"/>
          <c:max val="1"/>
        </c:scaling>
        <c:delete val="0"/>
        <c:axPos val="l"/>
        <c:numFmt formatCode="0%" sourceLinked="1"/>
        <c:majorTickMark val="out"/>
        <c:minorTickMark val="none"/>
        <c:tickLblPos val="nextTo"/>
        <c:crossAx val="-777873696"/>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Education Level</a:t>
            </a:r>
          </a:p>
        </c:rich>
      </c:tx>
      <c:layout>
        <c:manualLayout>
          <c:xMode val="edge"/>
          <c:yMode val="edge"/>
          <c:x val="0.39129747741737675"/>
          <c:y val="0"/>
        </c:manualLayout>
      </c:layout>
      <c:overlay val="1"/>
    </c:title>
    <c:autoTitleDeleted val="0"/>
    <c:plotArea>
      <c:layout>
        <c:manualLayout>
          <c:layoutTarget val="inner"/>
          <c:xMode val="edge"/>
          <c:yMode val="edge"/>
          <c:x val="0.51376941970828738"/>
          <c:y val="9.0177966548617275E-2"/>
          <c:w val="0.44772017425934724"/>
          <c:h val="0.81869581796865809"/>
        </c:manualLayout>
      </c:layout>
      <c:barChart>
        <c:barDir val="bar"/>
        <c:grouping val="clustered"/>
        <c:varyColors val="0"/>
        <c:ser>
          <c:idx val="0"/>
          <c:order val="0"/>
          <c:spPr>
            <a:solidFill>
              <a:srgbClr val="7030A0"/>
            </a:solidFill>
            <a:ln>
              <a:solidFill>
                <a:srgbClr val="7030A0"/>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94-40EC-A395-DFAB8DF34683}"/>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Sheet1!$A$1:$A$9</c:f>
              <c:strCache>
                <c:ptCount val="9"/>
                <c:pt idx="0">
                  <c:v>None</c:v>
                </c:pt>
                <c:pt idx="1">
                  <c:v>Elementary</c:v>
                </c:pt>
                <c:pt idx="2">
                  <c:v>Some High School</c:v>
                </c:pt>
                <c:pt idx="3">
                  <c:v>High School Graduate/GED</c:v>
                </c:pt>
                <c:pt idx="4">
                  <c:v>Some College</c:v>
                </c:pt>
                <c:pt idx="5">
                  <c:v>Associate's Degree</c:v>
                </c:pt>
                <c:pt idx="6">
                  <c:v>Undergraduate Degree</c:v>
                </c:pt>
                <c:pt idx="7">
                  <c:v>Some Post Graduate Work</c:v>
                </c:pt>
                <c:pt idx="8">
                  <c:v>Graduate Degree or Higher</c:v>
                </c:pt>
              </c:strCache>
            </c:strRef>
          </c:cat>
          <c:val>
            <c:numRef>
              <c:f>Sheet1!$B$1:$B$9</c:f>
              <c:numCache>
                <c:formatCode>0%</c:formatCode>
                <c:ptCount val="9"/>
                <c:pt idx="0">
                  <c:v>4.0000000000000001E-3</c:v>
                </c:pt>
                <c:pt idx="1">
                  <c:v>6.0000000000000001E-3</c:v>
                </c:pt>
                <c:pt idx="2">
                  <c:v>4.3999999999999997E-2</c:v>
                </c:pt>
                <c:pt idx="3">
                  <c:v>0.13800000000000001</c:v>
                </c:pt>
                <c:pt idx="4">
                  <c:v>0.45500000000000002</c:v>
                </c:pt>
                <c:pt idx="5">
                  <c:v>9.2999999999999999E-2</c:v>
                </c:pt>
                <c:pt idx="6">
                  <c:v>0.14199999999999999</c:v>
                </c:pt>
                <c:pt idx="7" formatCode="General">
                  <c:v>3.6</c:v>
                </c:pt>
                <c:pt idx="8">
                  <c:v>8.2000000000000003E-2</c:v>
                </c:pt>
              </c:numCache>
            </c:numRef>
          </c:val>
          <c:extLst xmlns:c16r2="http://schemas.microsoft.com/office/drawing/2015/06/chart">
            <c:ext xmlns:c16="http://schemas.microsoft.com/office/drawing/2014/chart" uri="{C3380CC4-5D6E-409C-BE32-E72D297353CC}">
              <c16:uniqueId val="{00000001-2B94-40EC-A395-DFAB8DF34683}"/>
            </c:ext>
          </c:extLst>
        </c:ser>
        <c:dLbls>
          <c:dLblPos val="outEnd"/>
          <c:showLegendKey val="0"/>
          <c:showVal val="1"/>
          <c:showCatName val="0"/>
          <c:showSerName val="0"/>
          <c:showPercent val="0"/>
          <c:showBubbleSize val="0"/>
        </c:dLbls>
        <c:gapWidth val="150"/>
        <c:axId val="-777863904"/>
        <c:axId val="-777862816"/>
      </c:barChart>
      <c:catAx>
        <c:axId val="-777863904"/>
        <c:scaling>
          <c:orientation val="minMax"/>
        </c:scaling>
        <c:delete val="0"/>
        <c:axPos val="l"/>
        <c:numFmt formatCode="General" sourceLinked="0"/>
        <c:majorTickMark val="out"/>
        <c:minorTickMark val="none"/>
        <c:tickLblPos val="nextTo"/>
        <c:crossAx val="-777862816"/>
        <c:crosses val="autoZero"/>
        <c:auto val="1"/>
        <c:lblAlgn val="ctr"/>
        <c:lblOffset val="100"/>
        <c:noMultiLvlLbl val="0"/>
      </c:catAx>
      <c:valAx>
        <c:axId val="-777862816"/>
        <c:scaling>
          <c:orientation val="minMax"/>
          <c:max val="1"/>
        </c:scaling>
        <c:delete val="0"/>
        <c:axPos val="b"/>
        <c:numFmt formatCode="0%" sourceLinked="1"/>
        <c:majorTickMark val="out"/>
        <c:minorTickMark val="none"/>
        <c:tickLblPos val="nextTo"/>
        <c:crossAx val="-777863904"/>
        <c:crosses val="autoZero"/>
        <c:crossBetween val="between"/>
      </c:valAx>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Housing</a:t>
            </a:r>
          </a:p>
        </c:rich>
      </c:tx>
      <c:layout>
        <c:manualLayout>
          <c:xMode val="edge"/>
          <c:yMode val="edge"/>
          <c:x val="0.39129747741737675"/>
          <c:y val="0"/>
        </c:manualLayout>
      </c:layout>
      <c:overlay val="1"/>
    </c:title>
    <c:autoTitleDeleted val="0"/>
    <c:plotArea>
      <c:layout>
        <c:manualLayout>
          <c:layoutTarget val="inner"/>
          <c:xMode val="edge"/>
          <c:yMode val="edge"/>
          <c:x val="0.51376941970828738"/>
          <c:y val="9.0177966548617275E-2"/>
          <c:w val="0.44772017425934724"/>
          <c:h val="0.81869581796865809"/>
        </c:manualLayout>
      </c:layout>
      <c:barChart>
        <c:barDir val="bar"/>
        <c:grouping val="clustered"/>
        <c:varyColors val="0"/>
        <c:ser>
          <c:idx val="0"/>
          <c:order val="0"/>
          <c:spPr>
            <a:solidFill>
              <a:schemeClr val="accent2">
                <a:lumMod val="60000"/>
                <a:lumOff val="40000"/>
              </a:schemeClr>
            </a:solidFill>
            <a:ln>
              <a:solidFill>
                <a:schemeClr val="accent2">
                  <a:lumMod val="40000"/>
                  <a:lumOff val="60000"/>
                </a:schemeClr>
              </a:solidFill>
            </a:ln>
            <a:effectLst/>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3B-4CFE-93CC-D3CA7A19C222}"/>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Sheet1!$A$1:$A$6</c:f>
              <c:strCache>
                <c:ptCount val="6"/>
                <c:pt idx="0">
                  <c:v>Other</c:v>
                </c:pt>
                <c:pt idx="1">
                  <c:v>Weekly motels</c:v>
                </c:pt>
                <c:pt idx="2">
                  <c:v>Homeless</c:v>
                </c:pt>
                <c:pt idx="3">
                  <c:v>Live with friends or family without paying rent</c:v>
                </c:pt>
                <c:pt idx="4">
                  <c:v>Own</c:v>
                </c:pt>
                <c:pt idx="5">
                  <c:v>Rent/Lease</c:v>
                </c:pt>
              </c:strCache>
            </c:strRef>
          </c:cat>
          <c:val>
            <c:numRef>
              <c:f>Sheet1!$B$1:$B$6</c:f>
              <c:numCache>
                <c:formatCode>0%</c:formatCode>
                <c:ptCount val="6"/>
                <c:pt idx="0">
                  <c:v>3.4000000000000002E-2</c:v>
                </c:pt>
                <c:pt idx="1">
                  <c:v>2.3E-2</c:v>
                </c:pt>
                <c:pt idx="2">
                  <c:v>2.7E-2</c:v>
                </c:pt>
                <c:pt idx="3">
                  <c:v>0.17299999999999999</c:v>
                </c:pt>
                <c:pt idx="4">
                  <c:v>0.17799999999999999</c:v>
                </c:pt>
                <c:pt idx="5">
                  <c:v>0.56399999999999995</c:v>
                </c:pt>
              </c:numCache>
            </c:numRef>
          </c:val>
          <c:extLst xmlns:c16r2="http://schemas.microsoft.com/office/drawing/2015/06/chart">
            <c:ext xmlns:c16="http://schemas.microsoft.com/office/drawing/2014/chart" uri="{C3380CC4-5D6E-409C-BE32-E72D297353CC}">
              <c16:uniqueId val="{00000001-EC3B-4CFE-93CC-D3CA7A19C222}"/>
            </c:ext>
          </c:extLst>
        </c:ser>
        <c:dLbls>
          <c:dLblPos val="outEnd"/>
          <c:showLegendKey val="0"/>
          <c:showVal val="1"/>
          <c:showCatName val="0"/>
          <c:showSerName val="0"/>
          <c:showPercent val="0"/>
          <c:showBubbleSize val="0"/>
        </c:dLbls>
        <c:gapWidth val="150"/>
        <c:axId val="-777888384"/>
        <c:axId val="-777890560"/>
      </c:barChart>
      <c:catAx>
        <c:axId val="-777888384"/>
        <c:scaling>
          <c:orientation val="minMax"/>
        </c:scaling>
        <c:delete val="0"/>
        <c:axPos val="l"/>
        <c:numFmt formatCode="General" sourceLinked="0"/>
        <c:majorTickMark val="out"/>
        <c:minorTickMark val="none"/>
        <c:tickLblPos val="nextTo"/>
        <c:crossAx val="-777890560"/>
        <c:crosses val="autoZero"/>
        <c:auto val="1"/>
        <c:lblAlgn val="ctr"/>
        <c:lblOffset val="100"/>
        <c:noMultiLvlLbl val="0"/>
      </c:catAx>
      <c:valAx>
        <c:axId val="-777890560"/>
        <c:scaling>
          <c:orientation val="minMax"/>
          <c:max val="1"/>
        </c:scaling>
        <c:delete val="0"/>
        <c:axPos val="b"/>
        <c:numFmt formatCode="0%" sourceLinked="1"/>
        <c:majorTickMark val="out"/>
        <c:minorTickMark val="none"/>
        <c:tickLblPos val="nextTo"/>
        <c:crossAx val="-777888384"/>
        <c:crosses val="autoZero"/>
        <c:crossBetween val="between"/>
      </c:valAx>
    </c:plotArea>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Relationship Status</a:t>
            </a:r>
          </a:p>
        </c:rich>
      </c:tx>
      <c:layout>
        <c:manualLayout>
          <c:xMode val="edge"/>
          <c:yMode val="edge"/>
          <c:x val="0.39129747741737675"/>
          <c:y val="0"/>
        </c:manualLayout>
      </c:layout>
      <c:overlay val="1"/>
    </c:title>
    <c:autoTitleDeleted val="0"/>
    <c:plotArea>
      <c:layout>
        <c:manualLayout>
          <c:layoutTarget val="inner"/>
          <c:xMode val="edge"/>
          <c:yMode val="edge"/>
          <c:x val="0.51376941970828738"/>
          <c:y val="9.0177966548617275E-2"/>
          <c:w val="0.44772017425934724"/>
          <c:h val="0.81869581796865809"/>
        </c:manualLayout>
      </c:layout>
      <c:barChart>
        <c:barDir val="bar"/>
        <c:grouping val="clustered"/>
        <c:varyColors val="0"/>
        <c:ser>
          <c:idx val="0"/>
          <c:order val="0"/>
          <c:spPr>
            <a:solidFill>
              <a:srgbClr val="7030A0"/>
            </a:solidFill>
            <a:ln>
              <a:solidFill>
                <a:srgbClr val="7030A0"/>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D2-47A0-997A-812565CBC36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Sheet1!$A$1:$A$7</c:f>
              <c:strCache>
                <c:ptCount val="7"/>
                <c:pt idx="0">
                  <c:v>Other</c:v>
                </c:pt>
                <c:pt idx="1">
                  <c:v>In an open relationship (more than 1 sexual partner)</c:v>
                </c:pt>
                <c:pt idx="2">
                  <c:v>In a committed relationship (1 partner)</c:v>
                </c:pt>
                <c:pt idx="3">
                  <c:v>Widowed</c:v>
                </c:pt>
                <c:pt idx="4">
                  <c:v>Separated/Divorced</c:v>
                </c:pt>
                <c:pt idx="5">
                  <c:v>Married</c:v>
                </c:pt>
                <c:pt idx="6">
                  <c:v>Single</c:v>
                </c:pt>
              </c:strCache>
            </c:strRef>
          </c:cat>
          <c:val>
            <c:numRef>
              <c:f>Sheet1!$B$1:$B$7</c:f>
              <c:numCache>
                <c:formatCode>0%</c:formatCode>
                <c:ptCount val="7"/>
                <c:pt idx="0">
                  <c:v>0.01</c:v>
                </c:pt>
                <c:pt idx="1">
                  <c:v>0.05</c:v>
                </c:pt>
                <c:pt idx="2">
                  <c:v>0.25</c:v>
                </c:pt>
                <c:pt idx="3">
                  <c:v>0.02</c:v>
                </c:pt>
                <c:pt idx="4">
                  <c:v>0.04</c:v>
                </c:pt>
                <c:pt idx="5">
                  <c:v>0.16</c:v>
                </c:pt>
                <c:pt idx="6">
                  <c:v>0.49</c:v>
                </c:pt>
              </c:numCache>
            </c:numRef>
          </c:val>
          <c:extLst xmlns:c16r2="http://schemas.microsoft.com/office/drawing/2015/06/chart">
            <c:ext xmlns:c16="http://schemas.microsoft.com/office/drawing/2014/chart" uri="{C3380CC4-5D6E-409C-BE32-E72D297353CC}">
              <c16:uniqueId val="{00000001-90D2-47A0-997A-812565CBC36A}"/>
            </c:ext>
          </c:extLst>
        </c:ser>
        <c:dLbls>
          <c:dLblPos val="outEnd"/>
          <c:showLegendKey val="0"/>
          <c:showVal val="1"/>
          <c:showCatName val="0"/>
          <c:showSerName val="0"/>
          <c:showPercent val="0"/>
          <c:showBubbleSize val="0"/>
        </c:dLbls>
        <c:gapWidth val="150"/>
        <c:axId val="-777887296"/>
        <c:axId val="-837727888"/>
      </c:barChart>
      <c:catAx>
        <c:axId val="-777887296"/>
        <c:scaling>
          <c:orientation val="minMax"/>
        </c:scaling>
        <c:delete val="0"/>
        <c:axPos val="l"/>
        <c:numFmt formatCode="General" sourceLinked="0"/>
        <c:majorTickMark val="out"/>
        <c:minorTickMark val="none"/>
        <c:tickLblPos val="nextTo"/>
        <c:crossAx val="-837727888"/>
        <c:crosses val="autoZero"/>
        <c:auto val="1"/>
        <c:lblAlgn val="ctr"/>
        <c:lblOffset val="100"/>
        <c:noMultiLvlLbl val="0"/>
      </c:catAx>
      <c:valAx>
        <c:axId val="-837727888"/>
        <c:scaling>
          <c:orientation val="minMax"/>
          <c:max val="1"/>
        </c:scaling>
        <c:delete val="0"/>
        <c:axPos val="b"/>
        <c:numFmt formatCode="0%" sourceLinked="1"/>
        <c:majorTickMark val="out"/>
        <c:minorTickMark val="none"/>
        <c:tickLblPos val="nextTo"/>
        <c:crossAx val="-777887296"/>
        <c:crosses val="autoZero"/>
        <c:crossBetween val="between"/>
      </c:valAx>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Number</a:t>
            </a:r>
            <a:r>
              <a:rPr lang="en-US" sz="1200" baseline="0"/>
              <a:t> of </a:t>
            </a:r>
            <a:r>
              <a:rPr lang="en-US" sz="1200"/>
              <a:t>Sexual Partners in Past 12 months</a:t>
            </a:r>
          </a:p>
        </c:rich>
      </c:tx>
      <c:layout>
        <c:manualLayout>
          <c:xMode val="edge"/>
          <c:yMode val="edge"/>
          <c:x val="0.31427565456756928"/>
          <c:y val="0"/>
        </c:manualLayout>
      </c:layout>
      <c:overlay val="1"/>
    </c:title>
    <c:autoTitleDeleted val="0"/>
    <c:plotArea>
      <c:layout>
        <c:manualLayout>
          <c:layoutTarget val="inner"/>
          <c:xMode val="edge"/>
          <c:yMode val="edge"/>
          <c:x val="0.24205354465480006"/>
          <c:y val="9.0177966548617275E-2"/>
          <c:w val="0.71943604931283478"/>
          <c:h val="0.81869581796865809"/>
        </c:manualLayout>
      </c:layout>
      <c:barChart>
        <c:barDir val="bar"/>
        <c:grouping val="clustered"/>
        <c:varyColors val="0"/>
        <c:ser>
          <c:idx val="0"/>
          <c:order val="0"/>
          <c:spPr>
            <a:solidFill>
              <a:schemeClr val="accent6">
                <a:lumMod val="60000"/>
                <a:lumOff val="40000"/>
              </a:schemeClr>
            </a:solidFill>
            <a:ln>
              <a:solidFill>
                <a:schemeClr val="accent6">
                  <a:lumMod val="60000"/>
                  <a:lumOff val="40000"/>
                </a:schemeClr>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97-4981-89EF-4D0AA499166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Sheet1!$A$1:$A$6</c:f>
              <c:strCache>
                <c:ptCount val="6"/>
                <c:pt idx="0">
                  <c:v>11 or more</c:v>
                </c:pt>
                <c:pt idx="1">
                  <c:v>8-10</c:v>
                </c:pt>
                <c:pt idx="2">
                  <c:v>5-7</c:v>
                </c:pt>
                <c:pt idx="3">
                  <c:v>2-4</c:v>
                </c:pt>
                <c:pt idx="4">
                  <c:v>1</c:v>
                </c:pt>
                <c:pt idx="5">
                  <c:v>None</c:v>
                </c:pt>
              </c:strCache>
            </c:strRef>
          </c:cat>
          <c:val>
            <c:numRef>
              <c:f>Sheet1!$B$1:$B$6</c:f>
              <c:numCache>
                <c:formatCode>0%</c:formatCode>
                <c:ptCount val="6"/>
                <c:pt idx="0">
                  <c:v>3.3000000000000002E-2</c:v>
                </c:pt>
                <c:pt idx="1">
                  <c:v>0.05</c:v>
                </c:pt>
                <c:pt idx="2">
                  <c:v>0.111</c:v>
                </c:pt>
                <c:pt idx="3">
                  <c:v>0.26100000000000001</c:v>
                </c:pt>
                <c:pt idx="4">
                  <c:v>0.42</c:v>
                </c:pt>
                <c:pt idx="5">
                  <c:v>0.125</c:v>
                </c:pt>
              </c:numCache>
            </c:numRef>
          </c:val>
          <c:extLst xmlns:c16r2="http://schemas.microsoft.com/office/drawing/2015/06/chart">
            <c:ext xmlns:c16="http://schemas.microsoft.com/office/drawing/2014/chart" uri="{C3380CC4-5D6E-409C-BE32-E72D297353CC}">
              <c16:uniqueId val="{00000001-B897-4981-89EF-4D0AA499166A}"/>
            </c:ext>
          </c:extLst>
        </c:ser>
        <c:dLbls>
          <c:dLblPos val="outEnd"/>
          <c:showLegendKey val="0"/>
          <c:showVal val="1"/>
          <c:showCatName val="0"/>
          <c:showSerName val="0"/>
          <c:showPercent val="0"/>
          <c:showBubbleSize val="0"/>
        </c:dLbls>
        <c:gapWidth val="150"/>
        <c:axId val="-835506800"/>
        <c:axId val="-835511152"/>
      </c:barChart>
      <c:catAx>
        <c:axId val="-835506800"/>
        <c:scaling>
          <c:orientation val="minMax"/>
        </c:scaling>
        <c:delete val="0"/>
        <c:axPos val="l"/>
        <c:numFmt formatCode="General" sourceLinked="0"/>
        <c:majorTickMark val="out"/>
        <c:minorTickMark val="none"/>
        <c:tickLblPos val="nextTo"/>
        <c:crossAx val="-835511152"/>
        <c:crosses val="autoZero"/>
        <c:auto val="1"/>
        <c:lblAlgn val="ctr"/>
        <c:lblOffset val="100"/>
        <c:noMultiLvlLbl val="0"/>
      </c:catAx>
      <c:valAx>
        <c:axId val="-835511152"/>
        <c:scaling>
          <c:orientation val="minMax"/>
          <c:max val="1"/>
        </c:scaling>
        <c:delete val="0"/>
        <c:axPos val="b"/>
        <c:numFmt formatCode="0%" sourceLinked="1"/>
        <c:majorTickMark val="out"/>
        <c:minorTickMark val="none"/>
        <c:tickLblPos val="nextTo"/>
        <c:crossAx val="-835506800"/>
        <c:crosses val="autoZero"/>
        <c:crossBetween val="between"/>
      </c:valAx>
    </c:plotArea>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Participation</a:t>
            </a:r>
            <a:r>
              <a:rPr lang="en-US" sz="1200" baseline="0"/>
              <a:t> in Unprotected Sex</a:t>
            </a:r>
            <a:endParaRPr lang="en-US" sz="1200"/>
          </a:p>
        </c:rich>
      </c:tx>
      <c:layout>
        <c:manualLayout>
          <c:xMode val="edge"/>
          <c:yMode val="edge"/>
          <c:x val="0.39129747741737675"/>
          <c:y val="0"/>
        </c:manualLayout>
      </c:layout>
      <c:overlay val="1"/>
    </c:title>
    <c:autoTitleDeleted val="0"/>
    <c:plotArea>
      <c:layout>
        <c:manualLayout>
          <c:layoutTarget val="inner"/>
          <c:xMode val="edge"/>
          <c:yMode val="edge"/>
          <c:x val="0.51376941970828738"/>
          <c:y val="0.10464231618624764"/>
          <c:w val="0.44772017425934724"/>
          <c:h val="0.77757998311885035"/>
        </c:manualLayout>
      </c:layout>
      <c:barChart>
        <c:barDir val="bar"/>
        <c:grouping val="clustered"/>
        <c:varyColors val="0"/>
        <c:ser>
          <c:idx val="0"/>
          <c:order val="0"/>
          <c:spPr>
            <a:solidFill>
              <a:schemeClr val="accent5">
                <a:lumMod val="60000"/>
                <a:lumOff val="40000"/>
              </a:schemeClr>
            </a:solidFill>
            <a:ln>
              <a:solidFill>
                <a:schemeClr val="accent5">
                  <a:lumMod val="60000"/>
                  <a:lumOff val="40000"/>
                </a:schemeClr>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3B6-4767-8388-AEE1B19DF62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Sheet1!$A$1:$A$4</c:f>
              <c:strCache>
                <c:ptCount val="4"/>
                <c:pt idx="0">
                  <c:v>None of the above</c:v>
                </c:pt>
                <c:pt idx="1">
                  <c:v>Unprotected anal sex</c:v>
                </c:pt>
                <c:pt idx="2">
                  <c:v>Unprotected vaginal sex</c:v>
                </c:pt>
                <c:pt idx="3">
                  <c:v>Unprotected oral sex</c:v>
                </c:pt>
              </c:strCache>
            </c:strRef>
          </c:cat>
          <c:val>
            <c:numRef>
              <c:f>Sheet1!$B$1:$B$4</c:f>
              <c:numCache>
                <c:formatCode>0%</c:formatCode>
                <c:ptCount val="4"/>
                <c:pt idx="0">
                  <c:v>0.26</c:v>
                </c:pt>
                <c:pt idx="1">
                  <c:v>0.21</c:v>
                </c:pt>
                <c:pt idx="2">
                  <c:v>0.6</c:v>
                </c:pt>
                <c:pt idx="3">
                  <c:v>0.66</c:v>
                </c:pt>
              </c:numCache>
            </c:numRef>
          </c:val>
          <c:extLst xmlns:c16r2="http://schemas.microsoft.com/office/drawing/2015/06/chart">
            <c:ext xmlns:c16="http://schemas.microsoft.com/office/drawing/2014/chart" uri="{C3380CC4-5D6E-409C-BE32-E72D297353CC}">
              <c16:uniqueId val="{00000001-F3B6-4767-8388-AEE1B19DF620}"/>
            </c:ext>
          </c:extLst>
        </c:ser>
        <c:dLbls>
          <c:dLblPos val="outEnd"/>
          <c:showLegendKey val="0"/>
          <c:showVal val="1"/>
          <c:showCatName val="0"/>
          <c:showSerName val="0"/>
          <c:showPercent val="0"/>
          <c:showBubbleSize val="0"/>
        </c:dLbls>
        <c:gapWidth val="150"/>
        <c:axId val="-835515504"/>
        <c:axId val="-835517136"/>
      </c:barChart>
      <c:catAx>
        <c:axId val="-835515504"/>
        <c:scaling>
          <c:orientation val="minMax"/>
        </c:scaling>
        <c:delete val="0"/>
        <c:axPos val="l"/>
        <c:numFmt formatCode="General" sourceLinked="0"/>
        <c:majorTickMark val="out"/>
        <c:minorTickMark val="none"/>
        <c:tickLblPos val="nextTo"/>
        <c:crossAx val="-835517136"/>
        <c:crosses val="autoZero"/>
        <c:auto val="1"/>
        <c:lblAlgn val="ctr"/>
        <c:lblOffset val="100"/>
        <c:noMultiLvlLbl val="0"/>
      </c:catAx>
      <c:valAx>
        <c:axId val="-835517136"/>
        <c:scaling>
          <c:orientation val="minMax"/>
          <c:max val="1"/>
        </c:scaling>
        <c:delete val="0"/>
        <c:axPos val="b"/>
        <c:numFmt formatCode="0%" sourceLinked="1"/>
        <c:majorTickMark val="out"/>
        <c:minorTickMark val="none"/>
        <c:tickLblPos val="nextTo"/>
        <c:crossAx val="-835515504"/>
        <c:crosses val="autoZero"/>
        <c:crossBetween val="between"/>
      </c:valAx>
    </c:plotArea>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Frequency of Condom Use</a:t>
            </a:r>
          </a:p>
        </c:rich>
      </c:tx>
      <c:overlay val="1"/>
    </c:title>
    <c:autoTitleDeleted val="0"/>
    <c:plotArea>
      <c:layout>
        <c:manualLayout>
          <c:layoutTarget val="inner"/>
          <c:xMode val="edge"/>
          <c:yMode val="edge"/>
          <c:x val="8.1591413717701206E-2"/>
          <c:y val="4.4057617797775277E-2"/>
          <c:w val="0.90129313104154662"/>
          <c:h val="0.83955655320367795"/>
        </c:manualLayout>
      </c:layout>
      <c:barChart>
        <c:barDir val="col"/>
        <c:grouping val="clustered"/>
        <c:varyColors val="0"/>
        <c:ser>
          <c:idx val="0"/>
          <c:order val="0"/>
          <c:tx>
            <c:strRef>
              <c:f>Sheet1!$A$2</c:f>
              <c:strCache>
                <c:ptCount val="1"/>
                <c:pt idx="0">
                  <c:v>Never</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42-49AA-9203-13C2F9A37AD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Sheet1!$B$2</c:f>
              <c:numCache>
                <c:formatCode>0%</c:formatCode>
                <c:ptCount val="1"/>
                <c:pt idx="0">
                  <c:v>0.32900000000000001</c:v>
                </c:pt>
              </c:numCache>
            </c:numRef>
          </c:val>
          <c:extLst xmlns:c16r2="http://schemas.microsoft.com/office/drawing/2015/06/chart">
            <c:ext xmlns:c16="http://schemas.microsoft.com/office/drawing/2014/chart" uri="{C3380CC4-5D6E-409C-BE32-E72D297353CC}">
              <c16:uniqueId val="{00000001-8442-49AA-9203-13C2F9A37AD7}"/>
            </c:ext>
          </c:extLst>
        </c:ser>
        <c:ser>
          <c:idx val="1"/>
          <c:order val="1"/>
          <c:tx>
            <c:strRef>
              <c:f>Sheet1!$A$3</c:f>
              <c:strCache>
                <c:ptCount val="1"/>
                <c:pt idx="0">
                  <c:v>Seldom</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Sheet1!$B$3</c:f>
              <c:numCache>
                <c:formatCode>0%</c:formatCode>
                <c:ptCount val="1"/>
                <c:pt idx="0">
                  <c:v>0.114</c:v>
                </c:pt>
              </c:numCache>
            </c:numRef>
          </c:val>
          <c:extLst xmlns:c16r2="http://schemas.microsoft.com/office/drawing/2015/06/chart">
            <c:ext xmlns:c16="http://schemas.microsoft.com/office/drawing/2014/chart" uri="{C3380CC4-5D6E-409C-BE32-E72D297353CC}">
              <c16:uniqueId val="{00000002-8442-49AA-9203-13C2F9A37AD7}"/>
            </c:ext>
          </c:extLst>
        </c:ser>
        <c:ser>
          <c:idx val="2"/>
          <c:order val="2"/>
          <c:tx>
            <c:strRef>
              <c:f>Sheet1!$A$4</c:f>
              <c:strCache>
                <c:ptCount val="1"/>
                <c:pt idx="0">
                  <c:v>Sometimes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Sheet1!$B$4</c:f>
              <c:numCache>
                <c:formatCode>0%</c:formatCode>
                <c:ptCount val="1"/>
                <c:pt idx="0">
                  <c:v>0.16600000000000001</c:v>
                </c:pt>
              </c:numCache>
            </c:numRef>
          </c:val>
          <c:extLst xmlns:c16r2="http://schemas.microsoft.com/office/drawing/2015/06/chart">
            <c:ext xmlns:c16="http://schemas.microsoft.com/office/drawing/2014/chart" uri="{C3380CC4-5D6E-409C-BE32-E72D297353CC}">
              <c16:uniqueId val="{00000003-8442-49AA-9203-13C2F9A37AD7}"/>
            </c:ext>
          </c:extLst>
        </c:ser>
        <c:ser>
          <c:idx val="3"/>
          <c:order val="3"/>
          <c:tx>
            <c:strRef>
              <c:f>Sheet1!$A$5</c:f>
              <c:strCache>
                <c:ptCount val="1"/>
                <c:pt idx="0">
                  <c:v>Usually</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Sheet1!$B$5</c:f>
              <c:numCache>
                <c:formatCode>0%</c:formatCode>
                <c:ptCount val="1"/>
                <c:pt idx="0">
                  <c:v>0.22</c:v>
                </c:pt>
              </c:numCache>
            </c:numRef>
          </c:val>
          <c:extLst xmlns:c16r2="http://schemas.microsoft.com/office/drawing/2015/06/chart">
            <c:ext xmlns:c16="http://schemas.microsoft.com/office/drawing/2014/chart" uri="{C3380CC4-5D6E-409C-BE32-E72D297353CC}">
              <c16:uniqueId val="{00000004-8442-49AA-9203-13C2F9A37AD7}"/>
            </c:ext>
          </c:extLst>
        </c:ser>
        <c:ser>
          <c:idx val="4"/>
          <c:order val="4"/>
          <c:tx>
            <c:strRef>
              <c:f>Sheet1!$A$6</c:f>
              <c:strCache>
                <c:ptCount val="1"/>
                <c:pt idx="0">
                  <c:v>Always</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f>
              <c:strCache>
                <c:ptCount val="1"/>
                <c:pt idx="0">
                  <c:v>Survey</c:v>
                </c:pt>
              </c:strCache>
            </c:strRef>
          </c:cat>
          <c:val>
            <c:numRef>
              <c:f>Sheet1!$B$6</c:f>
              <c:numCache>
                <c:formatCode>0%</c:formatCode>
                <c:ptCount val="1"/>
                <c:pt idx="0">
                  <c:v>0.17100000000000001</c:v>
                </c:pt>
              </c:numCache>
            </c:numRef>
          </c:val>
          <c:extLst xmlns:c16r2="http://schemas.microsoft.com/office/drawing/2015/06/chart">
            <c:ext xmlns:c16="http://schemas.microsoft.com/office/drawing/2014/chart" uri="{C3380CC4-5D6E-409C-BE32-E72D297353CC}">
              <c16:uniqueId val="{00000005-8442-49AA-9203-13C2F9A37AD7}"/>
            </c:ext>
          </c:extLst>
        </c:ser>
        <c:dLbls>
          <c:dLblPos val="outEnd"/>
          <c:showLegendKey val="0"/>
          <c:showVal val="1"/>
          <c:showCatName val="0"/>
          <c:showSerName val="0"/>
          <c:showPercent val="0"/>
          <c:showBubbleSize val="0"/>
        </c:dLbls>
        <c:gapWidth val="150"/>
        <c:axId val="-835514960"/>
        <c:axId val="-835510064"/>
      </c:barChart>
      <c:catAx>
        <c:axId val="-835514960"/>
        <c:scaling>
          <c:orientation val="minMax"/>
        </c:scaling>
        <c:delete val="0"/>
        <c:axPos val="b"/>
        <c:numFmt formatCode="General" sourceLinked="0"/>
        <c:majorTickMark val="out"/>
        <c:minorTickMark val="none"/>
        <c:tickLblPos val="none"/>
        <c:crossAx val="-835510064"/>
        <c:crosses val="autoZero"/>
        <c:auto val="1"/>
        <c:lblAlgn val="ctr"/>
        <c:lblOffset val="100"/>
        <c:noMultiLvlLbl val="0"/>
      </c:catAx>
      <c:valAx>
        <c:axId val="-835510064"/>
        <c:scaling>
          <c:orientation val="minMax"/>
          <c:max val="1"/>
        </c:scaling>
        <c:delete val="0"/>
        <c:axPos val="l"/>
        <c:numFmt formatCode="0%" sourceLinked="1"/>
        <c:majorTickMark val="out"/>
        <c:minorTickMark val="none"/>
        <c:tickLblPos val="nextTo"/>
        <c:crossAx val="-835514960"/>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b="1" i="0" u="none" strike="noStrike" baseline="0">
                <a:effectLst/>
              </a:rPr>
              <a:t>Figure 7. Annual Rate of New HIV Diagnoses in Nevada by Sex and Race/Ethnicity, 2014</a:t>
            </a:r>
            <a:endParaRPr lang="en-US" sz="1050"/>
          </a:p>
        </c:rich>
      </c:tx>
      <c:overlay val="0"/>
    </c:title>
    <c:autoTitleDeleted val="0"/>
    <c:plotArea>
      <c:layout>
        <c:manualLayout>
          <c:layoutTarget val="inner"/>
          <c:xMode val="edge"/>
          <c:yMode val="edge"/>
          <c:x val="0.17878349959685894"/>
          <c:y val="0.22068302508698043"/>
          <c:w val="0.77843223222865987"/>
          <c:h val="0.59126097609891792"/>
        </c:manualLayout>
      </c:layout>
      <c:barChart>
        <c:barDir val="col"/>
        <c:grouping val="clustered"/>
        <c:varyColors val="0"/>
        <c:ser>
          <c:idx val="0"/>
          <c:order val="0"/>
          <c:tx>
            <c:strRef>
              <c:f>Sex!$A$25</c:f>
              <c:strCache>
                <c:ptCount val="1"/>
                <c:pt idx="0">
                  <c:v>Male</c:v>
                </c:pt>
              </c:strCache>
            </c:strRef>
          </c:tx>
          <c:spPr>
            <a:solidFill>
              <a:schemeClr val="accent1">
                <a:lumMod val="50000"/>
              </a:schemeClr>
            </a:solidFill>
            <a:scene3d>
              <a:camera prst="orthographicFront"/>
              <a:lightRig rig="threePt" dir="t"/>
            </a:scene3d>
            <a:sp3d>
              <a:bevelT/>
            </a:sp3d>
          </c:spPr>
          <c:invertIfNegative val="0"/>
          <c:dLbls>
            <c:dLbl>
              <c:idx val="0"/>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1C-412C-AEE3-FDC8D9207C85}"/>
                </c:ext>
                <c:ext xmlns:c15="http://schemas.microsoft.com/office/drawing/2012/chart" uri="{CE6537A1-D6FC-4f65-9D91-7224C49458BB}"/>
              </c:extLst>
            </c:dLbl>
            <c:dLbl>
              <c:idx val="1"/>
              <c:layout>
                <c:manualLayout>
                  <c:x val="0"/>
                  <c:y val="1.59680638722554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1C-412C-AEE3-FDC8D9207C85}"/>
                </c:ext>
                <c:ext xmlns:c15="http://schemas.microsoft.com/office/drawing/2012/chart" uri="{CE6537A1-D6FC-4f65-9D91-7224C49458BB}"/>
              </c:extLst>
            </c:dLbl>
            <c:dLbl>
              <c:idx val="2"/>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1C-412C-AEE3-FDC8D9207C85}"/>
                </c:ext>
                <c:ext xmlns:c15="http://schemas.microsoft.com/office/drawing/2012/chart" uri="{CE6537A1-D6FC-4f65-9D91-7224C49458BB}"/>
              </c:extLst>
            </c:dLbl>
            <c:dLbl>
              <c:idx val="3"/>
              <c:layout>
                <c:manualLayout>
                  <c:x val="0"/>
                  <c:y val="1.19757335722256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1C-412C-AEE3-FDC8D9207C85}"/>
                </c:ext>
                <c:ext xmlns:c15="http://schemas.microsoft.com/office/drawing/2012/chart" uri="{CE6537A1-D6FC-4f65-9D91-7224C49458BB}"/>
              </c:extLst>
            </c:dLbl>
            <c:dLbl>
              <c:idx val="4"/>
              <c:layout>
                <c:manualLayout>
                  <c:x val="2.5040149203212612E-3"/>
                  <c:y val="1.1975573760350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1C-412C-AEE3-FDC8D9207C85}"/>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Sex!$C$34:$G$34</c:f>
              <c:strCache>
                <c:ptCount val="5"/>
                <c:pt idx="0">
                  <c:v>White</c:v>
                </c:pt>
                <c:pt idx="1">
                  <c:v>Black</c:v>
                </c:pt>
                <c:pt idx="2">
                  <c:v>Hispanic</c:v>
                </c:pt>
                <c:pt idx="3">
                  <c:v>API</c:v>
                </c:pt>
                <c:pt idx="4">
                  <c:v>AI/AN</c:v>
                </c:pt>
              </c:strCache>
            </c:strRef>
          </c:cat>
          <c:val>
            <c:numRef>
              <c:f>Sex!$C$29:$G$29</c:f>
              <c:numCache>
                <c:formatCode>0.0</c:formatCode>
                <c:ptCount val="5"/>
                <c:pt idx="0">
                  <c:v>18.5</c:v>
                </c:pt>
                <c:pt idx="1">
                  <c:v>66.5</c:v>
                </c:pt>
                <c:pt idx="2">
                  <c:v>31.9</c:v>
                </c:pt>
                <c:pt idx="3">
                  <c:v>14.6</c:v>
                </c:pt>
                <c:pt idx="4">
                  <c:v>18.5</c:v>
                </c:pt>
              </c:numCache>
            </c:numRef>
          </c:val>
          <c:extLst xmlns:c16r2="http://schemas.microsoft.com/office/drawing/2015/06/chart">
            <c:ext xmlns:c16="http://schemas.microsoft.com/office/drawing/2014/chart" uri="{C3380CC4-5D6E-409C-BE32-E72D297353CC}">
              <c16:uniqueId val="{00000005-021C-412C-AEE3-FDC8D9207C85}"/>
            </c:ext>
          </c:extLst>
        </c:ser>
        <c:ser>
          <c:idx val="1"/>
          <c:order val="1"/>
          <c:tx>
            <c:strRef>
              <c:f>Sex!$A$32</c:f>
              <c:strCache>
                <c:ptCount val="1"/>
                <c:pt idx="0">
                  <c:v>Female</c:v>
                </c:pt>
              </c:strCache>
            </c:strRef>
          </c:tx>
          <c:spPr>
            <a:solidFill>
              <a:schemeClr val="tx2">
                <a:lumMod val="40000"/>
                <a:lumOff val="60000"/>
              </a:schemeClr>
            </a:solidFill>
            <a:scene3d>
              <a:camera prst="orthographicFront"/>
              <a:lightRig rig="threePt" dir="t"/>
            </a:scene3d>
            <a:sp3d>
              <a:bevelT/>
            </a:sp3d>
          </c:spPr>
          <c:invertIfNegative val="0"/>
          <c:dLbls>
            <c:dLbl>
              <c:idx val="0"/>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1C-412C-AEE3-FDC8D9207C85}"/>
                </c:ext>
                <c:ext xmlns:c15="http://schemas.microsoft.com/office/drawing/2012/chart" uri="{CE6537A1-D6FC-4f65-9D91-7224C49458BB}"/>
              </c:extLst>
            </c:dLbl>
            <c:dLbl>
              <c:idx val="1"/>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1C-412C-AEE3-FDC8D9207C85}"/>
                </c:ext>
                <c:ext xmlns:c15="http://schemas.microsoft.com/office/drawing/2012/chart" uri="{CE6537A1-D6FC-4f65-9D91-7224C49458BB}"/>
              </c:extLst>
            </c:dLbl>
            <c:dLbl>
              <c:idx val="2"/>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21C-412C-AEE3-FDC8D9207C85}"/>
                </c:ext>
                <c:ext xmlns:c15="http://schemas.microsoft.com/office/drawing/2012/chart" uri="{CE6537A1-D6FC-4f65-9D91-7224C49458BB}"/>
              </c:extLst>
            </c:dLbl>
            <c:dLbl>
              <c:idx val="3"/>
              <c:layout>
                <c:manualLayout>
                  <c:x val="2.2561280185998392E-3"/>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21C-412C-AEE3-FDC8D9207C85}"/>
                </c:ext>
                <c:ext xmlns:c15="http://schemas.microsoft.com/office/drawing/2012/chart" uri="{CE6537A1-D6FC-4f65-9D91-7224C49458BB}"/>
              </c:extLst>
            </c:dLbl>
            <c:dLbl>
              <c:idx val="4"/>
              <c:tx>
                <c:rich>
                  <a:bodyPr/>
                  <a:lstStyle/>
                  <a:p>
                    <a:r>
                      <a:rPr lang="en-US"/>
                      <a:t>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21C-412C-AEE3-FDC8D9207C85}"/>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Sex!$C$34:$G$34</c:f>
              <c:strCache>
                <c:ptCount val="5"/>
                <c:pt idx="0">
                  <c:v>White</c:v>
                </c:pt>
                <c:pt idx="1">
                  <c:v>Black</c:v>
                </c:pt>
                <c:pt idx="2">
                  <c:v>Hispanic</c:v>
                </c:pt>
                <c:pt idx="3">
                  <c:v>API</c:v>
                </c:pt>
                <c:pt idx="4">
                  <c:v>AI/AN</c:v>
                </c:pt>
              </c:strCache>
            </c:strRef>
          </c:cat>
          <c:val>
            <c:numRef>
              <c:f>Sex!$C$36:$G$36</c:f>
              <c:numCache>
                <c:formatCode>0.0</c:formatCode>
                <c:ptCount val="5"/>
                <c:pt idx="0">
                  <c:v>2.4</c:v>
                </c:pt>
                <c:pt idx="1">
                  <c:v>20.2</c:v>
                </c:pt>
                <c:pt idx="2">
                  <c:v>2.1</c:v>
                </c:pt>
                <c:pt idx="3">
                  <c:v>4.5</c:v>
                </c:pt>
                <c:pt idx="4">
                  <c:v>0</c:v>
                </c:pt>
              </c:numCache>
            </c:numRef>
          </c:val>
          <c:extLst xmlns:c16r2="http://schemas.microsoft.com/office/drawing/2015/06/chart">
            <c:ext xmlns:c16="http://schemas.microsoft.com/office/drawing/2014/chart" uri="{C3380CC4-5D6E-409C-BE32-E72D297353CC}">
              <c16:uniqueId val="{0000000B-021C-412C-AEE3-FDC8D9207C85}"/>
            </c:ext>
          </c:extLst>
        </c:ser>
        <c:dLbls>
          <c:showLegendKey val="0"/>
          <c:showVal val="0"/>
          <c:showCatName val="0"/>
          <c:showSerName val="0"/>
          <c:showPercent val="0"/>
          <c:showBubbleSize val="0"/>
        </c:dLbls>
        <c:gapWidth val="72"/>
        <c:axId val="-788186400"/>
        <c:axId val="-788179328"/>
      </c:barChart>
      <c:catAx>
        <c:axId val="-788186400"/>
        <c:scaling>
          <c:orientation val="minMax"/>
        </c:scaling>
        <c:delete val="0"/>
        <c:axPos val="b"/>
        <c:numFmt formatCode="General" sourceLinked="0"/>
        <c:majorTickMark val="out"/>
        <c:minorTickMark val="none"/>
        <c:tickLblPos val="nextTo"/>
        <c:crossAx val="-788179328"/>
        <c:crosses val="autoZero"/>
        <c:auto val="1"/>
        <c:lblAlgn val="ctr"/>
        <c:lblOffset val="100"/>
        <c:noMultiLvlLbl val="0"/>
      </c:catAx>
      <c:valAx>
        <c:axId val="-788179328"/>
        <c:scaling>
          <c:orientation val="minMax"/>
        </c:scaling>
        <c:delete val="0"/>
        <c:axPos val="l"/>
        <c:majorGridlines/>
        <c:title>
          <c:tx>
            <c:rich>
              <a:bodyPr rot="-5400000" vert="horz"/>
              <a:lstStyle/>
              <a:p>
                <a:pPr>
                  <a:defRPr sz="800"/>
                </a:pPr>
                <a:r>
                  <a:rPr lang="en-US" sz="800"/>
                  <a:t>Rate per 100,000</a:t>
                </a:r>
              </a:p>
            </c:rich>
          </c:tx>
          <c:layout>
            <c:manualLayout>
              <c:xMode val="edge"/>
              <c:yMode val="edge"/>
              <c:x val="3.3089518632505963E-2"/>
              <c:y val="0.37219654074139608"/>
            </c:manualLayout>
          </c:layout>
          <c:overlay val="0"/>
        </c:title>
        <c:numFmt formatCode="0.0" sourceLinked="1"/>
        <c:majorTickMark val="out"/>
        <c:minorTickMark val="none"/>
        <c:tickLblPos val="nextTo"/>
        <c:txPr>
          <a:bodyPr/>
          <a:lstStyle/>
          <a:p>
            <a:pPr>
              <a:defRPr sz="800"/>
            </a:pPr>
            <a:endParaRPr lang="en-US"/>
          </a:p>
        </c:txPr>
        <c:crossAx val="-788186400"/>
        <c:crosses val="autoZero"/>
        <c:crossBetween val="between"/>
      </c:valAx>
      <c:spPr>
        <a:noFill/>
      </c:spPr>
    </c:plotArea>
    <c:legend>
      <c:legendPos val="b"/>
      <c:layout>
        <c:manualLayout>
          <c:xMode val="edge"/>
          <c:yMode val="edge"/>
          <c:x val="0.22393814783105362"/>
          <c:y val="0.92382050609481481"/>
          <c:w val="0.60114227909011375"/>
          <c:h val="7.6179294953400423E-2"/>
        </c:manualLayout>
      </c:layout>
      <c:overlay val="0"/>
      <c:txPr>
        <a:bodyPr/>
        <a:lstStyle/>
        <a:p>
          <a:pPr>
            <a:defRPr sz="800"/>
          </a:pPr>
          <a:endParaRPr lang="en-US"/>
        </a:p>
      </c:txPr>
    </c:legend>
    <c:plotVisOnly val="1"/>
    <c:dispBlanksAs val="gap"/>
    <c:showDLblsOverMax val="0"/>
  </c:chart>
  <c:spPr>
    <a:noFill/>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b="1"/>
              <a:t>Condom Use and HIV Testing</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Overall Sample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Seldom or Never Used Condom</c:v>
                </c:pt>
                <c:pt idx="1">
                  <c:v>Ever been tested for HIV</c:v>
                </c:pt>
              </c:strCache>
            </c:strRef>
          </c:cat>
          <c:val>
            <c:numRef>
              <c:f>Sheet1!$B$2:$B$3</c:f>
              <c:numCache>
                <c:formatCode>0%</c:formatCode>
                <c:ptCount val="2"/>
                <c:pt idx="0">
                  <c:v>0.44</c:v>
                </c:pt>
                <c:pt idx="1">
                  <c:v>0.47</c:v>
                </c:pt>
              </c:numCache>
            </c:numRef>
          </c:val>
          <c:extLst xmlns:c16r2="http://schemas.microsoft.com/office/drawing/2015/06/chart">
            <c:ext xmlns:c16="http://schemas.microsoft.com/office/drawing/2014/chart" uri="{C3380CC4-5D6E-409C-BE32-E72D297353CC}">
              <c16:uniqueId val="{00000000-B4D3-4F20-9FB6-24DBF8939F25}"/>
            </c:ext>
          </c:extLst>
        </c:ser>
        <c:ser>
          <c:idx val="1"/>
          <c:order val="1"/>
          <c:tx>
            <c:strRef>
              <c:f>Sheet1!$C$1</c:f>
              <c:strCache>
                <c:ptCount val="1"/>
                <c:pt idx="0">
                  <c:v>Transgender MTF</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Seldom or Never Used Condom</c:v>
                </c:pt>
                <c:pt idx="1">
                  <c:v>Ever been tested for HIV</c:v>
                </c:pt>
              </c:strCache>
            </c:strRef>
          </c:cat>
          <c:val>
            <c:numRef>
              <c:f>Sheet1!$C$2:$C$3</c:f>
              <c:numCache>
                <c:formatCode>0%</c:formatCode>
                <c:ptCount val="2"/>
                <c:pt idx="0">
                  <c:v>0.78</c:v>
                </c:pt>
                <c:pt idx="1">
                  <c:v>0.46</c:v>
                </c:pt>
              </c:numCache>
            </c:numRef>
          </c:val>
          <c:extLst xmlns:c16r2="http://schemas.microsoft.com/office/drawing/2015/06/chart">
            <c:ext xmlns:c16="http://schemas.microsoft.com/office/drawing/2014/chart" uri="{C3380CC4-5D6E-409C-BE32-E72D297353CC}">
              <c16:uniqueId val="{00000001-B4D3-4F20-9FB6-24DBF8939F25}"/>
            </c:ext>
          </c:extLst>
        </c:ser>
        <c:ser>
          <c:idx val="2"/>
          <c:order val="2"/>
          <c:tx>
            <c:strRef>
              <c:f>Sheet1!$D$1</c:f>
              <c:strCache>
                <c:ptCount val="1"/>
                <c:pt idx="0">
                  <c:v>MSM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Seldom or Never Used Condom</c:v>
                </c:pt>
                <c:pt idx="1">
                  <c:v>Ever been tested for HIV</c:v>
                </c:pt>
              </c:strCache>
            </c:strRef>
          </c:cat>
          <c:val>
            <c:numRef>
              <c:f>Sheet1!$D$2:$D$3</c:f>
              <c:numCache>
                <c:formatCode>0%</c:formatCode>
                <c:ptCount val="2"/>
                <c:pt idx="0">
                  <c:v>0.22</c:v>
                </c:pt>
                <c:pt idx="1">
                  <c:v>0.66</c:v>
                </c:pt>
              </c:numCache>
            </c:numRef>
          </c:val>
          <c:extLst xmlns:c16r2="http://schemas.microsoft.com/office/drawing/2015/06/chart">
            <c:ext xmlns:c16="http://schemas.microsoft.com/office/drawing/2014/chart" uri="{C3380CC4-5D6E-409C-BE32-E72D297353CC}">
              <c16:uniqueId val="{00000002-B4D3-4F20-9FB6-24DBF8939F25}"/>
            </c:ext>
          </c:extLst>
        </c:ser>
        <c:ser>
          <c:idx val="3"/>
          <c:order val="3"/>
          <c:tx>
            <c:strRef>
              <c:f>Sheet1!$E$1</c:f>
              <c:strCache>
                <c:ptCount val="1"/>
                <c:pt idx="0">
                  <c:v>24 and younger</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Seldom or Never Used Condom</c:v>
                </c:pt>
                <c:pt idx="1">
                  <c:v>Ever been tested for HIV</c:v>
                </c:pt>
              </c:strCache>
            </c:strRef>
          </c:cat>
          <c:val>
            <c:numRef>
              <c:f>Sheet1!$E$2:$E$3</c:f>
              <c:numCache>
                <c:formatCode>0%</c:formatCode>
                <c:ptCount val="2"/>
                <c:pt idx="0">
                  <c:v>0.28000000000000003</c:v>
                </c:pt>
                <c:pt idx="1">
                  <c:v>0.38</c:v>
                </c:pt>
              </c:numCache>
            </c:numRef>
          </c:val>
          <c:extLst xmlns:c16r2="http://schemas.microsoft.com/office/drawing/2015/06/chart">
            <c:ext xmlns:c16="http://schemas.microsoft.com/office/drawing/2014/chart" uri="{C3380CC4-5D6E-409C-BE32-E72D297353CC}">
              <c16:uniqueId val="{00000003-B4D3-4F20-9FB6-24DBF8939F25}"/>
            </c:ext>
          </c:extLst>
        </c:ser>
        <c:ser>
          <c:idx val="4"/>
          <c:order val="4"/>
          <c:tx>
            <c:strRef>
              <c:f>Sheet1!$F$1</c:f>
              <c:strCache>
                <c:ptCount val="1"/>
                <c:pt idx="0">
                  <c:v>IDU</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Seldom or Never Used Condom</c:v>
                </c:pt>
                <c:pt idx="1">
                  <c:v>Ever been tested for HIV</c:v>
                </c:pt>
              </c:strCache>
            </c:strRef>
          </c:cat>
          <c:val>
            <c:numRef>
              <c:f>Sheet1!$F$2:$F$3</c:f>
              <c:numCache>
                <c:formatCode>0%</c:formatCode>
                <c:ptCount val="2"/>
                <c:pt idx="0">
                  <c:v>0.57999999999999996</c:v>
                </c:pt>
                <c:pt idx="1">
                  <c:v>0.37</c:v>
                </c:pt>
              </c:numCache>
            </c:numRef>
          </c:val>
          <c:extLst xmlns:c16r2="http://schemas.microsoft.com/office/drawing/2015/06/chart">
            <c:ext xmlns:c16="http://schemas.microsoft.com/office/drawing/2014/chart" uri="{C3380CC4-5D6E-409C-BE32-E72D297353CC}">
              <c16:uniqueId val="{00000004-B4D3-4F20-9FB6-24DBF8939F25}"/>
            </c:ext>
          </c:extLst>
        </c:ser>
        <c:dLbls>
          <c:dLblPos val="outEnd"/>
          <c:showLegendKey val="0"/>
          <c:showVal val="1"/>
          <c:showCatName val="0"/>
          <c:showSerName val="0"/>
          <c:showPercent val="0"/>
          <c:showBubbleSize val="0"/>
        </c:dLbls>
        <c:gapWidth val="219"/>
        <c:overlap val="-27"/>
        <c:axId val="-835507344"/>
        <c:axId val="-835514416"/>
      </c:barChart>
      <c:catAx>
        <c:axId val="-8355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35514416"/>
        <c:crosses val="autoZero"/>
        <c:auto val="1"/>
        <c:lblAlgn val="ctr"/>
        <c:lblOffset val="100"/>
        <c:noMultiLvlLbl val="0"/>
      </c:catAx>
      <c:valAx>
        <c:axId val="-835514416"/>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3550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Preferred</a:t>
            </a:r>
            <a:r>
              <a:rPr lang="en-US" sz="1200" baseline="0"/>
              <a:t> Place to Seek HIV/AIDS information</a:t>
            </a:r>
            <a:endParaRPr lang="en-US" sz="1200"/>
          </a:p>
        </c:rich>
      </c:tx>
      <c:layout>
        <c:manualLayout>
          <c:xMode val="edge"/>
          <c:yMode val="edge"/>
          <c:x val="0.31427565456756928"/>
          <c:y val="0"/>
        </c:manualLayout>
      </c:layout>
      <c:overlay val="1"/>
    </c:title>
    <c:autoTitleDeleted val="0"/>
    <c:plotArea>
      <c:layout>
        <c:manualLayout>
          <c:layoutTarget val="inner"/>
          <c:xMode val="edge"/>
          <c:yMode val="edge"/>
          <c:x val="0.24205354465480006"/>
          <c:y val="9.0177966548617275E-2"/>
          <c:w val="0.71943604931283478"/>
          <c:h val="0.81869581796865809"/>
        </c:manualLayout>
      </c:layout>
      <c:barChart>
        <c:barDir val="bar"/>
        <c:grouping val="clustered"/>
        <c:varyColors val="0"/>
        <c:ser>
          <c:idx val="0"/>
          <c:order val="0"/>
          <c:spPr>
            <a:solidFill>
              <a:schemeClr val="accent6">
                <a:lumMod val="60000"/>
                <a:lumOff val="40000"/>
              </a:schemeClr>
            </a:solidFill>
            <a:ln>
              <a:solidFill>
                <a:schemeClr val="accent6">
                  <a:lumMod val="60000"/>
                  <a:lumOff val="40000"/>
                </a:schemeClr>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76-4C4A-8EE0-CA0374D5AC9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Sheet1!$A$1:$A$9</c:f>
              <c:strCache>
                <c:ptCount val="9"/>
                <c:pt idx="0">
                  <c:v>Church</c:v>
                </c:pt>
                <c:pt idx="1">
                  <c:v>Teacher</c:v>
                </c:pt>
                <c:pt idx="2">
                  <c:v>Community agency</c:v>
                </c:pt>
                <c:pt idx="3">
                  <c:v>Family</c:v>
                </c:pt>
                <c:pt idx="4">
                  <c:v>Sexual Partner</c:v>
                </c:pt>
                <c:pt idx="5">
                  <c:v>Friends</c:v>
                </c:pt>
                <c:pt idx="6">
                  <c:v>Health department</c:v>
                </c:pt>
                <c:pt idx="7">
                  <c:v>Health care provider</c:v>
                </c:pt>
                <c:pt idx="8">
                  <c:v>Internet</c:v>
                </c:pt>
              </c:strCache>
            </c:strRef>
          </c:cat>
          <c:val>
            <c:numRef>
              <c:f>Sheet1!$B$1:$B$9</c:f>
              <c:numCache>
                <c:formatCode>0%</c:formatCode>
                <c:ptCount val="9"/>
                <c:pt idx="0">
                  <c:v>0.05</c:v>
                </c:pt>
                <c:pt idx="1">
                  <c:v>9.9000000000000005E-2</c:v>
                </c:pt>
                <c:pt idx="2">
                  <c:v>0.155</c:v>
                </c:pt>
                <c:pt idx="3">
                  <c:v>0.17499999999999999</c:v>
                </c:pt>
                <c:pt idx="4">
                  <c:v>0.2</c:v>
                </c:pt>
                <c:pt idx="5">
                  <c:v>0.255</c:v>
                </c:pt>
                <c:pt idx="6">
                  <c:v>0.375</c:v>
                </c:pt>
                <c:pt idx="7">
                  <c:v>0.53</c:v>
                </c:pt>
                <c:pt idx="8">
                  <c:v>0.68799999999999994</c:v>
                </c:pt>
              </c:numCache>
            </c:numRef>
          </c:val>
          <c:extLst xmlns:c16r2="http://schemas.microsoft.com/office/drawing/2015/06/chart">
            <c:ext xmlns:c16="http://schemas.microsoft.com/office/drawing/2014/chart" uri="{C3380CC4-5D6E-409C-BE32-E72D297353CC}">
              <c16:uniqueId val="{00000001-BF76-4C4A-8EE0-CA0374D5AC9D}"/>
            </c:ext>
          </c:extLst>
        </c:ser>
        <c:dLbls>
          <c:dLblPos val="outEnd"/>
          <c:showLegendKey val="0"/>
          <c:showVal val="1"/>
          <c:showCatName val="0"/>
          <c:showSerName val="0"/>
          <c:showPercent val="0"/>
          <c:showBubbleSize val="0"/>
        </c:dLbls>
        <c:gapWidth val="150"/>
        <c:axId val="-835509520"/>
        <c:axId val="-835516592"/>
      </c:barChart>
      <c:catAx>
        <c:axId val="-835509520"/>
        <c:scaling>
          <c:orientation val="minMax"/>
        </c:scaling>
        <c:delete val="0"/>
        <c:axPos val="l"/>
        <c:numFmt formatCode="General" sourceLinked="0"/>
        <c:majorTickMark val="out"/>
        <c:minorTickMark val="none"/>
        <c:tickLblPos val="nextTo"/>
        <c:crossAx val="-835516592"/>
        <c:crosses val="autoZero"/>
        <c:auto val="1"/>
        <c:lblAlgn val="ctr"/>
        <c:lblOffset val="100"/>
        <c:noMultiLvlLbl val="0"/>
      </c:catAx>
      <c:valAx>
        <c:axId val="-835516592"/>
        <c:scaling>
          <c:orientation val="minMax"/>
          <c:max val="1"/>
        </c:scaling>
        <c:delete val="0"/>
        <c:axPos val="b"/>
        <c:numFmt formatCode="0%" sourceLinked="1"/>
        <c:majorTickMark val="out"/>
        <c:minorTickMark val="none"/>
        <c:tickLblPos val="nextTo"/>
        <c:crossAx val="-835509520"/>
        <c:crosses val="autoZero"/>
        <c:crossBetween val="between"/>
      </c:valAx>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Preferred</a:t>
            </a:r>
            <a:r>
              <a:rPr lang="en-US" sz="1200" baseline="0"/>
              <a:t> Way to Receive HIV/AIDS information</a:t>
            </a:r>
            <a:endParaRPr lang="en-US" sz="1200"/>
          </a:p>
        </c:rich>
      </c:tx>
      <c:layout>
        <c:manualLayout>
          <c:xMode val="edge"/>
          <c:yMode val="edge"/>
          <c:x val="0.31427565456756928"/>
          <c:y val="0"/>
        </c:manualLayout>
      </c:layout>
      <c:overlay val="1"/>
    </c:title>
    <c:autoTitleDeleted val="0"/>
    <c:plotArea>
      <c:layout>
        <c:manualLayout>
          <c:layoutTarget val="inner"/>
          <c:xMode val="edge"/>
          <c:yMode val="edge"/>
          <c:x val="0.24205354465480006"/>
          <c:y val="9.0177966548617275E-2"/>
          <c:w val="0.71943604931283478"/>
          <c:h val="0.81869581796865809"/>
        </c:manualLayout>
      </c:layout>
      <c:barChart>
        <c:barDir val="bar"/>
        <c:grouping val="clustered"/>
        <c:varyColors val="0"/>
        <c:ser>
          <c:idx val="0"/>
          <c:order val="0"/>
          <c:spPr>
            <a:solidFill>
              <a:schemeClr val="accent6">
                <a:lumMod val="60000"/>
                <a:lumOff val="40000"/>
              </a:schemeClr>
            </a:solidFill>
            <a:ln>
              <a:solidFill>
                <a:schemeClr val="accent6">
                  <a:lumMod val="60000"/>
                  <a:lumOff val="40000"/>
                </a:schemeClr>
              </a:solidFill>
            </a:ln>
            <a:scene3d>
              <a:camera prst="orthographicFront"/>
              <a:lightRig rig="threePt" dir="t"/>
            </a:scene3d>
            <a:sp3d/>
          </c:spPr>
          <c:invertIfNegative val="0"/>
          <c:dLbls>
            <c:dLbl>
              <c:idx val="0"/>
              <c:layout>
                <c:manualLayout>
                  <c:x val="-8.558148780824732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78-4C54-AEAE-452D4D8F88EE}"/>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Sheet1!$A$1:$A$11</c:f>
              <c:strCache>
                <c:ptCount val="11"/>
                <c:pt idx="0">
                  <c:v>Church</c:v>
                </c:pt>
                <c:pt idx="1">
                  <c:v>Radio</c:v>
                </c:pt>
                <c:pt idx="2">
                  <c:v>Teacher</c:v>
                </c:pt>
                <c:pt idx="3">
                  <c:v>Newspaper ads/billboards</c:v>
                </c:pt>
                <c:pt idx="4">
                  <c:v>Community agency</c:v>
                </c:pt>
                <c:pt idx="5">
                  <c:v>TV</c:v>
                </c:pt>
                <c:pt idx="6">
                  <c:v>Community events</c:v>
                </c:pt>
                <c:pt idx="7">
                  <c:v>Family</c:v>
                </c:pt>
                <c:pt idx="8">
                  <c:v>Brochures</c:v>
                </c:pt>
                <c:pt idx="9">
                  <c:v>Health care provider</c:v>
                </c:pt>
                <c:pt idx="10">
                  <c:v>Internet</c:v>
                </c:pt>
              </c:strCache>
            </c:strRef>
          </c:cat>
          <c:val>
            <c:numRef>
              <c:f>Sheet1!$B$1:$B$11</c:f>
              <c:numCache>
                <c:formatCode>0%</c:formatCode>
                <c:ptCount val="11"/>
                <c:pt idx="0">
                  <c:v>0.08</c:v>
                </c:pt>
                <c:pt idx="1">
                  <c:v>0.159</c:v>
                </c:pt>
                <c:pt idx="2">
                  <c:v>0.16</c:v>
                </c:pt>
                <c:pt idx="3">
                  <c:v>0.16600000000000001</c:v>
                </c:pt>
                <c:pt idx="4">
                  <c:v>0.20799999999999999</c:v>
                </c:pt>
                <c:pt idx="5">
                  <c:v>0.22900000000000001</c:v>
                </c:pt>
                <c:pt idx="6">
                  <c:v>0.23300000000000001</c:v>
                </c:pt>
                <c:pt idx="7">
                  <c:v>0.247</c:v>
                </c:pt>
                <c:pt idx="8">
                  <c:v>0.29799999999999999</c:v>
                </c:pt>
                <c:pt idx="9">
                  <c:v>0.60099999999999998</c:v>
                </c:pt>
                <c:pt idx="10">
                  <c:v>0.68600000000000005</c:v>
                </c:pt>
              </c:numCache>
            </c:numRef>
          </c:val>
          <c:extLst xmlns:c16r2="http://schemas.microsoft.com/office/drawing/2015/06/chart">
            <c:ext xmlns:c16="http://schemas.microsoft.com/office/drawing/2014/chart" uri="{C3380CC4-5D6E-409C-BE32-E72D297353CC}">
              <c16:uniqueId val="{00000001-E078-4C54-AEAE-452D4D8F88EE}"/>
            </c:ext>
          </c:extLst>
        </c:ser>
        <c:dLbls>
          <c:dLblPos val="outEnd"/>
          <c:showLegendKey val="0"/>
          <c:showVal val="1"/>
          <c:showCatName val="0"/>
          <c:showSerName val="0"/>
          <c:showPercent val="0"/>
          <c:showBubbleSize val="0"/>
        </c:dLbls>
        <c:gapWidth val="150"/>
        <c:axId val="-835513328"/>
        <c:axId val="-835507888"/>
      </c:barChart>
      <c:catAx>
        <c:axId val="-835513328"/>
        <c:scaling>
          <c:orientation val="minMax"/>
        </c:scaling>
        <c:delete val="0"/>
        <c:axPos val="l"/>
        <c:numFmt formatCode="General" sourceLinked="0"/>
        <c:majorTickMark val="out"/>
        <c:minorTickMark val="none"/>
        <c:tickLblPos val="nextTo"/>
        <c:crossAx val="-835507888"/>
        <c:crosses val="autoZero"/>
        <c:auto val="1"/>
        <c:lblAlgn val="ctr"/>
        <c:lblOffset val="100"/>
        <c:noMultiLvlLbl val="0"/>
      </c:catAx>
      <c:valAx>
        <c:axId val="-835507888"/>
        <c:scaling>
          <c:orientation val="minMax"/>
          <c:max val="1"/>
        </c:scaling>
        <c:delete val="0"/>
        <c:axPos val="b"/>
        <c:numFmt formatCode="0%" sourceLinked="1"/>
        <c:majorTickMark val="out"/>
        <c:minorTickMark val="none"/>
        <c:tickLblPos val="nextTo"/>
        <c:crossAx val="-835513328"/>
        <c:crosses val="autoZero"/>
        <c:crossBetween val="between"/>
      </c:valAx>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Beliefs</a:t>
            </a:r>
            <a:r>
              <a:rPr lang="en-US" sz="1000" b="1" baseline="0"/>
              <a:t> about HIV/AIDS</a:t>
            </a:r>
            <a:endParaRPr lang="en-US" sz="1000" b="1"/>
          </a:p>
        </c:rich>
      </c:tx>
      <c:overlay val="0"/>
      <c:spPr>
        <a:noFill/>
        <a:ln>
          <a:noFill/>
        </a:ln>
        <a:effectLst/>
      </c:spPr>
    </c:title>
    <c:autoTitleDeleted val="0"/>
    <c:plotArea>
      <c:layout>
        <c:manualLayout>
          <c:layoutTarget val="inner"/>
          <c:xMode val="edge"/>
          <c:yMode val="edge"/>
          <c:x val="0.49014739856736655"/>
          <c:y val="4.3840156703018246E-2"/>
          <c:w val="0.46415494449912509"/>
          <c:h val="0.86519560671895279"/>
        </c:manualLayout>
      </c:layout>
      <c:barChart>
        <c:barDir val="bar"/>
        <c:grouping val="percent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I know where to get an HIV/AIDS test.</c:v>
                </c:pt>
                <c:pt idx="1">
                  <c:v>I am concerned about getting HIV/AIDS.</c:v>
                </c:pt>
                <c:pt idx="2">
                  <c:v>HIV/AIDS affects my life.</c:v>
                </c:pt>
                <c:pt idx="3">
                  <c:v>I would date someone who is infected with HIV/AIDS.</c:v>
                </c:pt>
                <c:pt idx="4">
                  <c:v>I feel that there is enough messaging/education about HIV/AIDS in my community.</c:v>
                </c:pt>
                <c:pt idx="5">
                  <c:v>I feel comfortable being around someone with HIV/AIDS.</c:v>
                </c:pt>
                <c:pt idx="6">
                  <c:v>I feel that people who were infected with HIV/AIDS through sex or drug use got what they deserved.</c:v>
                </c:pt>
                <c:pt idx="7">
                  <c:v>Sometimes I do not use condoms because they require too much effort.</c:v>
                </c:pt>
                <c:pt idx="8">
                  <c:v>Anal sex without a condom is safe if there is no ejaculation (cum).</c:v>
                </c:pt>
                <c:pt idx="9">
                  <c:v>Oral sex without a condom is safe if there is no ejaculation (cum).</c:v>
                </c:pt>
                <c:pt idx="10">
                  <c:v>Taking HIV/AIDS drugs decreases the chances that someone with HIV/AIDS will infect their partner(s).</c:v>
                </c:pt>
                <c:pt idx="11">
                  <c:v>I see HIV/AIDS as a manageable/treatable disease and am not as concerned about getting it.</c:v>
                </c:pt>
                <c:pt idx="12">
                  <c:v>My sexual partners and/or needle sharing partners are genuinely concerned with whether I have had an HIV/AIDS test and what the results were.</c:v>
                </c:pt>
                <c:pt idx="13">
                  <c:v>Medical care can help a person live longer and stay healthier if he/she has HIV/AIDS.</c:v>
                </c:pt>
              </c:strCache>
            </c:strRef>
          </c:cat>
          <c:val>
            <c:numRef>
              <c:f>Sheet1!$B$2:$B$15</c:f>
              <c:numCache>
                <c:formatCode>0%</c:formatCode>
                <c:ptCount val="14"/>
                <c:pt idx="0">
                  <c:v>0.48199999999999998</c:v>
                </c:pt>
                <c:pt idx="1">
                  <c:v>0.16500000000000001</c:v>
                </c:pt>
                <c:pt idx="2">
                  <c:v>7.4999999999999997E-2</c:v>
                </c:pt>
                <c:pt idx="3">
                  <c:v>7.5999999999999998E-2</c:v>
                </c:pt>
                <c:pt idx="4">
                  <c:v>7.4999999999999997E-2</c:v>
                </c:pt>
                <c:pt idx="5">
                  <c:v>0.32700000000000001</c:v>
                </c:pt>
                <c:pt idx="6">
                  <c:v>5.2999999999999999E-2</c:v>
                </c:pt>
                <c:pt idx="7">
                  <c:v>0.155</c:v>
                </c:pt>
                <c:pt idx="8">
                  <c:v>6.6000000000000003E-2</c:v>
                </c:pt>
                <c:pt idx="9">
                  <c:v>0.108</c:v>
                </c:pt>
                <c:pt idx="10">
                  <c:v>0.17799999999999999</c:v>
                </c:pt>
                <c:pt idx="11">
                  <c:v>0.16200000000000001</c:v>
                </c:pt>
                <c:pt idx="12">
                  <c:v>0.27800000000000002</c:v>
                </c:pt>
                <c:pt idx="13">
                  <c:v>0.63700000000000001</c:v>
                </c:pt>
              </c:numCache>
            </c:numRef>
          </c:val>
          <c:extLst xmlns:c16r2="http://schemas.microsoft.com/office/drawing/2015/06/chart">
            <c:ext xmlns:c16="http://schemas.microsoft.com/office/drawing/2014/chart" uri="{C3380CC4-5D6E-409C-BE32-E72D297353CC}">
              <c16:uniqueId val="{00000000-A273-4375-BCF8-685B6F1307C8}"/>
            </c:ext>
          </c:extLst>
        </c:ser>
        <c:ser>
          <c:idx val="1"/>
          <c:order val="1"/>
          <c:tx>
            <c:strRef>
              <c:f>Sheet1!$C$1</c:f>
              <c:strCache>
                <c:ptCount val="1"/>
                <c:pt idx="0">
                  <c:v>Somewhat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I know where to get an HIV/AIDS test.</c:v>
                </c:pt>
                <c:pt idx="1">
                  <c:v>I am concerned about getting HIV/AIDS.</c:v>
                </c:pt>
                <c:pt idx="2">
                  <c:v>HIV/AIDS affects my life.</c:v>
                </c:pt>
                <c:pt idx="3">
                  <c:v>I would date someone who is infected with HIV/AIDS.</c:v>
                </c:pt>
                <c:pt idx="4">
                  <c:v>I feel that there is enough messaging/education about HIV/AIDS in my community.</c:v>
                </c:pt>
                <c:pt idx="5">
                  <c:v>I feel comfortable being around someone with HIV/AIDS.</c:v>
                </c:pt>
                <c:pt idx="6">
                  <c:v>I feel that people who were infected with HIV/AIDS through sex or drug use got what they deserved.</c:v>
                </c:pt>
                <c:pt idx="7">
                  <c:v>Sometimes I do not use condoms because they require too much effort.</c:v>
                </c:pt>
                <c:pt idx="8">
                  <c:v>Anal sex without a condom is safe if there is no ejaculation (cum).</c:v>
                </c:pt>
                <c:pt idx="9">
                  <c:v>Oral sex without a condom is safe if there is no ejaculation (cum).</c:v>
                </c:pt>
                <c:pt idx="10">
                  <c:v>Taking HIV/AIDS drugs decreases the chances that someone with HIV/AIDS will infect their partner(s).</c:v>
                </c:pt>
                <c:pt idx="11">
                  <c:v>I see HIV/AIDS as a manageable/treatable disease and am not as concerned about getting it.</c:v>
                </c:pt>
                <c:pt idx="12">
                  <c:v>My sexual partners and/or needle sharing partners are genuinely concerned with whether I have had an HIV/AIDS test and what the results were.</c:v>
                </c:pt>
                <c:pt idx="13">
                  <c:v>Medical care can help a person live longer and stay healthier if he/she has HIV/AIDS.</c:v>
                </c:pt>
              </c:strCache>
            </c:strRef>
          </c:cat>
          <c:val>
            <c:numRef>
              <c:f>Sheet1!$C$2:$C$15</c:f>
              <c:numCache>
                <c:formatCode>0%</c:formatCode>
                <c:ptCount val="14"/>
                <c:pt idx="0">
                  <c:v>0.26400000000000001</c:v>
                </c:pt>
                <c:pt idx="1">
                  <c:v>0.248</c:v>
                </c:pt>
                <c:pt idx="2">
                  <c:v>0.14899999999999999</c:v>
                </c:pt>
                <c:pt idx="3">
                  <c:v>0.17</c:v>
                </c:pt>
                <c:pt idx="4">
                  <c:v>0.23899999999999999</c:v>
                </c:pt>
                <c:pt idx="5">
                  <c:v>0.33700000000000002</c:v>
                </c:pt>
                <c:pt idx="6">
                  <c:v>0.104</c:v>
                </c:pt>
                <c:pt idx="7">
                  <c:v>0.26300000000000001</c:v>
                </c:pt>
                <c:pt idx="8">
                  <c:v>0.13500000000000001</c:v>
                </c:pt>
                <c:pt idx="9">
                  <c:v>0.19800000000000001</c:v>
                </c:pt>
                <c:pt idx="10">
                  <c:v>0.28799999999999998</c:v>
                </c:pt>
                <c:pt idx="11">
                  <c:v>0.23400000000000001</c:v>
                </c:pt>
                <c:pt idx="12">
                  <c:v>0.246</c:v>
                </c:pt>
                <c:pt idx="13">
                  <c:v>0.26300000000000001</c:v>
                </c:pt>
              </c:numCache>
            </c:numRef>
          </c:val>
          <c:extLst xmlns:c16r2="http://schemas.microsoft.com/office/drawing/2015/06/chart">
            <c:ext xmlns:c16="http://schemas.microsoft.com/office/drawing/2014/chart" uri="{C3380CC4-5D6E-409C-BE32-E72D297353CC}">
              <c16:uniqueId val="{00000001-A273-4375-BCF8-685B6F1307C8}"/>
            </c:ext>
          </c:extLst>
        </c:ser>
        <c:ser>
          <c:idx val="2"/>
          <c:order val="2"/>
          <c:tx>
            <c:strRef>
              <c:f>Sheet1!$D$1</c:f>
              <c:strCache>
                <c:ptCount val="1"/>
                <c:pt idx="0">
                  <c:v>Somewhat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I know where to get an HIV/AIDS test.</c:v>
                </c:pt>
                <c:pt idx="1">
                  <c:v>I am concerned about getting HIV/AIDS.</c:v>
                </c:pt>
                <c:pt idx="2">
                  <c:v>HIV/AIDS affects my life.</c:v>
                </c:pt>
                <c:pt idx="3">
                  <c:v>I would date someone who is infected with HIV/AIDS.</c:v>
                </c:pt>
                <c:pt idx="4">
                  <c:v>I feel that there is enough messaging/education about HIV/AIDS in my community.</c:v>
                </c:pt>
                <c:pt idx="5">
                  <c:v>I feel comfortable being around someone with HIV/AIDS.</c:v>
                </c:pt>
                <c:pt idx="6">
                  <c:v>I feel that people who were infected with HIV/AIDS through sex or drug use got what they deserved.</c:v>
                </c:pt>
                <c:pt idx="7">
                  <c:v>Sometimes I do not use condoms because they require too much effort.</c:v>
                </c:pt>
                <c:pt idx="8">
                  <c:v>Anal sex without a condom is safe if there is no ejaculation (cum).</c:v>
                </c:pt>
                <c:pt idx="9">
                  <c:v>Oral sex without a condom is safe if there is no ejaculation (cum).</c:v>
                </c:pt>
                <c:pt idx="10">
                  <c:v>Taking HIV/AIDS drugs decreases the chances that someone with HIV/AIDS will infect their partner(s).</c:v>
                </c:pt>
                <c:pt idx="11">
                  <c:v>I see HIV/AIDS as a manageable/treatable disease and am not as concerned about getting it.</c:v>
                </c:pt>
                <c:pt idx="12">
                  <c:v>My sexual partners and/or needle sharing partners are genuinely concerned with whether I have had an HIV/AIDS test and what the results were.</c:v>
                </c:pt>
                <c:pt idx="13">
                  <c:v>Medical care can help a person live longer and stay healthier if he/she has HIV/AIDS.</c:v>
                </c:pt>
              </c:strCache>
            </c:strRef>
          </c:cat>
          <c:val>
            <c:numRef>
              <c:f>Sheet1!$D$2:$D$15</c:f>
              <c:numCache>
                <c:formatCode>0%</c:formatCode>
                <c:ptCount val="14"/>
                <c:pt idx="0">
                  <c:v>0.14299999999999999</c:v>
                </c:pt>
                <c:pt idx="1">
                  <c:v>0.27300000000000002</c:v>
                </c:pt>
                <c:pt idx="2">
                  <c:v>0.27900000000000003</c:v>
                </c:pt>
                <c:pt idx="3">
                  <c:v>0.30599999999999999</c:v>
                </c:pt>
                <c:pt idx="4">
                  <c:v>0.41699999999999998</c:v>
                </c:pt>
                <c:pt idx="5">
                  <c:v>0.219</c:v>
                </c:pt>
                <c:pt idx="6">
                  <c:v>0.224</c:v>
                </c:pt>
                <c:pt idx="7">
                  <c:v>0.223</c:v>
                </c:pt>
                <c:pt idx="8">
                  <c:v>0.23799999999999999</c:v>
                </c:pt>
                <c:pt idx="9">
                  <c:v>0.253</c:v>
                </c:pt>
                <c:pt idx="10">
                  <c:v>0.28799999999999998</c:v>
                </c:pt>
                <c:pt idx="11">
                  <c:v>0.251</c:v>
                </c:pt>
                <c:pt idx="12">
                  <c:v>0.18099999999999999</c:v>
                </c:pt>
                <c:pt idx="13">
                  <c:v>5.8999999999999997E-2</c:v>
                </c:pt>
              </c:numCache>
            </c:numRef>
          </c:val>
          <c:extLst xmlns:c16r2="http://schemas.microsoft.com/office/drawing/2015/06/chart">
            <c:ext xmlns:c16="http://schemas.microsoft.com/office/drawing/2014/chart" uri="{C3380CC4-5D6E-409C-BE32-E72D297353CC}">
              <c16:uniqueId val="{00000002-A273-4375-BCF8-685B6F1307C8}"/>
            </c:ext>
          </c:extLst>
        </c:ser>
        <c:ser>
          <c:idx val="3"/>
          <c:order val="3"/>
          <c:tx>
            <c:strRef>
              <c:f>Sheet1!$E$1</c:f>
              <c:strCache>
                <c:ptCount val="1"/>
                <c:pt idx="0">
                  <c:v>Strongly disagree</c:v>
                </c:pt>
              </c:strCache>
            </c:strRef>
          </c:tx>
          <c:spPr>
            <a:solidFill>
              <a:schemeClr val="accent4"/>
            </a:solidFill>
            <a:ln>
              <a:noFill/>
            </a:ln>
            <a:effectLst/>
          </c:spPr>
          <c:invertIfNegative val="0"/>
          <c:dLbls>
            <c:dLbl>
              <c:idx val="13"/>
              <c:layout>
                <c:manualLayout>
                  <c:x val="2.4976333883353376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273-4375-BCF8-685B6F1307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I know where to get an HIV/AIDS test.</c:v>
                </c:pt>
                <c:pt idx="1">
                  <c:v>I am concerned about getting HIV/AIDS.</c:v>
                </c:pt>
                <c:pt idx="2">
                  <c:v>HIV/AIDS affects my life.</c:v>
                </c:pt>
                <c:pt idx="3">
                  <c:v>I would date someone who is infected with HIV/AIDS.</c:v>
                </c:pt>
                <c:pt idx="4">
                  <c:v>I feel that there is enough messaging/education about HIV/AIDS in my community.</c:v>
                </c:pt>
                <c:pt idx="5">
                  <c:v>I feel comfortable being around someone with HIV/AIDS.</c:v>
                </c:pt>
                <c:pt idx="6">
                  <c:v>I feel that people who were infected with HIV/AIDS through sex or drug use got what they deserved.</c:v>
                </c:pt>
                <c:pt idx="7">
                  <c:v>Sometimes I do not use condoms because they require too much effort.</c:v>
                </c:pt>
                <c:pt idx="8">
                  <c:v>Anal sex without a condom is safe if there is no ejaculation (cum).</c:v>
                </c:pt>
                <c:pt idx="9">
                  <c:v>Oral sex without a condom is safe if there is no ejaculation (cum).</c:v>
                </c:pt>
                <c:pt idx="10">
                  <c:v>Taking HIV/AIDS drugs decreases the chances that someone with HIV/AIDS will infect their partner(s).</c:v>
                </c:pt>
                <c:pt idx="11">
                  <c:v>I see HIV/AIDS as a manageable/treatable disease and am not as concerned about getting it.</c:v>
                </c:pt>
                <c:pt idx="12">
                  <c:v>My sexual partners and/or needle sharing partners are genuinely concerned with whether I have had an HIV/AIDS test and what the results were.</c:v>
                </c:pt>
                <c:pt idx="13">
                  <c:v>Medical care can help a person live longer and stay healthier if he/she has HIV/AIDS.</c:v>
                </c:pt>
              </c:strCache>
            </c:strRef>
          </c:cat>
          <c:val>
            <c:numRef>
              <c:f>Sheet1!$E$2:$E$15</c:f>
              <c:numCache>
                <c:formatCode>0%</c:formatCode>
                <c:ptCount val="14"/>
                <c:pt idx="0">
                  <c:v>0.111</c:v>
                </c:pt>
                <c:pt idx="1">
                  <c:v>0.314</c:v>
                </c:pt>
                <c:pt idx="2">
                  <c:v>0.497</c:v>
                </c:pt>
                <c:pt idx="3">
                  <c:v>0.44700000000000001</c:v>
                </c:pt>
                <c:pt idx="4">
                  <c:v>0.26900000000000002</c:v>
                </c:pt>
                <c:pt idx="5">
                  <c:v>0.11700000000000001</c:v>
                </c:pt>
                <c:pt idx="6">
                  <c:v>0.62</c:v>
                </c:pt>
                <c:pt idx="7">
                  <c:v>0.35899999999999999</c:v>
                </c:pt>
                <c:pt idx="8">
                  <c:v>0.56100000000000005</c:v>
                </c:pt>
                <c:pt idx="9">
                  <c:v>0.441</c:v>
                </c:pt>
                <c:pt idx="10">
                  <c:v>0.247</c:v>
                </c:pt>
                <c:pt idx="11">
                  <c:v>0.35199999999999998</c:v>
                </c:pt>
                <c:pt idx="12">
                  <c:v>0.29499999999999998</c:v>
                </c:pt>
                <c:pt idx="13">
                  <c:v>0.04</c:v>
                </c:pt>
              </c:numCache>
            </c:numRef>
          </c:val>
          <c:extLst xmlns:c16r2="http://schemas.microsoft.com/office/drawing/2015/06/chart">
            <c:ext xmlns:c16="http://schemas.microsoft.com/office/drawing/2014/chart" uri="{C3380CC4-5D6E-409C-BE32-E72D297353CC}">
              <c16:uniqueId val="{00000004-A273-4375-BCF8-685B6F1307C8}"/>
            </c:ext>
          </c:extLst>
        </c:ser>
        <c:dLbls>
          <c:showLegendKey val="0"/>
          <c:showVal val="0"/>
          <c:showCatName val="0"/>
          <c:showSerName val="0"/>
          <c:showPercent val="0"/>
          <c:showBubbleSize val="0"/>
        </c:dLbls>
        <c:gapWidth val="150"/>
        <c:overlap val="100"/>
        <c:axId val="-835512784"/>
        <c:axId val="-837734416"/>
      </c:barChart>
      <c:catAx>
        <c:axId val="-83551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734416"/>
        <c:crosses val="autoZero"/>
        <c:auto val="1"/>
        <c:lblAlgn val="ctr"/>
        <c:lblOffset val="100"/>
        <c:noMultiLvlLbl val="0"/>
      </c:catAx>
      <c:valAx>
        <c:axId val="-837734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51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Gender</a:t>
            </a:r>
          </a:p>
        </c:rich>
      </c:tx>
      <c:overlay val="1"/>
    </c:title>
    <c:autoTitleDeleted val="0"/>
    <c:plotArea>
      <c:layout>
        <c:manualLayout>
          <c:layoutTarget val="inner"/>
          <c:xMode val="edge"/>
          <c:yMode val="edge"/>
          <c:x val="8.8009898955185156E-2"/>
          <c:y val="4.4115984841392841E-2"/>
          <c:w val="0.87347969501244971"/>
          <c:h val="0.76686979344973194"/>
        </c:manualLayout>
      </c:layout>
      <c:barChart>
        <c:barDir val="col"/>
        <c:grouping val="clustered"/>
        <c:varyColors val="0"/>
        <c:ser>
          <c:idx val="0"/>
          <c:order val="0"/>
          <c:tx>
            <c:strRef>
              <c:f>Sheet1!$A$2</c:f>
              <c:strCache>
                <c:ptCount val="1"/>
                <c:pt idx="0">
                  <c:v>Male</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2D-44B3-B26F-6125BE2E8523}"/>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Sheet1!$A$3</c:f>
              <c:numCache>
                <c:formatCode>0%</c:formatCode>
                <c:ptCount val="1"/>
                <c:pt idx="0">
                  <c:v>0.63</c:v>
                </c:pt>
              </c:numCache>
            </c:numRef>
          </c:val>
          <c:extLst xmlns:c16r2="http://schemas.microsoft.com/office/drawing/2015/06/chart">
            <c:ext xmlns:c16="http://schemas.microsoft.com/office/drawing/2014/chart" uri="{C3380CC4-5D6E-409C-BE32-E72D297353CC}">
              <c16:uniqueId val="{00000001-1B2D-44B3-B26F-6125BE2E8523}"/>
            </c:ext>
          </c:extLst>
        </c:ser>
        <c:ser>
          <c:idx val="1"/>
          <c:order val="1"/>
          <c:tx>
            <c:strRef>
              <c:f>Sheet1!$B$2</c:f>
              <c:strCache>
                <c:ptCount val="1"/>
                <c:pt idx="0">
                  <c:v>Female</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0.35</c:v>
                </c:pt>
              </c:numCache>
            </c:numRef>
          </c:val>
          <c:extLst xmlns:c16r2="http://schemas.microsoft.com/office/drawing/2015/06/chart">
            <c:ext xmlns:c16="http://schemas.microsoft.com/office/drawing/2014/chart" uri="{C3380CC4-5D6E-409C-BE32-E72D297353CC}">
              <c16:uniqueId val="{00000002-1B2D-44B3-B26F-6125BE2E8523}"/>
            </c:ext>
          </c:extLst>
        </c:ser>
        <c:ser>
          <c:idx val="2"/>
          <c:order val="2"/>
          <c:tx>
            <c:strRef>
              <c:f>Sheet1!$C$2</c:f>
              <c:strCache>
                <c:ptCount val="1"/>
                <c:pt idx="0">
                  <c:v>Transgender</c:v>
                </c:pt>
              </c:strCache>
            </c:strRef>
          </c:tx>
          <c:spPr>
            <a:scene3d>
              <a:camera prst="orthographicFront"/>
              <a:lightRig rig="threePt" dir="t"/>
            </a:scene3d>
            <a:sp3d>
              <a:bevelT/>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Sheet1!$C$3</c:f>
              <c:numCache>
                <c:formatCode>0%</c:formatCode>
                <c:ptCount val="1"/>
                <c:pt idx="0">
                  <c:v>2.1000000000000001E-2</c:v>
                </c:pt>
              </c:numCache>
            </c:numRef>
          </c:val>
          <c:extLst xmlns:c16r2="http://schemas.microsoft.com/office/drawing/2015/06/chart">
            <c:ext xmlns:c16="http://schemas.microsoft.com/office/drawing/2014/chart" uri="{C3380CC4-5D6E-409C-BE32-E72D297353CC}">
              <c16:uniqueId val="{00000003-1B2D-44B3-B26F-6125BE2E8523}"/>
            </c:ext>
          </c:extLst>
        </c:ser>
        <c:dLbls>
          <c:dLblPos val="outEnd"/>
          <c:showLegendKey val="0"/>
          <c:showVal val="1"/>
          <c:showCatName val="0"/>
          <c:showSerName val="0"/>
          <c:showPercent val="0"/>
          <c:showBubbleSize val="0"/>
        </c:dLbls>
        <c:gapWidth val="150"/>
        <c:axId val="-774687904"/>
        <c:axId val="-774687360"/>
      </c:barChart>
      <c:catAx>
        <c:axId val="-774687904"/>
        <c:scaling>
          <c:orientation val="minMax"/>
        </c:scaling>
        <c:delete val="1"/>
        <c:axPos val="b"/>
        <c:numFmt formatCode="General" sourceLinked="0"/>
        <c:majorTickMark val="out"/>
        <c:minorTickMark val="none"/>
        <c:tickLblPos val="nextTo"/>
        <c:crossAx val="-774687360"/>
        <c:crosses val="autoZero"/>
        <c:auto val="1"/>
        <c:lblAlgn val="ctr"/>
        <c:lblOffset val="100"/>
        <c:noMultiLvlLbl val="0"/>
      </c:catAx>
      <c:valAx>
        <c:axId val="-774687360"/>
        <c:scaling>
          <c:orientation val="minMax"/>
          <c:max val="1"/>
        </c:scaling>
        <c:delete val="0"/>
        <c:axPos val="l"/>
        <c:numFmt formatCode="0%" sourceLinked="1"/>
        <c:majorTickMark val="out"/>
        <c:minorTickMark val="none"/>
        <c:tickLblPos val="nextTo"/>
        <c:crossAx val="-774687904"/>
        <c:crosses val="autoZero"/>
        <c:crossBetween val="between"/>
      </c:valAx>
      <c:spPr>
        <a:scene3d>
          <a:camera prst="orthographicFront"/>
          <a:lightRig rig="threePt" dir="t"/>
        </a:scene3d>
        <a:sp3d/>
      </c:spPr>
    </c:plotArea>
    <c:legend>
      <c:legendPos val="b"/>
      <c:layout>
        <c:manualLayout>
          <c:xMode val="edge"/>
          <c:yMode val="edge"/>
          <c:x val="0.17188400230458994"/>
          <c:y val="0.80579824261097799"/>
          <c:w val="0.72469583792398218"/>
          <c:h val="8.7357069496747694E-2"/>
        </c:manualLayout>
      </c:layout>
      <c:overlay val="0"/>
      <c:spPr>
        <a:scene3d>
          <a:camera prst="orthographicFront"/>
          <a:lightRig rig="threePt" dir="t"/>
        </a:scene3d>
        <a:sp3d/>
      </c:spPr>
    </c:legend>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Age</a:t>
            </a:r>
          </a:p>
        </c:rich>
      </c:tx>
      <c:overlay val="1"/>
    </c:title>
    <c:autoTitleDeleted val="0"/>
    <c:plotArea>
      <c:layout>
        <c:manualLayout>
          <c:layoutTarget val="inner"/>
          <c:xMode val="edge"/>
          <c:yMode val="edge"/>
          <c:x val="8.8009898955185156E-2"/>
          <c:y val="4.4115984841392841E-2"/>
          <c:w val="0.87347969501244971"/>
          <c:h val="0.76686979344973194"/>
        </c:manualLayout>
      </c:layout>
      <c:barChart>
        <c:barDir val="col"/>
        <c:grouping val="clustered"/>
        <c:varyColors val="0"/>
        <c:ser>
          <c:idx val="0"/>
          <c:order val="0"/>
          <c:tx>
            <c:strRef>
              <c:f>Sheet1!$A$1</c:f>
              <c:strCache>
                <c:ptCount val="1"/>
                <c:pt idx="0">
                  <c:v>24 years or younger</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67-49FA-8F71-DEF8E4A8521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Sheet1!$A$2</c:f>
              <c:numCache>
                <c:formatCode>0%</c:formatCode>
                <c:ptCount val="1"/>
                <c:pt idx="0">
                  <c:v>0.20300000000000001</c:v>
                </c:pt>
              </c:numCache>
            </c:numRef>
          </c:val>
          <c:extLst xmlns:c16r2="http://schemas.microsoft.com/office/drawing/2015/06/chart">
            <c:ext xmlns:c16="http://schemas.microsoft.com/office/drawing/2014/chart" uri="{C3380CC4-5D6E-409C-BE32-E72D297353CC}">
              <c16:uniqueId val="{00000001-0567-49FA-8F71-DEF8E4A85216}"/>
            </c:ext>
          </c:extLst>
        </c:ser>
        <c:ser>
          <c:idx val="1"/>
          <c:order val="1"/>
          <c:tx>
            <c:strRef>
              <c:f>Sheet1!$B$1</c:f>
              <c:strCache>
                <c:ptCount val="1"/>
                <c:pt idx="0">
                  <c:v>25-34 years</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Sheet1!$B$2</c:f>
              <c:numCache>
                <c:formatCode>0%</c:formatCode>
                <c:ptCount val="1"/>
                <c:pt idx="0">
                  <c:v>0.17100000000000001</c:v>
                </c:pt>
              </c:numCache>
            </c:numRef>
          </c:val>
          <c:extLst xmlns:c16r2="http://schemas.microsoft.com/office/drawing/2015/06/chart">
            <c:ext xmlns:c16="http://schemas.microsoft.com/office/drawing/2014/chart" uri="{C3380CC4-5D6E-409C-BE32-E72D297353CC}">
              <c16:uniqueId val="{00000002-0567-49FA-8F71-DEF8E4A85216}"/>
            </c:ext>
          </c:extLst>
        </c:ser>
        <c:ser>
          <c:idx val="2"/>
          <c:order val="2"/>
          <c:tx>
            <c:strRef>
              <c:f>Sheet1!$C$1</c:f>
              <c:strCache>
                <c:ptCount val="1"/>
                <c:pt idx="0">
                  <c:v>35-44 years</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Sheet1!$C$2</c:f>
              <c:numCache>
                <c:formatCode>0%</c:formatCode>
                <c:ptCount val="1"/>
                <c:pt idx="0">
                  <c:v>0.161</c:v>
                </c:pt>
              </c:numCache>
            </c:numRef>
          </c:val>
          <c:extLst xmlns:c16r2="http://schemas.microsoft.com/office/drawing/2015/06/chart">
            <c:ext xmlns:c16="http://schemas.microsoft.com/office/drawing/2014/chart" uri="{C3380CC4-5D6E-409C-BE32-E72D297353CC}">
              <c16:uniqueId val="{00000003-0567-49FA-8F71-DEF8E4A85216}"/>
            </c:ext>
          </c:extLst>
        </c:ser>
        <c:ser>
          <c:idx val="3"/>
          <c:order val="3"/>
          <c:tx>
            <c:strRef>
              <c:f>Sheet1!$D$1</c:f>
              <c:strCache>
                <c:ptCount val="1"/>
                <c:pt idx="0">
                  <c:v>45-54</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Sheet1!$D$2</c:f>
              <c:numCache>
                <c:formatCode>0%</c:formatCode>
                <c:ptCount val="1"/>
                <c:pt idx="0">
                  <c:v>0.30499999999999999</c:v>
                </c:pt>
              </c:numCache>
            </c:numRef>
          </c:val>
          <c:extLst xmlns:c16r2="http://schemas.microsoft.com/office/drawing/2015/06/chart">
            <c:ext xmlns:c16="http://schemas.microsoft.com/office/drawing/2014/chart" uri="{C3380CC4-5D6E-409C-BE32-E72D297353CC}">
              <c16:uniqueId val="{00000004-0567-49FA-8F71-DEF8E4A85216}"/>
            </c:ext>
          </c:extLst>
        </c:ser>
        <c:ser>
          <c:idx val="4"/>
          <c:order val="4"/>
          <c:tx>
            <c:strRef>
              <c:f>Sheet1!$E$1</c:f>
              <c:strCache>
                <c:ptCount val="1"/>
                <c:pt idx="0">
                  <c:v>55+ years</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Sheet1!$E$2</c:f>
              <c:numCache>
                <c:formatCode>0%</c:formatCode>
                <c:ptCount val="1"/>
                <c:pt idx="0">
                  <c:v>0.16</c:v>
                </c:pt>
              </c:numCache>
            </c:numRef>
          </c:val>
          <c:extLst xmlns:c16r2="http://schemas.microsoft.com/office/drawing/2015/06/chart">
            <c:ext xmlns:c16="http://schemas.microsoft.com/office/drawing/2014/chart" uri="{C3380CC4-5D6E-409C-BE32-E72D297353CC}">
              <c16:uniqueId val="{00000005-0567-49FA-8F71-DEF8E4A85216}"/>
            </c:ext>
          </c:extLst>
        </c:ser>
        <c:dLbls>
          <c:dLblPos val="outEnd"/>
          <c:showLegendKey val="0"/>
          <c:showVal val="1"/>
          <c:showCatName val="0"/>
          <c:showSerName val="0"/>
          <c:showPercent val="0"/>
          <c:showBubbleSize val="0"/>
        </c:dLbls>
        <c:gapWidth val="150"/>
        <c:axId val="-774713472"/>
        <c:axId val="-774697152"/>
      </c:barChart>
      <c:catAx>
        <c:axId val="-774713472"/>
        <c:scaling>
          <c:orientation val="minMax"/>
        </c:scaling>
        <c:delete val="1"/>
        <c:axPos val="b"/>
        <c:numFmt formatCode="General" sourceLinked="0"/>
        <c:majorTickMark val="out"/>
        <c:minorTickMark val="none"/>
        <c:tickLblPos val="nextTo"/>
        <c:crossAx val="-774697152"/>
        <c:crosses val="autoZero"/>
        <c:auto val="1"/>
        <c:lblAlgn val="ctr"/>
        <c:lblOffset val="100"/>
        <c:noMultiLvlLbl val="0"/>
      </c:catAx>
      <c:valAx>
        <c:axId val="-774697152"/>
        <c:scaling>
          <c:orientation val="minMax"/>
          <c:max val="1"/>
        </c:scaling>
        <c:delete val="0"/>
        <c:axPos val="l"/>
        <c:numFmt formatCode="0%" sourceLinked="1"/>
        <c:majorTickMark val="out"/>
        <c:minorTickMark val="none"/>
        <c:tickLblPos val="nextTo"/>
        <c:crossAx val="-774713472"/>
        <c:crosses val="autoZero"/>
        <c:crossBetween val="between"/>
      </c:valAx>
    </c:plotArea>
    <c:legend>
      <c:legendPos val="r"/>
      <c:layout>
        <c:manualLayout>
          <c:xMode val="edge"/>
          <c:yMode val="edge"/>
          <c:x val="0.78000650271732719"/>
          <c:y val="9.8032256837460544E-2"/>
          <c:w val="0.20929602188686619"/>
          <c:h val="0.43678534748373843"/>
        </c:manualLayout>
      </c:layout>
      <c:overlay val="0"/>
    </c:legend>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Ethnicity</a:t>
            </a:r>
          </a:p>
        </c:rich>
      </c:tx>
      <c:overlay val="1"/>
    </c:title>
    <c:autoTitleDeleted val="0"/>
    <c:plotArea>
      <c:layout>
        <c:manualLayout>
          <c:layoutTarget val="inner"/>
          <c:xMode val="edge"/>
          <c:yMode val="edge"/>
          <c:x val="8.1591413717701206E-2"/>
          <c:y val="4.4057617797775277E-2"/>
          <c:w val="0.90129313104154662"/>
          <c:h val="0.86182826812572699"/>
        </c:manualLayout>
      </c:layout>
      <c:barChart>
        <c:barDir val="col"/>
        <c:grouping val="clustered"/>
        <c:varyColors val="0"/>
        <c:ser>
          <c:idx val="0"/>
          <c:order val="0"/>
          <c:tx>
            <c:strRef>
              <c:f>Sheet1!$A$2</c:f>
              <c:strCache>
                <c:ptCount val="1"/>
                <c:pt idx="0">
                  <c:v>American Indian</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0E-4CEE-9BB6-E7BC22EC69B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Sheet1!$B$2</c:f>
              <c:numCache>
                <c:formatCode>0%</c:formatCode>
                <c:ptCount val="1"/>
                <c:pt idx="0">
                  <c:v>0.09</c:v>
                </c:pt>
              </c:numCache>
            </c:numRef>
          </c:val>
          <c:extLst xmlns:c16r2="http://schemas.microsoft.com/office/drawing/2015/06/chart">
            <c:ext xmlns:c16="http://schemas.microsoft.com/office/drawing/2014/chart" uri="{C3380CC4-5D6E-409C-BE32-E72D297353CC}">
              <c16:uniqueId val="{00000001-290E-4CEE-9BB6-E7BC22EC69B0}"/>
            </c:ext>
          </c:extLst>
        </c:ser>
        <c:ser>
          <c:idx val="1"/>
          <c:order val="1"/>
          <c:tx>
            <c:strRef>
              <c:f>Sheet1!$A$3</c:f>
              <c:strCache>
                <c:ptCount val="1"/>
                <c:pt idx="0">
                  <c:v>Asian</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0.06</c:v>
                </c:pt>
              </c:numCache>
            </c:numRef>
          </c:val>
          <c:extLst xmlns:c16r2="http://schemas.microsoft.com/office/drawing/2015/06/chart">
            <c:ext xmlns:c16="http://schemas.microsoft.com/office/drawing/2014/chart" uri="{C3380CC4-5D6E-409C-BE32-E72D297353CC}">
              <c16:uniqueId val="{00000002-290E-4CEE-9BB6-E7BC22EC69B0}"/>
            </c:ext>
          </c:extLst>
        </c:ser>
        <c:ser>
          <c:idx val="2"/>
          <c:order val="2"/>
          <c:tx>
            <c:strRef>
              <c:f>Sheet1!$A$4</c:f>
              <c:strCache>
                <c:ptCount val="1"/>
                <c:pt idx="0">
                  <c:v>Black</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Sheet1!$B$4</c:f>
              <c:numCache>
                <c:formatCode>0%</c:formatCode>
                <c:ptCount val="1"/>
                <c:pt idx="0">
                  <c:v>0.25</c:v>
                </c:pt>
              </c:numCache>
            </c:numRef>
          </c:val>
          <c:extLst xmlns:c16r2="http://schemas.microsoft.com/office/drawing/2015/06/chart">
            <c:ext xmlns:c16="http://schemas.microsoft.com/office/drawing/2014/chart" uri="{C3380CC4-5D6E-409C-BE32-E72D297353CC}">
              <c16:uniqueId val="{00000003-290E-4CEE-9BB6-E7BC22EC69B0}"/>
            </c:ext>
          </c:extLst>
        </c:ser>
        <c:ser>
          <c:idx val="3"/>
          <c:order val="3"/>
          <c:tx>
            <c:strRef>
              <c:f>Sheet1!$A$5</c:f>
              <c:strCache>
                <c:ptCount val="1"/>
                <c:pt idx="0">
                  <c:v>Hispanic</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Sheet1!$B$5</c:f>
              <c:numCache>
                <c:formatCode>0%</c:formatCode>
                <c:ptCount val="1"/>
                <c:pt idx="0">
                  <c:v>0.23</c:v>
                </c:pt>
              </c:numCache>
            </c:numRef>
          </c:val>
          <c:extLst xmlns:c16r2="http://schemas.microsoft.com/office/drawing/2015/06/chart">
            <c:ext xmlns:c16="http://schemas.microsoft.com/office/drawing/2014/chart" uri="{C3380CC4-5D6E-409C-BE32-E72D297353CC}">
              <c16:uniqueId val="{00000004-290E-4CEE-9BB6-E7BC22EC69B0}"/>
            </c:ext>
          </c:extLst>
        </c:ser>
        <c:ser>
          <c:idx val="4"/>
          <c:order val="4"/>
          <c:tx>
            <c:strRef>
              <c:f>Sheet1!$A$6</c:f>
              <c:strCache>
                <c:ptCount val="1"/>
                <c:pt idx="0">
                  <c:v>White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Sheet1!$B$6</c:f>
              <c:numCache>
                <c:formatCode>0%</c:formatCode>
                <c:ptCount val="1"/>
                <c:pt idx="0">
                  <c:v>0.3</c:v>
                </c:pt>
              </c:numCache>
            </c:numRef>
          </c:val>
          <c:extLst xmlns:c16r2="http://schemas.microsoft.com/office/drawing/2015/06/chart">
            <c:ext xmlns:c16="http://schemas.microsoft.com/office/drawing/2014/chart" uri="{C3380CC4-5D6E-409C-BE32-E72D297353CC}">
              <c16:uniqueId val="{00000005-290E-4CEE-9BB6-E7BC22EC69B0}"/>
            </c:ext>
          </c:extLst>
        </c:ser>
        <c:ser>
          <c:idx val="5"/>
          <c:order val="5"/>
          <c:tx>
            <c:strRef>
              <c:f>Sheet1!$A$7</c:f>
              <c:strCache>
                <c:ptCount val="1"/>
                <c:pt idx="0">
                  <c:v>Multi-race/Other</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Sheet1!$B$7</c:f>
              <c:numCache>
                <c:formatCode>0%</c:formatCode>
                <c:ptCount val="1"/>
                <c:pt idx="0">
                  <c:v>7.0000000000000007E-2</c:v>
                </c:pt>
              </c:numCache>
            </c:numRef>
          </c:val>
          <c:extLst xmlns:c16r2="http://schemas.microsoft.com/office/drawing/2015/06/chart">
            <c:ext xmlns:c16="http://schemas.microsoft.com/office/drawing/2014/chart" uri="{C3380CC4-5D6E-409C-BE32-E72D297353CC}">
              <c16:uniqueId val="{00000006-290E-4CEE-9BB6-E7BC22EC69B0}"/>
            </c:ext>
          </c:extLst>
        </c:ser>
        <c:dLbls>
          <c:dLblPos val="outEnd"/>
          <c:showLegendKey val="0"/>
          <c:showVal val="1"/>
          <c:showCatName val="0"/>
          <c:showSerName val="0"/>
          <c:showPercent val="0"/>
          <c:showBubbleSize val="0"/>
        </c:dLbls>
        <c:gapWidth val="150"/>
        <c:axId val="-774701504"/>
        <c:axId val="-774711296"/>
      </c:barChart>
      <c:catAx>
        <c:axId val="-774701504"/>
        <c:scaling>
          <c:orientation val="minMax"/>
        </c:scaling>
        <c:delete val="0"/>
        <c:axPos val="b"/>
        <c:numFmt formatCode="General" sourceLinked="0"/>
        <c:majorTickMark val="out"/>
        <c:minorTickMark val="none"/>
        <c:tickLblPos val="none"/>
        <c:crossAx val="-774711296"/>
        <c:crosses val="autoZero"/>
        <c:auto val="1"/>
        <c:lblAlgn val="ctr"/>
        <c:lblOffset val="100"/>
        <c:noMultiLvlLbl val="0"/>
      </c:catAx>
      <c:valAx>
        <c:axId val="-774711296"/>
        <c:scaling>
          <c:orientation val="minMax"/>
          <c:max val="1"/>
        </c:scaling>
        <c:delete val="0"/>
        <c:axPos val="l"/>
        <c:numFmt formatCode="0%" sourceLinked="1"/>
        <c:majorTickMark val="out"/>
        <c:minorTickMark val="none"/>
        <c:tickLblPos val="nextTo"/>
        <c:crossAx val="-774701504"/>
        <c:crosses val="autoZero"/>
        <c:crossBetween val="between"/>
      </c:valAx>
      <c:spPr>
        <a:noFill/>
        <a:ln w="25400">
          <a:noFill/>
        </a:ln>
      </c:spPr>
    </c:plotArea>
    <c:legend>
      <c:legendPos val="r"/>
      <c:layout>
        <c:manualLayout>
          <c:xMode val="edge"/>
          <c:yMode val="edge"/>
          <c:x val="0.80142318538809088"/>
          <c:y val="0.12132255912762288"/>
          <c:w val="0.18573984413694117"/>
          <c:h val="0.49952799408361248"/>
        </c:manualLayout>
      </c:layout>
      <c:overlay val="0"/>
    </c:legend>
    <c:plotVisOnly val="1"/>
    <c:dispBlanksAs val="gap"/>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Sexual Orientation</a:t>
            </a:r>
          </a:p>
        </c:rich>
      </c:tx>
      <c:overlay val="1"/>
    </c:title>
    <c:autoTitleDeleted val="0"/>
    <c:plotArea>
      <c:layout>
        <c:manualLayout>
          <c:layoutTarget val="inner"/>
          <c:xMode val="edge"/>
          <c:yMode val="edge"/>
          <c:x val="8.8009898955185156E-2"/>
          <c:y val="4.4115984841392841E-2"/>
          <c:w val="0.87347969501244971"/>
          <c:h val="0.76686979344973194"/>
        </c:manualLayout>
      </c:layout>
      <c:barChart>
        <c:barDir val="col"/>
        <c:grouping val="clustered"/>
        <c:varyColors val="0"/>
        <c:ser>
          <c:idx val="0"/>
          <c:order val="0"/>
          <c:tx>
            <c:strRef>
              <c:f>Sheet1!$A$2</c:f>
              <c:strCache>
                <c:ptCount val="1"/>
                <c:pt idx="0">
                  <c:v>Gay/Homosexual</c:v>
                </c:pt>
              </c:strCache>
            </c:strRef>
          </c:tx>
          <c:spPr>
            <a:scene3d>
              <a:camera prst="orthographicFront"/>
              <a:lightRig rig="threePt" dir="t"/>
            </a:scene3d>
            <a:sp3d>
              <a:bevelT/>
            </a:sp3d>
          </c:spPr>
          <c:invertIfNegative val="0"/>
          <c:dPt>
            <c:idx val="0"/>
            <c:invertIfNegative val="0"/>
            <c:bubble3D val="0"/>
            <c:spPr>
              <a:scene3d>
                <a:camera prst="orthographicFront"/>
                <a:lightRig rig="threePt" dir="t"/>
              </a:scene3d>
              <a:sp3d/>
            </c:spPr>
            <c:extLst xmlns:c16r2="http://schemas.microsoft.com/office/drawing/2015/06/chart">
              <c:ext xmlns:c16="http://schemas.microsoft.com/office/drawing/2014/chart" uri="{C3380CC4-5D6E-409C-BE32-E72D297353CC}">
                <c16:uniqueId val="{00000001-7584-4E69-9A72-217B3468E837}"/>
              </c:ext>
            </c:extLst>
          </c:dPt>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84-4E69-9A72-217B3468E83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Sheet1!$A$3</c:f>
              <c:numCache>
                <c:formatCode>0%</c:formatCode>
                <c:ptCount val="1"/>
                <c:pt idx="0">
                  <c:v>0.35</c:v>
                </c:pt>
              </c:numCache>
            </c:numRef>
          </c:val>
          <c:extLst xmlns:c16r2="http://schemas.microsoft.com/office/drawing/2015/06/chart">
            <c:ext xmlns:c16="http://schemas.microsoft.com/office/drawing/2014/chart" uri="{C3380CC4-5D6E-409C-BE32-E72D297353CC}">
              <c16:uniqueId val="{00000002-7584-4E69-9A72-217B3468E837}"/>
            </c:ext>
          </c:extLst>
        </c:ser>
        <c:ser>
          <c:idx val="1"/>
          <c:order val="1"/>
          <c:tx>
            <c:strRef>
              <c:f>Sheet1!$B$2</c:f>
              <c:strCache>
                <c:ptCount val="1"/>
                <c:pt idx="0">
                  <c:v>Bisexual</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7.0000000000000007E-2</c:v>
                </c:pt>
              </c:numCache>
            </c:numRef>
          </c:val>
          <c:extLst xmlns:c16r2="http://schemas.microsoft.com/office/drawing/2015/06/chart">
            <c:ext xmlns:c16="http://schemas.microsoft.com/office/drawing/2014/chart" uri="{C3380CC4-5D6E-409C-BE32-E72D297353CC}">
              <c16:uniqueId val="{00000003-7584-4E69-9A72-217B3468E837}"/>
            </c:ext>
          </c:extLst>
        </c:ser>
        <c:ser>
          <c:idx val="2"/>
          <c:order val="2"/>
          <c:tx>
            <c:strRef>
              <c:f>Sheet1!$C$2</c:f>
              <c:strCache>
                <c:ptCount val="1"/>
                <c:pt idx="0">
                  <c:v>Heterosexual</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Sheet1!$C$3</c:f>
              <c:numCache>
                <c:formatCode>0%</c:formatCode>
                <c:ptCount val="1"/>
                <c:pt idx="0">
                  <c:v>0.52</c:v>
                </c:pt>
              </c:numCache>
            </c:numRef>
          </c:val>
          <c:extLst xmlns:c16r2="http://schemas.microsoft.com/office/drawing/2015/06/chart">
            <c:ext xmlns:c16="http://schemas.microsoft.com/office/drawing/2014/chart" uri="{C3380CC4-5D6E-409C-BE32-E72D297353CC}">
              <c16:uniqueId val="{00000004-7584-4E69-9A72-217B3468E837}"/>
            </c:ext>
          </c:extLst>
        </c:ser>
        <c:ser>
          <c:idx val="3"/>
          <c:order val="3"/>
          <c:tx>
            <c:strRef>
              <c:f>Sheet1!$D$2</c:f>
              <c:strCache>
                <c:ptCount val="1"/>
                <c:pt idx="0">
                  <c:v>Other</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Sheet1!$D$3</c:f>
              <c:numCache>
                <c:formatCode>0%</c:formatCode>
                <c:ptCount val="1"/>
                <c:pt idx="0">
                  <c:v>0.05</c:v>
                </c:pt>
              </c:numCache>
            </c:numRef>
          </c:val>
          <c:extLst xmlns:c16r2="http://schemas.microsoft.com/office/drawing/2015/06/chart">
            <c:ext xmlns:c16="http://schemas.microsoft.com/office/drawing/2014/chart" uri="{C3380CC4-5D6E-409C-BE32-E72D297353CC}">
              <c16:uniqueId val="{00000005-7584-4E69-9A72-217B3468E837}"/>
            </c:ext>
          </c:extLst>
        </c:ser>
        <c:dLbls>
          <c:dLblPos val="outEnd"/>
          <c:showLegendKey val="0"/>
          <c:showVal val="1"/>
          <c:showCatName val="0"/>
          <c:showSerName val="0"/>
          <c:showPercent val="0"/>
          <c:showBubbleSize val="0"/>
        </c:dLbls>
        <c:gapWidth val="150"/>
        <c:axId val="-774705312"/>
        <c:axId val="-774700416"/>
      </c:barChart>
      <c:catAx>
        <c:axId val="-774705312"/>
        <c:scaling>
          <c:orientation val="minMax"/>
        </c:scaling>
        <c:delete val="1"/>
        <c:axPos val="b"/>
        <c:numFmt formatCode="General" sourceLinked="0"/>
        <c:majorTickMark val="out"/>
        <c:minorTickMark val="none"/>
        <c:tickLblPos val="nextTo"/>
        <c:crossAx val="-774700416"/>
        <c:crosses val="autoZero"/>
        <c:auto val="1"/>
        <c:lblAlgn val="ctr"/>
        <c:lblOffset val="100"/>
        <c:noMultiLvlLbl val="0"/>
      </c:catAx>
      <c:valAx>
        <c:axId val="-774700416"/>
        <c:scaling>
          <c:orientation val="minMax"/>
          <c:max val="1"/>
        </c:scaling>
        <c:delete val="0"/>
        <c:axPos val="l"/>
        <c:numFmt formatCode="0%" sourceLinked="1"/>
        <c:majorTickMark val="out"/>
        <c:minorTickMark val="none"/>
        <c:tickLblPos val="nextTo"/>
        <c:crossAx val="-774705312"/>
        <c:crosses val="autoZero"/>
        <c:crossBetween val="between"/>
      </c:valAx>
    </c:plotArea>
    <c:legend>
      <c:legendPos val="b"/>
      <c:layout>
        <c:manualLayout>
          <c:xMode val="edge"/>
          <c:yMode val="edge"/>
          <c:x val="0.1419310711963315"/>
          <c:y val="0.80579824261097799"/>
          <c:w val="0.72469583792398218"/>
          <c:h val="8.7357069496747694E-2"/>
        </c:manualLayout>
      </c:layout>
      <c:overlay val="0"/>
    </c:legend>
    <c:plotVisOnly val="1"/>
    <c:dispBlanksAs val="gap"/>
    <c:showDLblsOverMax val="0"/>
  </c:chart>
  <c:spPr>
    <a:ln>
      <a:noFill/>
    </a:ln>
  </c:sp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HIV Status</a:t>
            </a:r>
          </a:p>
        </c:rich>
      </c:tx>
      <c:overlay val="1"/>
    </c:title>
    <c:autoTitleDeleted val="0"/>
    <c:plotArea>
      <c:layout>
        <c:manualLayout>
          <c:layoutTarget val="inner"/>
          <c:xMode val="edge"/>
          <c:yMode val="edge"/>
          <c:x val="8.8009898955185156E-2"/>
          <c:y val="4.4115984841392841E-2"/>
          <c:w val="0.87347969501244971"/>
          <c:h val="0.76686979344973194"/>
        </c:manualLayout>
      </c:layout>
      <c:barChart>
        <c:barDir val="col"/>
        <c:grouping val="clustered"/>
        <c:varyColors val="0"/>
        <c:ser>
          <c:idx val="0"/>
          <c:order val="0"/>
          <c:tx>
            <c:strRef>
              <c:f>Sheet1!$A$2</c:f>
              <c:strCache>
                <c:ptCount val="1"/>
                <c:pt idx="0">
                  <c:v>Tested negative</c:v>
                </c:pt>
              </c:strCache>
            </c:strRef>
          </c:tx>
          <c:spPr>
            <a:scene3d>
              <a:camera prst="orthographicFront"/>
              <a:lightRig rig="threePt" dir="t"/>
            </a:scene3d>
            <a:sp3d/>
          </c:spPr>
          <c:invertIfNegative val="0"/>
          <c:dLbls>
            <c:dLbl>
              <c:idx val="0"/>
              <c:layout>
                <c:manualLayout>
                  <c:x val="-1.2836970474967908E-2"/>
                  <c:y val="-7.27504823315428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EF-4B64-85FD-527F16F06F5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Sheet1!$A$3</c:f>
              <c:numCache>
                <c:formatCode>0%</c:formatCode>
                <c:ptCount val="1"/>
                <c:pt idx="0">
                  <c:v>0.41599999999999998</c:v>
                </c:pt>
              </c:numCache>
            </c:numRef>
          </c:val>
          <c:extLst xmlns:c16r2="http://schemas.microsoft.com/office/drawing/2015/06/chart">
            <c:ext xmlns:c16="http://schemas.microsoft.com/office/drawing/2014/chart" uri="{C3380CC4-5D6E-409C-BE32-E72D297353CC}">
              <c16:uniqueId val="{00000001-47EF-4B64-85FD-527F16F06F57}"/>
            </c:ext>
          </c:extLst>
        </c:ser>
        <c:ser>
          <c:idx val="1"/>
          <c:order val="1"/>
          <c:tx>
            <c:strRef>
              <c:f>Sheet1!$B$2</c:f>
              <c:strCache>
                <c:ptCount val="1"/>
                <c:pt idx="0">
                  <c:v>Tested positive</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Sheet1!$B$3</c:f>
              <c:numCache>
                <c:formatCode>0%</c:formatCode>
                <c:ptCount val="1"/>
                <c:pt idx="0">
                  <c:v>0.432</c:v>
                </c:pt>
              </c:numCache>
            </c:numRef>
          </c:val>
          <c:extLst xmlns:c16r2="http://schemas.microsoft.com/office/drawing/2015/06/chart">
            <c:ext xmlns:c16="http://schemas.microsoft.com/office/drawing/2014/chart" uri="{C3380CC4-5D6E-409C-BE32-E72D297353CC}">
              <c16:uniqueId val="{00000002-47EF-4B64-85FD-527F16F06F57}"/>
            </c:ext>
          </c:extLst>
        </c:ser>
        <c:ser>
          <c:idx val="2"/>
          <c:order val="2"/>
          <c:tx>
            <c:strRef>
              <c:f>Sheet1!$C$2</c:f>
              <c:strCache>
                <c:ptCount val="1"/>
                <c:pt idx="0">
                  <c:v>Do not know</c:v>
                </c:pt>
              </c:strCache>
            </c:strRef>
          </c:tx>
          <c:spPr>
            <a:scene3d>
              <a:camera prst="orthographicFront"/>
              <a:lightRig rig="threePt" dir="t"/>
            </a:scene3d>
            <a:sp3d/>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Sheet1!$C$3</c:f>
              <c:numCache>
                <c:formatCode>0%</c:formatCode>
                <c:ptCount val="1"/>
                <c:pt idx="0">
                  <c:v>0.153</c:v>
                </c:pt>
              </c:numCache>
            </c:numRef>
          </c:val>
          <c:extLst xmlns:c16r2="http://schemas.microsoft.com/office/drawing/2015/06/chart">
            <c:ext xmlns:c16="http://schemas.microsoft.com/office/drawing/2014/chart" uri="{C3380CC4-5D6E-409C-BE32-E72D297353CC}">
              <c16:uniqueId val="{00000003-47EF-4B64-85FD-527F16F06F57}"/>
            </c:ext>
          </c:extLst>
        </c:ser>
        <c:dLbls>
          <c:dLblPos val="outEnd"/>
          <c:showLegendKey val="0"/>
          <c:showVal val="1"/>
          <c:showCatName val="0"/>
          <c:showSerName val="0"/>
          <c:showPercent val="0"/>
          <c:showBubbleSize val="0"/>
        </c:dLbls>
        <c:gapWidth val="150"/>
        <c:axId val="-774710752"/>
        <c:axId val="-774691712"/>
      </c:barChart>
      <c:catAx>
        <c:axId val="-774710752"/>
        <c:scaling>
          <c:orientation val="minMax"/>
        </c:scaling>
        <c:delete val="1"/>
        <c:axPos val="b"/>
        <c:numFmt formatCode="General" sourceLinked="0"/>
        <c:majorTickMark val="out"/>
        <c:minorTickMark val="none"/>
        <c:tickLblPos val="nextTo"/>
        <c:crossAx val="-774691712"/>
        <c:crosses val="autoZero"/>
        <c:auto val="1"/>
        <c:lblAlgn val="ctr"/>
        <c:lblOffset val="100"/>
        <c:noMultiLvlLbl val="0"/>
      </c:catAx>
      <c:valAx>
        <c:axId val="-774691712"/>
        <c:scaling>
          <c:orientation val="minMax"/>
          <c:max val="1"/>
        </c:scaling>
        <c:delete val="0"/>
        <c:axPos val="l"/>
        <c:numFmt formatCode="0%" sourceLinked="1"/>
        <c:majorTickMark val="out"/>
        <c:minorTickMark val="none"/>
        <c:tickLblPos val="nextTo"/>
        <c:crossAx val="-774710752"/>
        <c:crosses val="autoZero"/>
        <c:crossBetween val="between"/>
      </c:valAx>
    </c:plotArea>
    <c:legend>
      <c:legendPos val="b"/>
      <c:layout>
        <c:manualLayout>
          <c:xMode val="edge"/>
          <c:yMode val="edge"/>
          <c:x val="0.17188400230458994"/>
          <c:y val="0.80579824261097799"/>
          <c:w val="0.72469583792398218"/>
          <c:h val="8.7357069496747694E-2"/>
        </c:manualLayout>
      </c:layout>
      <c:overlay val="0"/>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What is your profession?</a:t>
            </a:r>
          </a:p>
        </c:rich>
      </c:tx>
      <c:layout>
        <c:manualLayout>
          <c:xMode val="edge"/>
          <c:yMode val="edge"/>
          <c:x val="0.3489588801399825"/>
          <c:y val="3.208556149732620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93083518275822"/>
          <c:y val="0.17112299465240641"/>
          <c:w val="0.81076526347734834"/>
          <c:h val="0.374331550802139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'Question 18'!$A$1:$A$10</c:f>
              <c:strCache>
                <c:ptCount val="10"/>
                <c:pt idx="0">
                  <c:v>Health Educator</c:v>
                </c:pt>
                <c:pt idx="1">
                  <c:v>Mental Health Professional</c:v>
                </c:pt>
                <c:pt idx="2">
                  <c:v>Program Administrator</c:v>
                </c:pt>
                <c:pt idx="3">
                  <c:v>Community Health Worker</c:v>
                </c:pt>
                <c:pt idx="4">
                  <c:v>Other Dental Professional</c:v>
                </c:pt>
                <c:pt idx="5">
                  <c:v>Public Health Professional</c:v>
                </c:pt>
                <c:pt idx="6">
                  <c:v>Social Worker</c:v>
                </c:pt>
                <c:pt idx="7">
                  <c:v>Nurse</c:v>
                </c:pt>
                <c:pt idx="8">
                  <c:v>Substance Abuse Professional</c:v>
                </c:pt>
                <c:pt idx="9">
                  <c:v>Support Staff</c:v>
                </c:pt>
              </c:strCache>
            </c:strRef>
          </c:cat>
          <c:val>
            <c:numRef>
              <c:f>'Question 18'!$B$1:$B$10</c:f>
              <c:numCache>
                <c:formatCode>0%</c:formatCode>
                <c:ptCount val="10"/>
                <c:pt idx="0">
                  <c:v>0.3125</c:v>
                </c:pt>
                <c:pt idx="1">
                  <c:v>0.1875</c:v>
                </c:pt>
                <c:pt idx="2">
                  <c:v>0.1875</c:v>
                </c:pt>
                <c:pt idx="3">
                  <c:v>0.1875</c:v>
                </c:pt>
                <c:pt idx="4">
                  <c:v>0.1875</c:v>
                </c:pt>
                <c:pt idx="5">
                  <c:v>0.125</c:v>
                </c:pt>
                <c:pt idx="6">
                  <c:v>0.125</c:v>
                </c:pt>
                <c:pt idx="7">
                  <c:v>6.25E-2</c:v>
                </c:pt>
                <c:pt idx="8">
                  <c:v>6.25E-2</c:v>
                </c:pt>
                <c:pt idx="9">
                  <c:v>6.25E-2</c:v>
                </c:pt>
              </c:numCache>
            </c:numRef>
          </c:val>
          <c:extLst xmlns:c16r2="http://schemas.microsoft.com/office/drawing/2015/06/chart">
            <c:ext xmlns:c16="http://schemas.microsoft.com/office/drawing/2014/chart" uri="{C3380CC4-5D6E-409C-BE32-E72D297353CC}">
              <c16:uniqueId val="{00000000-419B-40AE-826E-EE7633CC57AB}"/>
            </c:ext>
          </c:extLst>
        </c:ser>
        <c:dLbls>
          <c:showLegendKey val="0"/>
          <c:showVal val="0"/>
          <c:showCatName val="0"/>
          <c:showSerName val="0"/>
          <c:showPercent val="0"/>
          <c:showBubbleSize val="0"/>
        </c:dLbls>
        <c:gapWidth val="219"/>
        <c:overlap val="-27"/>
        <c:axId val="-774691168"/>
        <c:axId val="-774690624"/>
      </c:barChart>
      <c:catAx>
        <c:axId val="-7746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690624"/>
        <c:crosses val="autoZero"/>
        <c:auto val="1"/>
        <c:lblAlgn val="ctr"/>
        <c:lblOffset val="100"/>
        <c:tickLblSkip val="1"/>
        <c:tickMarkSkip val="1"/>
        <c:noMultiLvlLbl val="0"/>
      </c:catAx>
      <c:valAx>
        <c:axId val="-774690624"/>
        <c:scaling>
          <c:orientation val="minMax"/>
          <c:max val="1"/>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6911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b="1">
                <a:effectLst/>
              </a:rPr>
              <a:t>Figure 8. Annual Rate of Persons Living with HIV, HIV (not HIV Stage 3 (AIDS), and HIV Stage 3 (AIDS) in Nevada by Sex, 2010– 2014</a:t>
            </a:r>
            <a:endParaRPr lang="en-US" sz="1050">
              <a:effectLst/>
            </a:endParaRPr>
          </a:p>
        </c:rich>
      </c:tx>
      <c:layout>
        <c:manualLayout>
          <c:xMode val="edge"/>
          <c:yMode val="edge"/>
          <c:x val="0.11108098395248868"/>
          <c:y val="2.6936026936026935E-2"/>
        </c:manualLayout>
      </c:layout>
      <c:overlay val="0"/>
    </c:title>
    <c:autoTitleDeleted val="0"/>
    <c:plotArea>
      <c:layout>
        <c:manualLayout>
          <c:layoutTarget val="inner"/>
          <c:xMode val="edge"/>
          <c:yMode val="edge"/>
          <c:x val="0.35222860595051775"/>
          <c:y val="0.18423501594878544"/>
          <c:w val="0.59744204194005679"/>
          <c:h val="0.36085268378279911"/>
        </c:manualLayout>
      </c:layout>
      <c:lineChart>
        <c:grouping val="standard"/>
        <c:varyColors val="0"/>
        <c:ser>
          <c:idx val="1"/>
          <c:order val="0"/>
          <c:tx>
            <c:strRef>
              <c:f>Sex!$C$93</c:f>
              <c:strCache>
                <c:ptCount val="1"/>
                <c:pt idx="0">
                  <c:v>Males living with HIV</c:v>
                </c:pt>
              </c:strCache>
            </c:strRef>
          </c:tx>
          <c:spPr>
            <a:ln w="19050">
              <a:solidFill>
                <a:srgbClr val="1F497D">
                  <a:lumMod val="75000"/>
                </a:srgbClr>
              </a:solidFill>
            </a:ln>
          </c:spPr>
          <c:marker>
            <c:spPr>
              <a:solidFill>
                <a:schemeClr val="tx2">
                  <a:lumMod val="75000"/>
                </a:schemeClr>
              </a:solidFill>
              <a:ln>
                <a:solidFill>
                  <a:schemeClr val="tx2">
                    <a:lumMod val="75000"/>
                  </a:schemeClr>
                </a:solidFill>
              </a:ln>
            </c:spPr>
          </c:marker>
          <c:cat>
            <c:numRef>
              <c:f>Sex!$B$6:$B$10</c:f>
              <c:numCache>
                <c:formatCode>General</c:formatCode>
                <c:ptCount val="5"/>
                <c:pt idx="0">
                  <c:v>2010</c:v>
                </c:pt>
                <c:pt idx="1">
                  <c:v>2011</c:v>
                </c:pt>
                <c:pt idx="2">
                  <c:v>2012</c:v>
                </c:pt>
                <c:pt idx="3">
                  <c:v>2013</c:v>
                </c:pt>
                <c:pt idx="4">
                  <c:v>2014</c:v>
                </c:pt>
              </c:numCache>
            </c:numRef>
          </c:cat>
          <c:val>
            <c:numRef>
              <c:f>Sex!$D$95:$D$99</c:f>
              <c:numCache>
                <c:formatCode>General</c:formatCode>
                <c:ptCount val="5"/>
                <c:pt idx="0">
                  <c:v>498.7</c:v>
                </c:pt>
                <c:pt idx="1">
                  <c:v>512.20000000000005</c:v>
                </c:pt>
                <c:pt idx="2">
                  <c:v>523.20000000000005</c:v>
                </c:pt>
                <c:pt idx="3">
                  <c:v>539.4</c:v>
                </c:pt>
                <c:pt idx="4">
                  <c:v>572.20000000000005</c:v>
                </c:pt>
              </c:numCache>
            </c:numRef>
          </c:val>
          <c:smooth val="0"/>
          <c:extLst xmlns:c16r2="http://schemas.microsoft.com/office/drawing/2015/06/chart">
            <c:ext xmlns:c16="http://schemas.microsoft.com/office/drawing/2014/chart" uri="{C3380CC4-5D6E-409C-BE32-E72D297353CC}">
              <c16:uniqueId val="{00000000-E693-457B-893B-BA793F713FD4}"/>
            </c:ext>
          </c:extLst>
        </c:ser>
        <c:ser>
          <c:idx val="2"/>
          <c:order val="1"/>
          <c:tx>
            <c:strRef>
              <c:f>Sex!$E$93</c:f>
              <c:strCache>
                <c:ptCount val="1"/>
                <c:pt idx="0">
                  <c:v>Males living with HIV (not HIV Stage 3 (AIDS))</c:v>
                </c:pt>
              </c:strCache>
            </c:strRef>
          </c:tx>
          <c:spPr>
            <a:ln w="19050" cmpd="sng">
              <a:solidFill>
                <a:srgbClr val="1F497D">
                  <a:lumMod val="75000"/>
                </a:srgbClr>
              </a:solidFill>
              <a:prstDash val="solid"/>
            </a:ln>
          </c:spPr>
          <c:marker>
            <c:symbol val="circle"/>
            <c:size val="7"/>
            <c:spPr>
              <a:solidFill>
                <a:schemeClr val="tx2">
                  <a:lumMod val="75000"/>
                </a:schemeClr>
              </a:solidFill>
              <a:ln>
                <a:solidFill>
                  <a:schemeClr val="tx2">
                    <a:lumMod val="75000"/>
                  </a:schemeClr>
                </a:solidFill>
              </a:ln>
            </c:spPr>
          </c:marker>
          <c:val>
            <c:numRef>
              <c:f>Sex!$F$95:$F$99</c:f>
              <c:numCache>
                <c:formatCode>0.0</c:formatCode>
                <c:ptCount val="5"/>
                <c:pt idx="0">
                  <c:v>234.8</c:v>
                </c:pt>
                <c:pt idx="1">
                  <c:v>241.1</c:v>
                </c:pt>
                <c:pt idx="2">
                  <c:v>246.8</c:v>
                </c:pt>
                <c:pt idx="3">
                  <c:v>256.2</c:v>
                </c:pt>
                <c:pt idx="4">
                  <c:v>275.60000000000002</c:v>
                </c:pt>
              </c:numCache>
            </c:numRef>
          </c:val>
          <c:smooth val="0"/>
          <c:extLst xmlns:c16r2="http://schemas.microsoft.com/office/drawing/2015/06/chart">
            <c:ext xmlns:c16="http://schemas.microsoft.com/office/drawing/2014/chart" uri="{C3380CC4-5D6E-409C-BE32-E72D297353CC}">
              <c16:uniqueId val="{00000001-E693-457B-893B-BA793F713FD4}"/>
            </c:ext>
          </c:extLst>
        </c:ser>
        <c:ser>
          <c:idx val="4"/>
          <c:order val="2"/>
          <c:tx>
            <c:strRef>
              <c:f>Sex!$G$93</c:f>
              <c:strCache>
                <c:ptCount val="1"/>
                <c:pt idx="0">
                  <c:v>Males living with HIV Stage 3 (AIDS)</c:v>
                </c:pt>
              </c:strCache>
            </c:strRef>
          </c:tx>
          <c:spPr>
            <a:ln w="19050" cmpd="sng">
              <a:solidFill>
                <a:srgbClr val="1F497D">
                  <a:lumMod val="75000"/>
                </a:srgbClr>
              </a:solidFill>
              <a:prstDash val="solid"/>
            </a:ln>
          </c:spPr>
          <c:marker>
            <c:symbol val="triangle"/>
            <c:size val="7"/>
            <c:spPr>
              <a:solidFill>
                <a:schemeClr val="tx2">
                  <a:lumMod val="75000"/>
                </a:schemeClr>
              </a:solidFill>
              <a:ln>
                <a:solidFill>
                  <a:schemeClr val="tx2">
                    <a:lumMod val="75000"/>
                  </a:schemeClr>
                </a:solidFill>
              </a:ln>
            </c:spPr>
          </c:marker>
          <c:val>
            <c:numRef>
              <c:f>Sex!$H$95:$H$99</c:f>
              <c:numCache>
                <c:formatCode>0.0</c:formatCode>
                <c:ptCount val="5"/>
                <c:pt idx="0">
                  <c:v>263.89999999999998</c:v>
                </c:pt>
                <c:pt idx="1">
                  <c:v>271.10000000000002</c:v>
                </c:pt>
                <c:pt idx="2">
                  <c:v>276.39999999999998</c:v>
                </c:pt>
                <c:pt idx="3">
                  <c:v>283.10000000000002</c:v>
                </c:pt>
                <c:pt idx="4">
                  <c:v>296.60000000000002</c:v>
                </c:pt>
              </c:numCache>
            </c:numRef>
          </c:val>
          <c:smooth val="0"/>
          <c:extLst xmlns:c16r2="http://schemas.microsoft.com/office/drawing/2015/06/chart">
            <c:ext xmlns:c16="http://schemas.microsoft.com/office/drawing/2014/chart" uri="{C3380CC4-5D6E-409C-BE32-E72D297353CC}">
              <c16:uniqueId val="{00000002-E693-457B-893B-BA793F713FD4}"/>
            </c:ext>
          </c:extLst>
        </c:ser>
        <c:ser>
          <c:idx val="3"/>
          <c:order val="3"/>
          <c:tx>
            <c:strRef>
              <c:f>Sex!$I$93</c:f>
              <c:strCache>
                <c:ptCount val="1"/>
                <c:pt idx="0">
                  <c:v>Female living with HIV</c:v>
                </c:pt>
              </c:strCache>
            </c:strRef>
          </c:tx>
          <c:spPr>
            <a:ln w="19050">
              <a:solidFill>
                <a:srgbClr val="1F497D">
                  <a:lumMod val="40000"/>
                  <a:lumOff val="60000"/>
                </a:srgbClr>
              </a:solidFill>
            </a:ln>
          </c:spPr>
          <c:marker>
            <c:symbol val="square"/>
            <c:size val="7"/>
            <c:spPr>
              <a:solidFill>
                <a:schemeClr val="tx2">
                  <a:lumMod val="40000"/>
                  <a:lumOff val="60000"/>
                </a:schemeClr>
              </a:solidFill>
              <a:ln>
                <a:solidFill>
                  <a:schemeClr val="tx2">
                    <a:lumMod val="40000"/>
                    <a:lumOff val="60000"/>
                  </a:schemeClr>
                </a:solidFill>
              </a:ln>
            </c:spPr>
          </c:marker>
          <c:cat>
            <c:numRef>
              <c:f>Sex!$B$6:$B$10</c:f>
              <c:numCache>
                <c:formatCode>General</c:formatCode>
                <c:ptCount val="5"/>
                <c:pt idx="0">
                  <c:v>2010</c:v>
                </c:pt>
                <c:pt idx="1">
                  <c:v>2011</c:v>
                </c:pt>
                <c:pt idx="2">
                  <c:v>2012</c:v>
                </c:pt>
                <c:pt idx="3">
                  <c:v>2013</c:v>
                </c:pt>
                <c:pt idx="4">
                  <c:v>2014</c:v>
                </c:pt>
              </c:numCache>
            </c:numRef>
          </c:cat>
          <c:val>
            <c:numRef>
              <c:f>Sex!$J$95:$J$99</c:f>
              <c:numCache>
                <c:formatCode>0.0</c:formatCode>
                <c:ptCount val="5"/>
                <c:pt idx="0">
                  <c:v>102.3</c:v>
                </c:pt>
                <c:pt idx="1">
                  <c:v>103.8</c:v>
                </c:pt>
                <c:pt idx="2">
                  <c:v>102.9</c:v>
                </c:pt>
                <c:pt idx="3">
                  <c:v>105.1</c:v>
                </c:pt>
                <c:pt idx="4">
                  <c:v>108.9</c:v>
                </c:pt>
              </c:numCache>
            </c:numRef>
          </c:val>
          <c:smooth val="0"/>
          <c:extLst xmlns:c16r2="http://schemas.microsoft.com/office/drawing/2015/06/chart">
            <c:ext xmlns:c16="http://schemas.microsoft.com/office/drawing/2014/chart" uri="{C3380CC4-5D6E-409C-BE32-E72D297353CC}">
              <c16:uniqueId val="{00000003-E693-457B-893B-BA793F713FD4}"/>
            </c:ext>
          </c:extLst>
        </c:ser>
        <c:ser>
          <c:idx val="0"/>
          <c:order val="4"/>
          <c:tx>
            <c:strRef>
              <c:f>Sex!$K$93</c:f>
              <c:strCache>
                <c:ptCount val="1"/>
                <c:pt idx="0">
                  <c:v>Females living with HIV (not AIDS)</c:v>
                </c:pt>
              </c:strCache>
            </c:strRef>
          </c:tx>
          <c:spPr>
            <a:ln cmpd="sng">
              <a:solidFill>
                <a:schemeClr val="tx2">
                  <a:lumMod val="40000"/>
                  <a:lumOff val="60000"/>
                </a:schemeClr>
              </a:solidFill>
              <a:prstDash val="solid"/>
            </a:ln>
          </c:spPr>
          <c:marker>
            <c:symbol val="circle"/>
            <c:size val="7"/>
            <c:spPr>
              <a:solidFill>
                <a:schemeClr val="tx2">
                  <a:lumMod val="40000"/>
                  <a:lumOff val="60000"/>
                </a:schemeClr>
              </a:solidFill>
              <a:ln>
                <a:solidFill>
                  <a:schemeClr val="tx2">
                    <a:lumMod val="40000"/>
                    <a:lumOff val="60000"/>
                  </a:schemeClr>
                </a:solidFill>
              </a:ln>
            </c:spPr>
          </c:marker>
          <c:val>
            <c:numRef>
              <c:f>Sex!$L$95:$L$99</c:f>
              <c:numCache>
                <c:formatCode>0.0</c:formatCode>
                <c:ptCount val="5"/>
                <c:pt idx="0">
                  <c:v>52.2</c:v>
                </c:pt>
                <c:pt idx="1">
                  <c:v>52</c:v>
                </c:pt>
                <c:pt idx="2">
                  <c:v>50.9</c:v>
                </c:pt>
                <c:pt idx="3">
                  <c:v>52</c:v>
                </c:pt>
                <c:pt idx="4">
                  <c:v>52.5</c:v>
                </c:pt>
              </c:numCache>
            </c:numRef>
          </c:val>
          <c:smooth val="0"/>
          <c:extLst xmlns:c16r2="http://schemas.microsoft.com/office/drawing/2015/06/chart">
            <c:ext xmlns:c16="http://schemas.microsoft.com/office/drawing/2014/chart" uri="{C3380CC4-5D6E-409C-BE32-E72D297353CC}">
              <c16:uniqueId val="{00000004-E693-457B-893B-BA793F713FD4}"/>
            </c:ext>
          </c:extLst>
        </c:ser>
        <c:ser>
          <c:idx val="5"/>
          <c:order val="5"/>
          <c:tx>
            <c:strRef>
              <c:f>Sex!$M$93</c:f>
              <c:strCache>
                <c:ptCount val="1"/>
                <c:pt idx="0">
                  <c:v>Females living with AIDS</c:v>
                </c:pt>
              </c:strCache>
            </c:strRef>
          </c:tx>
          <c:spPr>
            <a:ln w="19050">
              <a:solidFill>
                <a:srgbClr val="1F497D">
                  <a:lumMod val="40000"/>
                  <a:lumOff val="60000"/>
                </a:srgbClr>
              </a:solidFill>
            </a:ln>
          </c:spPr>
          <c:marker>
            <c:symbol val="triangle"/>
            <c:size val="7"/>
            <c:spPr>
              <a:solidFill>
                <a:schemeClr val="tx2">
                  <a:lumMod val="40000"/>
                  <a:lumOff val="60000"/>
                </a:schemeClr>
              </a:solidFill>
              <a:ln>
                <a:solidFill>
                  <a:schemeClr val="tx2">
                    <a:lumMod val="40000"/>
                    <a:lumOff val="60000"/>
                  </a:schemeClr>
                </a:solidFill>
              </a:ln>
            </c:spPr>
          </c:marker>
          <c:val>
            <c:numRef>
              <c:f>Sex!$N$95:$N$99</c:f>
              <c:numCache>
                <c:formatCode>0.0</c:formatCode>
                <c:ptCount val="5"/>
                <c:pt idx="0">
                  <c:v>50.1</c:v>
                </c:pt>
                <c:pt idx="1">
                  <c:v>51.8</c:v>
                </c:pt>
                <c:pt idx="2">
                  <c:v>51.9</c:v>
                </c:pt>
                <c:pt idx="3">
                  <c:v>53.1</c:v>
                </c:pt>
                <c:pt idx="4">
                  <c:v>56.3</c:v>
                </c:pt>
              </c:numCache>
            </c:numRef>
          </c:val>
          <c:smooth val="0"/>
          <c:extLst xmlns:c16r2="http://schemas.microsoft.com/office/drawing/2015/06/chart">
            <c:ext xmlns:c16="http://schemas.microsoft.com/office/drawing/2014/chart" uri="{C3380CC4-5D6E-409C-BE32-E72D297353CC}">
              <c16:uniqueId val="{00000005-E693-457B-893B-BA793F713FD4}"/>
            </c:ext>
          </c:extLst>
        </c:ser>
        <c:dLbls>
          <c:showLegendKey val="0"/>
          <c:showVal val="0"/>
          <c:showCatName val="0"/>
          <c:showSerName val="0"/>
          <c:showPercent val="0"/>
          <c:showBubbleSize val="0"/>
        </c:dLbls>
        <c:marker val="1"/>
        <c:smooth val="0"/>
        <c:axId val="-788190752"/>
        <c:axId val="-788189664"/>
      </c:lineChart>
      <c:catAx>
        <c:axId val="-788190752"/>
        <c:scaling>
          <c:orientation val="minMax"/>
        </c:scaling>
        <c:delete val="0"/>
        <c:axPos val="b"/>
        <c:numFmt formatCode="General" sourceLinked="1"/>
        <c:majorTickMark val="none"/>
        <c:minorTickMark val="none"/>
        <c:tickLblPos val="nextTo"/>
        <c:crossAx val="-788189664"/>
        <c:crosses val="autoZero"/>
        <c:auto val="1"/>
        <c:lblAlgn val="ctr"/>
        <c:lblOffset val="100"/>
        <c:noMultiLvlLbl val="0"/>
      </c:catAx>
      <c:valAx>
        <c:axId val="-788189664"/>
        <c:scaling>
          <c:orientation val="minMax"/>
        </c:scaling>
        <c:delete val="0"/>
        <c:axPos val="l"/>
        <c:majorGridlines/>
        <c:title>
          <c:tx>
            <c:rich>
              <a:bodyPr rot="-5400000" vert="horz"/>
              <a:lstStyle/>
              <a:p>
                <a:pPr>
                  <a:defRPr b="1"/>
                </a:pPr>
                <a:r>
                  <a:rPr lang="en-US" b="1"/>
                  <a:t>Rate per 100,000</a:t>
                </a:r>
              </a:p>
            </c:rich>
          </c:tx>
          <c:layout>
            <c:manualLayout>
              <c:xMode val="edge"/>
              <c:yMode val="edge"/>
              <c:x val="0.24730099565523883"/>
              <c:y val="0.16028738831888439"/>
            </c:manualLayout>
          </c:layout>
          <c:overlay val="0"/>
        </c:title>
        <c:numFmt formatCode="General" sourceLinked="1"/>
        <c:majorTickMark val="none"/>
        <c:minorTickMark val="none"/>
        <c:tickLblPos val="nextTo"/>
        <c:crossAx val="-788190752"/>
        <c:crosses val="autoZero"/>
        <c:crossBetween val="between"/>
      </c:valAx>
      <c:dTable>
        <c:showHorzBorder val="1"/>
        <c:showVertBorder val="1"/>
        <c:showOutline val="1"/>
        <c:showKeys val="1"/>
        <c:spPr>
          <a:ln w="0"/>
        </c:spPr>
      </c:dTable>
      <c:spPr>
        <a:noFill/>
      </c:spPr>
    </c:plotArea>
    <c:plotVisOnly val="1"/>
    <c:dispBlanksAs val="gap"/>
    <c:showDLblsOverMax val="0"/>
  </c:chart>
  <c:spPr>
    <a:noFill/>
    <a:ln>
      <a:noFill/>
    </a:ln>
  </c:spPr>
  <c:txPr>
    <a:bodyPr/>
    <a:lstStyle/>
    <a:p>
      <a:pPr>
        <a:defRPr sz="800"/>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What is your principal employment setting?</a:t>
            </a:r>
          </a:p>
        </c:rich>
      </c:tx>
      <c:layout>
        <c:manualLayout>
          <c:xMode val="edge"/>
          <c:yMode val="edge"/>
          <c:x val="0.24131980898221053"/>
          <c:y val="3.20855614973262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74110527850683"/>
          <c:y val="6.9353006759110866E-2"/>
          <c:w val="0.85995497958588507"/>
          <c:h val="0.4567733955821893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'Question 15'!$A$1:$A$7</c:f>
              <c:strCache>
                <c:ptCount val="7"/>
                <c:pt idx="0">
                  <c:v>Community-Based Organization</c:v>
                </c:pt>
                <c:pt idx="1">
                  <c:v>Mental/Behavioral Health</c:v>
                </c:pt>
                <c:pt idx="2">
                  <c:v>State/Local Health Dept.</c:v>
                </c:pt>
                <c:pt idx="3">
                  <c:v>Other</c:v>
                </c:pt>
                <c:pt idx="4">
                  <c:v>HIV Clinic</c:v>
                </c:pt>
                <c:pt idx="5">
                  <c:v>Rural Health Clinic</c:v>
                </c:pt>
                <c:pt idx="6">
                  <c:v>Not working</c:v>
                </c:pt>
              </c:strCache>
            </c:strRef>
          </c:cat>
          <c:val>
            <c:numRef>
              <c:f>'Question 15'!$B$1:$B$7</c:f>
              <c:numCache>
                <c:formatCode>0%</c:formatCode>
                <c:ptCount val="7"/>
                <c:pt idx="0">
                  <c:v>0.40909090909090912</c:v>
                </c:pt>
                <c:pt idx="1">
                  <c:v>0.18181818181818182</c:v>
                </c:pt>
                <c:pt idx="2">
                  <c:v>0.13636363636363635</c:v>
                </c:pt>
                <c:pt idx="3">
                  <c:v>0.13636363636363635</c:v>
                </c:pt>
                <c:pt idx="4">
                  <c:v>4.5454545454545456E-2</c:v>
                </c:pt>
                <c:pt idx="5">
                  <c:v>4.5454545454545456E-2</c:v>
                </c:pt>
                <c:pt idx="6">
                  <c:v>4.5454545454545456E-2</c:v>
                </c:pt>
              </c:numCache>
            </c:numRef>
          </c:val>
          <c:extLst xmlns:c16r2="http://schemas.microsoft.com/office/drawing/2015/06/chart">
            <c:ext xmlns:c16="http://schemas.microsoft.com/office/drawing/2014/chart" uri="{C3380CC4-5D6E-409C-BE32-E72D297353CC}">
              <c16:uniqueId val="{00000000-0F19-4A3E-A92C-F0750661CFC4}"/>
            </c:ext>
          </c:extLst>
        </c:ser>
        <c:dLbls>
          <c:showLegendKey val="0"/>
          <c:showVal val="0"/>
          <c:showCatName val="0"/>
          <c:showSerName val="0"/>
          <c:showPercent val="0"/>
          <c:showBubbleSize val="0"/>
        </c:dLbls>
        <c:gapWidth val="219"/>
        <c:overlap val="-27"/>
        <c:axId val="-774690080"/>
        <c:axId val="-774688992"/>
      </c:barChart>
      <c:catAx>
        <c:axId val="-7746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688992"/>
        <c:crosses val="autoZero"/>
        <c:auto val="1"/>
        <c:lblAlgn val="ctr"/>
        <c:lblOffset val="100"/>
        <c:tickLblSkip val="1"/>
        <c:tickMarkSkip val="1"/>
        <c:noMultiLvlLbl val="0"/>
      </c:catAx>
      <c:valAx>
        <c:axId val="-774688992"/>
        <c:scaling>
          <c:orientation val="minMax"/>
          <c:max val="1"/>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69008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b="1" i="0" u="none" strike="noStrike" baseline="0">
                <a:effectLst/>
              </a:rPr>
              <a:t>Figure 9. Annual Rate of Persons Living with HIV in Nevada by Sex and Race/Ethnicity, 2014</a:t>
            </a:r>
            <a:endParaRPr lang="en-US" sz="1050"/>
          </a:p>
        </c:rich>
      </c:tx>
      <c:overlay val="0"/>
    </c:title>
    <c:autoTitleDeleted val="0"/>
    <c:plotArea>
      <c:layout>
        <c:manualLayout>
          <c:layoutTarget val="inner"/>
          <c:xMode val="edge"/>
          <c:yMode val="edge"/>
          <c:x val="0.15186818698733498"/>
          <c:y val="0.17027064305461434"/>
          <c:w val="0.84554720762293789"/>
          <c:h val="0.67003056453434573"/>
        </c:manualLayout>
      </c:layout>
      <c:barChart>
        <c:barDir val="col"/>
        <c:grouping val="clustered"/>
        <c:varyColors val="0"/>
        <c:ser>
          <c:idx val="0"/>
          <c:order val="0"/>
          <c:tx>
            <c:strRef>
              <c:f>Sex!$A$114</c:f>
              <c:strCache>
                <c:ptCount val="1"/>
                <c:pt idx="0">
                  <c:v>Male</c:v>
                </c:pt>
              </c:strCache>
            </c:strRef>
          </c:tx>
          <c:spPr>
            <a:solidFill>
              <a:schemeClr val="accent1">
                <a:lumMod val="50000"/>
              </a:schemeClr>
            </a:solidFill>
            <a:scene3d>
              <a:camera prst="orthographicFront"/>
              <a:lightRig rig="threePt" dir="t"/>
            </a:scene3d>
            <a:sp3d>
              <a:bevelT/>
            </a:sp3d>
          </c:spPr>
          <c:invertIfNegative val="0"/>
          <c:dLbls>
            <c:dLbl>
              <c:idx val="0"/>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34-4553-90C3-EFBBE50D1331}"/>
                </c:ext>
                <c:ext xmlns:c15="http://schemas.microsoft.com/office/drawing/2012/chart" uri="{CE6537A1-D6FC-4f65-9D91-7224C49458BB}"/>
              </c:extLst>
            </c:dLbl>
            <c:dLbl>
              <c:idx val="1"/>
              <c:layout>
                <c:manualLayout>
                  <c:x val="0"/>
                  <c:y val="1.59680638722554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34-4553-90C3-EFBBE50D1331}"/>
                </c:ext>
                <c:ext xmlns:c15="http://schemas.microsoft.com/office/drawing/2012/chart" uri="{CE6537A1-D6FC-4f65-9D91-7224C49458BB}"/>
              </c:extLst>
            </c:dLbl>
            <c:dLbl>
              <c:idx val="2"/>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34-4553-90C3-EFBBE50D1331}"/>
                </c:ext>
                <c:ext xmlns:c15="http://schemas.microsoft.com/office/drawing/2012/chart" uri="{CE6537A1-D6FC-4f65-9D91-7224C49458BB}"/>
              </c:extLst>
            </c:dLbl>
            <c:dLbl>
              <c:idx val="3"/>
              <c:layout>
                <c:manualLayout>
                  <c:x val="0"/>
                  <c:y val="1.19757335722256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34-4553-90C3-EFBBE50D1331}"/>
                </c:ext>
                <c:ext xmlns:c15="http://schemas.microsoft.com/office/drawing/2012/chart" uri="{CE6537A1-D6FC-4f65-9D91-7224C49458BB}"/>
              </c:extLst>
            </c:dLbl>
            <c:dLbl>
              <c:idx val="4"/>
              <c:layout>
                <c:manualLayout>
                  <c:x val="4.7151459008800394E-3"/>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34-4553-90C3-EFBBE50D1331}"/>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Sex!$C$116:$G$116</c:f>
              <c:strCache>
                <c:ptCount val="5"/>
                <c:pt idx="0">
                  <c:v>White</c:v>
                </c:pt>
                <c:pt idx="1">
                  <c:v>Black</c:v>
                </c:pt>
                <c:pt idx="2">
                  <c:v>Hispanic</c:v>
                </c:pt>
                <c:pt idx="3">
                  <c:v>API</c:v>
                </c:pt>
                <c:pt idx="4">
                  <c:v>AI/AN</c:v>
                </c:pt>
              </c:strCache>
            </c:strRef>
          </c:cat>
          <c:val>
            <c:numRef>
              <c:f>Sex!$C$118:$G$118</c:f>
              <c:numCache>
                <c:formatCode>#,##0.0</c:formatCode>
                <c:ptCount val="5"/>
                <c:pt idx="0">
                  <c:v>524.20000000000005</c:v>
                </c:pt>
                <c:pt idx="1">
                  <c:v>1434.9</c:v>
                </c:pt>
                <c:pt idx="2">
                  <c:v>482.2</c:v>
                </c:pt>
                <c:pt idx="3">
                  <c:v>244.3</c:v>
                </c:pt>
                <c:pt idx="4">
                  <c:v>369.2</c:v>
                </c:pt>
              </c:numCache>
            </c:numRef>
          </c:val>
          <c:extLst xmlns:c16r2="http://schemas.microsoft.com/office/drawing/2015/06/chart">
            <c:ext xmlns:c16="http://schemas.microsoft.com/office/drawing/2014/chart" uri="{C3380CC4-5D6E-409C-BE32-E72D297353CC}">
              <c16:uniqueId val="{00000005-8834-4553-90C3-EFBBE50D1331}"/>
            </c:ext>
          </c:extLst>
        </c:ser>
        <c:ser>
          <c:idx val="1"/>
          <c:order val="1"/>
          <c:tx>
            <c:strRef>
              <c:f>Sex!$B$121</c:f>
              <c:strCache>
                <c:ptCount val="1"/>
                <c:pt idx="0">
                  <c:v>Female</c:v>
                </c:pt>
              </c:strCache>
            </c:strRef>
          </c:tx>
          <c:spPr>
            <a:solidFill>
              <a:schemeClr val="tx2">
                <a:lumMod val="40000"/>
                <a:lumOff val="60000"/>
              </a:schemeClr>
            </a:solidFill>
            <a:scene3d>
              <a:camera prst="orthographicFront"/>
              <a:lightRig rig="threePt" dir="t"/>
            </a:scene3d>
            <a:sp3d>
              <a:bevelT/>
            </a:sp3d>
          </c:spPr>
          <c:invertIfNegative val="0"/>
          <c:dLbls>
            <c:dLbl>
              <c:idx val="0"/>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34-4553-90C3-EFBBE50D1331}"/>
                </c:ext>
                <c:ext xmlns:c15="http://schemas.microsoft.com/office/drawing/2012/chart" uri="{CE6537A1-D6FC-4f65-9D91-7224C49458BB}"/>
              </c:extLst>
            </c:dLbl>
            <c:dLbl>
              <c:idx val="1"/>
              <c:layout>
                <c:manualLayout>
                  <c:x val="0"/>
                  <c:y val="1.5968063872255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34-4553-90C3-EFBBE50D1331}"/>
                </c:ext>
                <c:ext xmlns:c15="http://schemas.microsoft.com/office/drawing/2012/chart" uri="{CE6537A1-D6FC-4f65-9D91-7224C49458BB}"/>
              </c:extLst>
            </c:dLbl>
            <c:dLbl>
              <c:idx val="2"/>
              <c:layout>
                <c:manualLayout>
                  <c:x val="0"/>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834-4553-90C3-EFBBE50D1331}"/>
                </c:ext>
                <c:ext xmlns:c15="http://schemas.microsoft.com/office/drawing/2012/chart" uri="{CE6537A1-D6FC-4f65-9D91-7224C49458BB}"/>
              </c:extLst>
            </c:dLbl>
            <c:dLbl>
              <c:idx val="3"/>
              <c:layout>
                <c:manualLayout>
                  <c:x val="2.2561280185998392E-3"/>
                  <c:y val="1.19760479041915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834-4553-90C3-EFBBE50D1331}"/>
                </c:ext>
                <c:ext xmlns:c15="http://schemas.microsoft.com/office/drawing/2012/chart" uri="{CE6537A1-D6FC-4f65-9D91-7224C49458BB}"/>
              </c:extLst>
            </c:dLbl>
            <c:spPr>
              <a:solidFill>
                <a:schemeClr val="bg1">
                  <a:lumMod val="95000"/>
                </a:schemeClr>
              </a:solidFill>
              <a:scene3d>
                <a:camera prst="orthographicFront"/>
                <a:lightRig rig="threePt" dir="t"/>
              </a:scene3d>
              <a:sp3d>
                <a:bevelT/>
              </a:sp3d>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Sex!$C$116:$G$116</c:f>
              <c:strCache>
                <c:ptCount val="5"/>
                <c:pt idx="0">
                  <c:v>White</c:v>
                </c:pt>
                <c:pt idx="1">
                  <c:v>Black</c:v>
                </c:pt>
                <c:pt idx="2">
                  <c:v>Hispanic</c:v>
                </c:pt>
                <c:pt idx="3">
                  <c:v>API</c:v>
                </c:pt>
                <c:pt idx="4">
                  <c:v>AI/AN</c:v>
                </c:pt>
              </c:strCache>
            </c:strRef>
          </c:cat>
          <c:val>
            <c:numRef>
              <c:f>Sex!$C$125:$G$125</c:f>
              <c:numCache>
                <c:formatCode>0.0</c:formatCode>
                <c:ptCount val="5"/>
                <c:pt idx="0">
                  <c:v>70.7</c:v>
                </c:pt>
                <c:pt idx="1">
                  <c:v>578.6</c:v>
                </c:pt>
                <c:pt idx="2">
                  <c:v>62.5</c:v>
                </c:pt>
                <c:pt idx="3">
                  <c:v>33.5</c:v>
                </c:pt>
                <c:pt idx="4">
                  <c:v>111.3</c:v>
                </c:pt>
              </c:numCache>
            </c:numRef>
          </c:val>
          <c:extLst xmlns:c16r2="http://schemas.microsoft.com/office/drawing/2015/06/chart">
            <c:ext xmlns:c16="http://schemas.microsoft.com/office/drawing/2014/chart" uri="{C3380CC4-5D6E-409C-BE32-E72D297353CC}">
              <c16:uniqueId val="{0000000A-8834-4553-90C3-EFBBE50D1331}"/>
            </c:ext>
          </c:extLst>
        </c:ser>
        <c:dLbls>
          <c:showLegendKey val="0"/>
          <c:showVal val="0"/>
          <c:showCatName val="0"/>
          <c:showSerName val="0"/>
          <c:showPercent val="0"/>
          <c:showBubbleSize val="0"/>
        </c:dLbls>
        <c:gapWidth val="72"/>
        <c:axId val="-788186944"/>
        <c:axId val="-786878256"/>
      </c:barChart>
      <c:catAx>
        <c:axId val="-788186944"/>
        <c:scaling>
          <c:orientation val="minMax"/>
        </c:scaling>
        <c:delete val="0"/>
        <c:axPos val="b"/>
        <c:numFmt formatCode="General" sourceLinked="1"/>
        <c:majorTickMark val="out"/>
        <c:minorTickMark val="none"/>
        <c:tickLblPos val="nextTo"/>
        <c:txPr>
          <a:bodyPr/>
          <a:lstStyle/>
          <a:p>
            <a:pPr>
              <a:defRPr sz="800"/>
            </a:pPr>
            <a:endParaRPr lang="en-US"/>
          </a:p>
        </c:txPr>
        <c:crossAx val="-786878256"/>
        <c:crosses val="autoZero"/>
        <c:auto val="1"/>
        <c:lblAlgn val="ctr"/>
        <c:lblOffset val="100"/>
        <c:noMultiLvlLbl val="0"/>
      </c:catAx>
      <c:valAx>
        <c:axId val="-786878256"/>
        <c:scaling>
          <c:orientation val="minMax"/>
        </c:scaling>
        <c:delete val="0"/>
        <c:axPos val="l"/>
        <c:majorGridlines/>
        <c:title>
          <c:tx>
            <c:rich>
              <a:bodyPr rot="-5400000" vert="horz"/>
              <a:lstStyle/>
              <a:p>
                <a:pPr>
                  <a:defRPr sz="800"/>
                </a:pPr>
                <a:r>
                  <a:rPr lang="en-US" sz="800"/>
                  <a:t>Rate per 100,000</a:t>
                </a:r>
              </a:p>
            </c:rich>
          </c:tx>
          <c:layout>
            <c:manualLayout>
              <c:xMode val="edge"/>
              <c:yMode val="edge"/>
              <c:x val="1.6730295076751774E-3"/>
              <c:y val="0.17556757851857077"/>
            </c:manualLayout>
          </c:layout>
          <c:overlay val="0"/>
        </c:title>
        <c:numFmt formatCode="#,##0.0" sourceLinked="1"/>
        <c:majorTickMark val="out"/>
        <c:minorTickMark val="none"/>
        <c:tickLblPos val="nextTo"/>
        <c:txPr>
          <a:bodyPr/>
          <a:lstStyle/>
          <a:p>
            <a:pPr>
              <a:defRPr sz="800"/>
            </a:pPr>
            <a:endParaRPr lang="en-US"/>
          </a:p>
        </c:txPr>
        <c:crossAx val="-788186944"/>
        <c:crosses val="autoZero"/>
        <c:crossBetween val="between"/>
      </c:valAx>
    </c:plotArea>
    <c:legend>
      <c:legendPos val="b"/>
      <c:layout>
        <c:manualLayout>
          <c:xMode val="edge"/>
          <c:yMode val="edge"/>
          <c:x val="0.40403765651083995"/>
          <c:y val="0.92255560616906362"/>
          <c:w val="0.23655898320929114"/>
          <c:h val="7.6179294953400423E-2"/>
        </c:manualLayout>
      </c:layout>
      <c:overlay val="0"/>
      <c:txPr>
        <a:bodyPr/>
        <a:lstStyle/>
        <a:p>
          <a:pPr>
            <a:defRPr sz="800"/>
          </a:pPr>
          <a:endParaRPr lang="en-US"/>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100" b="1" i="0" u="none" strike="noStrike" baseline="0">
                <a:effectLst/>
              </a:rPr>
              <a:t>Figure 10. New HIV Diagnoses in Nevada by Current Gender, 2010– 2014</a:t>
            </a:r>
            <a:endParaRPr lang="en-US"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transgender!$B$41</c:f>
              <c:strCache>
                <c:ptCount val="1"/>
                <c:pt idx="0">
                  <c:v>Transgender</c:v>
                </c:pt>
              </c:strCache>
            </c:strRef>
          </c:tx>
          <c:spPr>
            <a:ln w="28575" cap="rnd" cmpd="sng" algn="ctr">
              <a:solidFill>
                <a:schemeClr val="accent1">
                  <a:shade val="95000"/>
                  <a:satMod val="105000"/>
                </a:schemeClr>
              </a:solidFill>
              <a:prstDash val="solid"/>
              <a:round/>
            </a:ln>
            <a:effectLst/>
          </c:spPr>
          <c:marker>
            <c:symbol val="triangle"/>
            <c:size val="5"/>
            <c:spPr>
              <a:solidFill>
                <a:schemeClr val="accent1"/>
              </a:solidFill>
              <a:ln w="9525" cap="flat" cmpd="sng" algn="ctr">
                <a:solidFill>
                  <a:schemeClr val="accent1">
                    <a:shade val="95000"/>
                    <a:satMod val="105000"/>
                  </a:schemeClr>
                </a:solidFill>
                <a:prstDash val="solid"/>
                <a:round/>
              </a:ln>
              <a:effectLst/>
            </c:spPr>
          </c:marker>
          <c:cat>
            <c:numRef>
              <c:f>transgender!$D$40:$H$40</c:f>
              <c:numCache>
                <c:formatCode>General</c:formatCode>
                <c:ptCount val="5"/>
                <c:pt idx="0">
                  <c:v>2010</c:v>
                </c:pt>
                <c:pt idx="1">
                  <c:v>2011</c:v>
                </c:pt>
                <c:pt idx="2">
                  <c:v>2012</c:v>
                </c:pt>
                <c:pt idx="3">
                  <c:v>2013</c:v>
                </c:pt>
                <c:pt idx="4">
                  <c:v>2014</c:v>
                </c:pt>
              </c:numCache>
            </c:numRef>
          </c:cat>
          <c:val>
            <c:numRef>
              <c:f>transgender!$D$41:$H$41</c:f>
              <c:numCache>
                <c:formatCode>0</c:formatCode>
                <c:ptCount val="5"/>
                <c:pt idx="0">
                  <c:v>4</c:v>
                </c:pt>
                <c:pt idx="1">
                  <c:v>1</c:v>
                </c:pt>
                <c:pt idx="2">
                  <c:v>8</c:v>
                </c:pt>
                <c:pt idx="3">
                  <c:v>11</c:v>
                </c:pt>
                <c:pt idx="4">
                  <c:v>12</c:v>
                </c:pt>
              </c:numCache>
            </c:numRef>
          </c:val>
          <c:smooth val="0"/>
          <c:extLst xmlns:c16r2="http://schemas.microsoft.com/office/drawing/2015/06/chart">
            <c:ext xmlns:c16="http://schemas.microsoft.com/office/drawing/2014/chart" uri="{C3380CC4-5D6E-409C-BE32-E72D297353CC}">
              <c16:uniqueId val="{00000000-6C7A-426A-9325-860B8625662D}"/>
            </c:ext>
          </c:extLst>
        </c:ser>
        <c:ser>
          <c:idx val="1"/>
          <c:order val="1"/>
          <c:tx>
            <c:strRef>
              <c:f>transgender!$B$42</c:f>
              <c:strCache>
                <c:ptCount val="1"/>
                <c:pt idx="0">
                  <c:v>Male</c:v>
                </c:pt>
              </c:strCache>
            </c:strRef>
          </c:tx>
          <c:spPr>
            <a:ln w="28575" cap="rnd" cmpd="sng" algn="ctr">
              <a:solidFill>
                <a:schemeClr val="accent3">
                  <a:shade val="95000"/>
                  <a:satMod val="105000"/>
                </a:schemeClr>
              </a:solidFill>
              <a:prstDash val="solid"/>
              <a:round/>
            </a:ln>
            <a:effectLst/>
          </c:spPr>
          <c:marker>
            <c:symbol val="square"/>
            <c:size val="5"/>
            <c:spPr>
              <a:solidFill>
                <a:schemeClr val="accent3"/>
              </a:solidFill>
              <a:ln w="9525" cap="flat" cmpd="sng" algn="ctr">
                <a:solidFill>
                  <a:schemeClr val="accent3">
                    <a:shade val="95000"/>
                    <a:satMod val="105000"/>
                  </a:schemeClr>
                </a:solidFill>
                <a:prstDash val="solid"/>
                <a:round/>
              </a:ln>
              <a:effectLst/>
            </c:spPr>
          </c:marker>
          <c:cat>
            <c:numRef>
              <c:f>transgender!$D$40:$H$40</c:f>
              <c:numCache>
                <c:formatCode>General</c:formatCode>
                <c:ptCount val="5"/>
                <c:pt idx="0">
                  <c:v>2010</c:v>
                </c:pt>
                <c:pt idx="1">
                  <c:v>2011</c:v>
                </c:pt>
                <c:pt idx="2">
                  <c:v>2012</c:v>
                </c:pt>
                <c:pt idx="3">
                  <c:v>2013</c:v>
                </c:pt>
                <c:pt idx="4">
                  <c:v>2014</c:v>
                </c:pt>
              </c:numCache>
            </c:numRef>
          </c:cat>
          <c:val>
            <c:numRef>
              <c:f>transgender!$D$42:$H$42</c:f>
              <c:numCache>
                <c:formatCode>0</c:formatCode>
                <c:ptCount val="5"/>
                <c:pt idx="0">
                  <c:v>307</c:v>
                </c:pt>
                <c:pt idx="1">
                  <c:v>326</c:v>
                </c:pt>
                <c:pt idx="2">
                  <c:v>310</c:v>
                </c:pt>
                <c:pt idx="3">
                  <c:v>366</c:v>
                </c:pt>
                <c:pt idx="4">
                  <c:v>371</c:v>
                </c:pt>
              </c:numCache>
            </c:numRef>
          </c:val>
          <c:smooth val="0"/>
          <c:extLst xmlns:c16r2="http://schemas.microsoft.com/office/drawing/2015/06/chart">
            <c:ext xmlns:c16="http://schemas.microsoft.com/office/drawing/2014/chart" uri="{C3380CC4-5D6E-409C-BE32-E72D297353CC}">
              <c16:uniqueId val="{00000001-6C7A-426A-9325-860B8625662D}"/>
            </c:ext>
          </c:extLst>
        </c:ser>
        <c:ser>
          <c:idx val="2"/>
          <c:order val="2"/>
          <c:tx>
            <c:strRef>
              <c:f>transgender!$B$43</c:f>
              <c:strCache>
                <c:ptCount val="1"/>
                <c:pt idx="0">
                  <c:v>Female</c:v>
                </c:pt>
              </c:strCache>
            </c:strRef>
          </c:tx>
          <c:spPr>
            <a:ln w="28575" cap="rnd" cmpd="sng" algn="ctr">
              <a:solidFill>
                <a:schemeClr val="accent5">
                  <a:shade val="95000"/>
                  <a:satMod val="105000"/>
                </a:schemeClr>
              </a:solidFill>
              <a:prstDash val="solid"/>
              <a:round/>
            </a:ln>
            <a:effectLst/>
          </c:spPr>
          <c:marker>
            <c:symbol val="circle"/>
            <c:size val="5"/>
            <c:spPr>
              <a:solidFill>
                <a:schemeClr val="accent5"/>
              </a:solidFill>
              <a:ln w="9525" cap="flat" cmpd="sng" algn="ctr">
                <a:solidFill>
                  <a:schemeClr val="accent5">
                    <a:shade val="95000"/>
                    <a:satMod val="105000"/>
                  </a:schemeClr>
                </a:solidFill>
                <a:prstDash val="solid"/>
                <a:round/>
              </a:ln>
              <a:effectLst/>
            </c:spPr>
          </c:marker>
          <c:cat>
            <c:numRef>
              <c:f>transgender!$D$40:$H$40</c:f>
              <c:numCache>
                <c:formatCode>General</c:formatCode>
                <c:ptCount val="5"/>
                <c:pt idx="0">
                  <c:v>2010</c:v>
                </c:pt>
                <c:pt idx="1">
                  <c:v>2011</c:v>
                </c:pt>
                <c:pt idx="2">
                  <c:v>2012</c:v>
                </c:pt>
                <c:pt idx="3">
                  <c:v>2013</c:v>
                </c:pt>
                <c:pt idx="4">
                  <c:v>2014</c:v>
                </c:pt>
              </c:numCache>
            </c:numRef>
          </c:cat>
          <c:val>
            <c:numRef>
              <c:f>transgender!$D$43:$H$43</c:f>
              <c:numCache>
                <c:formatCode>0</c:formatCode>
                <c:ptCount val="5"/>
                <c:pt idx="0">
                  <c:v>62</c:v>
                </c:pt>
                <c:pt idx="1">
                  <c:v>53</c:v>
                </c:pt>
                <c:pt idx="2">
                  <c:v>45</c:v>
                </c:pt>
                <c:pt idx="3">
                  <c:v>57</c:v>
                </c:pt>
                <c:pt idx="4">
                  <c:v>55</c:v>
                </c:pt>
              </c:numCache>
            </c:numRef>
          </c:val>
          <c:smooth val="0"/>
          <c:extLst xmlns:c16r2="http://schemas.microsoft.com/office/drawing/2015/06/chart">
            <c:ext xmlns:c16="http://schemas.microsoft.com/office/drawing/2014/chart" uri="{C3380CC4-5D6E-409C-BE32-E72D297353CC}">
              <c16:uniqueId val="{00000002-6C7A-426A-9325-860B8625662D}"/>
            </c:ext>
          </c:extLst>
        </c:ser>
        <c:dLbls>
          <c:showLegendKey val="0"/>
          <c:showVal val="0"/>
          <c:showCatName val="0"/>
          <c:showSerName val="0"/>
          <c:showPercent val="0"/>
          <c:showBubbleSize val="0"/>
        </c:dLbls>
        <c:marker val="1"/>
        <c:smooth val="0"/>
        <c:axId val="-786873360"/>
        <c:axId val="-786879888"/>
      </c:lineChart>
      <c:catAx>
        <c:axId val="-78687336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86879888"/>
        <c:crosses val="autoZero"/>
        <c:auto val="1"/>
        <c:lblAlgn val="ctr"/>
        <c:lblOffset val="100"/>
        <c:noMultiLvlLbl val="0"/>
      </c:catAx>
      <c:valAx>
        <c:axId val="-78687988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78687336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0.11968</cdr:x>
      <cdr:y>0.85179</cdr:y>
    </cdr:from>
    <cdr:to>
      <cdr:x>1</cdr:x>
      <cdr:y>0.98503</cdr:y>
    </cdr:to>
    <cdr:grpSp>
      <cdr:nvGrpSpPr>
        <cdr:cNvPr id="2" name="Group 1"/>
        <cdr:cNvGrpSpPr/>
      </cdr:nvGrpSpPr>
      <cdr:grpSpPr>
        <a:xfrm xmlns:a="http://schemas.openxmlformats.org/drawingml/2006/main">
          <a:off x="711359" y="2471839"/>
          <a:ext cx="5232241" cy="386683"/>
          <a:chOff x="705079" y="2496585"/>
          <a:chExt cx="5209369" cy="386678"/>
        </a:xfrm>
        <a:solidFill xmlns:a="http://schemas.openxmlformats.org/drawingml/2006/main">
          <a:schemeClr val="bg1"/>
        </a:solidFill>
      </cdr:grpSpPr>
      <cdr:sp macro="" textlink="">
        <cdr:nvSpPr>
          <cdr:cNvPr id="4" name="Text Box 3"/>
          <cdr:cNvSpPr txBox="1"/>
        </cdr:nvSpPr>
        <cdr:spPr>
          <a:xfrm xmlns:a="http://schemas.openxmlformats.org/drawingml/2006/main" flipH="1">
            <a:off x="1925696" y="2536340"/>
            <a:ext cx="1432374" cy="233200"/>
          </a:xfrm>
          <a:prstGeom xmlns:a="http://schemas.openxmlformats.org/drawingml/2006/main" prst="rect">
            <a:avLst/>
          </a:prstGeom>
          <a:grp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t>Linkage to Care</a:t>
            </a:r>
            <a:r>
              <a:rPr lang="en-US" sz="900" baseline="30000"/>
              <a:t>b</a:t>
            </a:r>
          </a:p>
        </cdr:txBody>
      </cdr:sp>
      <cdr:sp macro="" textlink="">
        <cdr:nvSpPr>
          <cdr:cNvPr id="5" name="Text Box 4"/>
          <cdr:cNvSpPr txBox="1"/>
        </cdr:nvSpPr>
        <cdr:spPr>
          <a:xfrm xmlns:a="http://schemas.openxmlformats.org/drawingml/2006/main" flipH="1">
            <a:off x="3298672" y="2520440"/>
            <a:ext cx="1435888" cy="233200"/>
          </a:xfrm>
          <a:prstGeom xmlns:a="http://schemas.openxmlformats.org/drawingml/2006/main" prst="rect">
            <a:avLst/>
          </a:prstGeom>
          <a:grp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t>Retention in Care</a:t>
            </a:r>
            <a:r>
              <a:rPr lang="en-US" sz="900" baseline="30000"/>
              <a:t>c</a:t>
            </a:r>
          </a:p>
        </cdr:txBody>
      </cdr:sp>
      <cdr:sp macro="" textlink="">
        <cdr:nvSpPr>
          <cdr:cNvPr id="6" name="Text Box 5"/>
          <cdr:cNvSpPr txBox="1"/>
        </cdr:nvSpPr>
        <cdr:spPr>
          <a:xfrm xmlns:a="http://schemas.openxmlformats.org/drawingml/2006/main" flipH="1">
            <a:off x="4484531" y="2496585"/>
            <a:ext cx="1429917" cy="233200"/>
          </a:xfrm>
          <a:prstGeom xmlns:a="http://schemas.openxmlformats.org/drawingml/2006/main" prst="rect">
            <a:avLst/>
          </a:prstGeom>
          <a:grp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t>Viral Suppression</a:t>
            </a:r>
            <a:r>
              <a:rPr lang="en-US" sz="900" baseline="30000"/>
              <a:t>d</a:t>
            </a:r>
          </a:p>
        </cdr:txBody>
      </cdr:sp>
      <cdr:sp macro="" textlink="">
        <cdr:nvSpPr>
          <cdr:cNvPr id="7" name="Text Box 6"/>
          <cdr:cNvSpPr txBox="1"/>
        </cdr:nvSpPr>
        <cdr:spPr>
          <a:xfrm xmlns:a="http://schemas.openxmlformats.org/drawingml/2006/main" flipH="1">
            <a:off x="705079" y="2509194"/>
            <a:ext cx="1444316" cy="374069"/>
          </a:xfrm>
          <a:prstGeom xmlns:a="http://schemas.openxmlformats.org/drawingml/2006/main" prst="rect">
            <a:avLst/>
          </a:prstGeom>
          <a:grp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t>Persons Living with Diagnosed HIV</a:t>
            </a:r>
            <a:r>
              <a:rPr lang="en-US" sz="900" baseline="0"/>
              <a:t> (PLWH)</a:t>
            </a:r>
            <a:r>
              <a:rPr lang="en-US" sz="900" baseline="30000"/>
              <a:t>a</a:t>
            </a:r>
          </a:p>
        </cdr:txBody>
      </cdr:sp>
    </cdr:grpSp>
  </cdr:relSizeAnchor>
  <cdr:relSizeAnchor xmlns:cdr="http://schemas.openxmlformats.org/drawingml/2006/chartDrawing">
    <cdr:from>
      <cdr:x>0.2259</cdr:x>
      <cdr:y>0.45816</cdr:y>
    </cdr:from>
    <cdr:to>
      <cdr:x>0.62168</cdr:x>
      <cdr:y>0.62828</cdr:y>
    </cdr:to>
    <cdr:sp macro="" textlink="">
      <cdr:nvSpPr>
        <cdr:cNvPr id="8" name="Bent-Up Arrow 7"/>
        <cdr:cNvSpPr/>
      </cdr:nvSpPr>
      <cdr:spPr>
        <a:xfrm xmlns:a="http://schemas.openxmlformats.org/drawingml/2006/main" rot="5400000">
          <a:off x="2657942" y="236738"/>
          <a:ext cx="499340" cy="2715458"/>
        </a:xfrm>
        <a:prstGeom xmlns:a="http://schemas.openxmlformats.org/drawingml/2006/main" prst="bentUpArrow">
          <a:avLst>
            <a:gd name="adj1" fmla="val 0"/>
            <a:gd name="adj2" fmla="val 8967"/>
            <a:gd name="adj3" fmla="val 10517"/>
          </a:avLst>
        </a:prstGeom>
        <a:solidFill xmlns:a="http://schemas.openxmlformats.org/drawingml/2006/main">
          <a:schemeClr val="tx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0.65417</cdr:x>
      <cdr:y>0.63279</cdr:y>
    </cdr:from>
    <cdr:to>
      <cdr:x>0.83703</cdr:x>
      <cdr:y>0.71716</cdr:y>
    </cdr:to>
    <cdr:sp macro="" textlink="">
      <cdr:nvSpPr>
        <cdr:cNvPr id="12" name="Bent-Up Arrow 11"/>
        <cdr:cNvSpPr/>
      </cdr:nvSpPr>
      <cdr:spPr>
        <a:xfrm xmlns:a="http://schemas.openxmlformats.org/drawingml/2006/main" rot="5400000">
          <a:off x="4991741" y="1353890"/>
          <a:ext cx="247648" cy="1254626"/>
        </a:xfrm>
        <a:prstGeom xmlns:a="http://schemas.openxmlformats.org/drawingml/2006/main" prst="bentUpArrow">
          <a:avLst>
            <a:gd name="adj1" fmla="val 0"/>
            <a:gd name="adj2" fmla="val 15498"/>
            <a:gd name="adj3" fmla="val 20048"/>
          </a:avLst>
        </a:prstGeom>
        <a:solidFill xmlns:a="http://schemas.openxmlformats.org/drawingml/2006/main">
          <a:schemeClr val="tx1"/>
        </a:solid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0.70211</cdr:x>
      <cdr:y>0.54281</cdr:y>
    </cdr:from>
    <cdr:to>
      <cdr:x>0.82015</cdr:x>
      <cdr:y>0.67625</cdr:y>
    </cdr:to>
    <cdr:sp macro="" textlink="">
      <cdr:nvSpPr>
        <cdr:cNvPr id="16" name="Rectangle 15"/>
        <cdr:cNvSpPr/>
      </cdr:nvSpPr>
      <cdr:spPr>
        <a:xfrm xmlns:a="http://schemas.openxmlformats.org/drawingml/2006/main">
          <a:off x="4173061" y="1380467"/>
          <a:ext cx="701583" cy="33936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fld id="{65C71F6F-A9DA-4E61-9D21-5811C459FF0D}" type="TxLink">
            <a:rPr lang="en-US" sz="750" b="0" i="0" u="none" strike="noStrike" cap="none" spc="0">
              <a:ln w="0"/>
              <a:solidFill>
                <a:srgbClr val="000000"/>
              </a:solidFill>
              <a:effectLst/>
              <a:latin typeface="Calibri"/>
            </a:rPr>
            <a:pPr algn="ctr"/>
            <a:t>75.1% had
suppressed VL†</a:t>
          </a:fld>
          <a:endParaRPr lang="en-US" sz="750" b="0" cap="none" spc="0">
            <a:ln w="0"/>
            <a:solidFill>
              <a:schemeClr val="tx1"/>
            </a:solidFill>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0E539-AC31-440F-B2A8-2686045D3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47951</Words>
  <Characters>273325</Characters>
  <Application>Microsoft Office Word</Application>
  <DocSecurity>0</DocSecurity>
  <Lines>2277</Lines>
  <Paragraphs>641</Paragraphs>
  <ScaleCrop>false</ScaleCrop>
  <HeadingPairs>
    <vt:vector size="2" baseType="variant">
      <vt:variant>
        <vt:lpstr>Title</vt:lpstr>
      </vt:variant>
      <vt:variant>
        <vt:i4>1</vt:i4>
      </vt:variant>
    </vt:vector>
  </HeadingPairs>
  <TitlesOfParts>
    <vt:vector size="1" baseType="lpstr">
      <vt:lpstr>Nevada Integrated HIV Prevention and Care Plan 2017-2021</vt:lpstr>
    </vt:vector>
  </TitlesOfParts>
  <Company>State of Nevada Divisi</Company>
  <LinksUpToDate>false</LinksUpToDate>
  <CharactersWithSpaces>320635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Nevada Integrated HIV Prevention and Care Plan 2017-2021</dc:title>
  <dc:subject>September 30, 2016</dc:subject>
  <dc:creator>Elizabeth J Christiansen-g</dc:creator>
  <cp:lastModifiedBy>Dan J. Olsen</cp:lastModifiedBy>
  <cp:revision>2</cp:revision>
  <cp:lastPrinted>2016-09-27T21:23:00Z</cp:lastPrinted>
  <dcterms:created xsi:type="dcterms:W3CDTF">2016-09-29T21:02:00Z</dcterms:created>
  <dcterms:modified xsi:type="dcterms:W3CDTF">2016-09-29T21:02:00Z</dcterms:modified>
</cp:coreProperties>
</file>